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17"/>
        </w:rPr>
      </w:pPr>
    </w:p>
    <w:p>
      <w:pPr>
        <w:spacing w:line="360" w:lineRule="auto" w:before="89"/>
        <w:ind w:left="658" w:right="102" w:hanging="7"/>
        <w:jc w:val="center"/>
        <w:rPr>
          <w:b/>
          <w:sz w:val="28"/>
        </w:rPr>
      </w:pPr>
      <w:r>
        <w:rPr>
          <w:b/>
          <w:sz w:val="28"/>
        </w:rPr>
        <w:t>ONLİNE PAZAR YERLERİNDE TÜKETİCİ YORUMLARININ HACİM VE DEĞERLİKLERİNİN SATIŞLAR ÜZERİNDEKİ ETKİSİ</w:t>
      </w:r>
    </w:p>
    <w:p>
      <w:pPr>
        <w:pStyle w:val="BodyText"/>
        <w:ind w:left="0"/>
        <w:jc w:val="left"/>
        <w:rPr>
          <w:b/>
          <w:sz w:val="30"/>
        </w:rPr>
      </w:pPr>
    </w:p>
    <w:p>
      <w:pPr>
        <w:pStyle w:val="BodyText"/>
        <w:ind w:left="0"/>
        <w:jc w:val="left"/>
        <w:rPr>
          <w:b/>
          <w:sz w:val="30"/>
        </w:rPr>
      </w:pPr>
    </w:p>
    <w:p>
      <w:pPr>
        <w:pStyle w:val="BodyText"/>
        <w:ind w:left="0"/>
        <w:jc w:val="left"/>
        <w:rPr>
          <w:b/>
          <w:sz w:val="30"/>
        </w:rPr>
      </w:pPr>
    </w:p>
    <w:p>
      <w:pPr>
        <w:pStyle w:val="BodyText"/>
        <w:spacing w:before="11"/>
        <w:ind w:left="0"/>
        <w:jc w:val="left"/>
        <w:rPr>
          <w:b/>
          <w:sz w:val="35"/>
        </w:rPr>
      </w:pPr>
    </w:p>
    <w:p>
      <w:pPr>
        <w:pStyle w:val="Heading1"/>
        <w:ind w:left="3673" w:right="3119" w:firstLine="0"/>
        <w:jc w:val="center"/>
      </w:pPr>
      <w:r>
        <w:rPr/>
        <w:t>Pamukkale Üniversitesi Sosyal Bilimler Enstitüsü Doktora Tezi</w:t>
      </w:r>
    </w:p>
    <w:p>
      <w:pPr>
        <w:spacing w:before="0"/>
        <w:ind w:left="3282" w:right="2712" w:firstLine="513"/>
        <w:jc w:val="left"/>
        <w:rPr>
          <w:b/>
          <w:sz w:val="24"/>
        </w:rPr>
      </w:pPr>
      <w:r>
        <w:rPr/>
        <w:pict>
          <v:shape style="position:absolute;margin-left:241.350006pt;margin-top:31.843134pt;width:189.6pt;height:.1pt;mso-position-horizontal-relative:page;mso-position-vertical-relative:paragraph;z-index:-15728640;mso-wrap-distance-left:0;mso-wrap-distance-right:0" coordorigin="4827,637" coordsize="3792,0" path="m4827,637l8619,637e" filled="false" stroked="true" strokeweight="2.15pt" strokecolor="#000000">
            <v:path arrowok="t"/>
            <v:stroke dashstyle="solid"/>
            <w10:wrap type="topAndBottom"/>
          </v:shape>
        </w:pict>
      </w:r>
      <w:r>
        <w:rPr>
          <w:b/>
          <w:sz w:val="24"/>
        </w:rPr>
        <w:t>İşletme Ana Bilim Dalı Genel İşletme Doktora Programı</w:t>
      </w: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spacing w:before="2"/>
        <w:ind w:left="0"/>
        <w:jc w:val="left"/>
        <w:rPr>
          <w:b/>
          <w:sz w:val="22"/>
        </w:rPr>
      </w:pPr>
    </w:p>
    <w:p>
      <w:pPr>
        <w:spacing w:before="0"/>
        <w:ind w:left="3672" w:right="3119" w:firstLine="0"/>
        <w:jc w:val="center"/>
        <w:rPr>
          <w:b/>
          <w:sz w:val="24"/>
        </w:rPr>
      </w:pPr>
      <w:r>
        <w:rPr>
          <w:b/>
          <w:sz w:val="24"/>
        </w:rPr>
        <w:t>Murat KANTAR</w:t>
      </w:r>
    </w:p>
    <w:p>
      <w:pPr>
        <w:pStyle w:val="BodyText"/>
        <w:ind w:left="0"/>
        <w:jc w:val="left"/>
        <w:rPr>
          <w:b/>
          <w:sz w:val="26"/>
        </w:rPr>
      </w:pPr>
    </w:p>
    <w:p>
      <w:pPr>
        <w:pStyle w:val="BodyText"/>
        <w:ind w:left="0"/>
        <w:jc w:val="left"/>
        <w:rPr>
          <w:b/>
          <w:sz w:val="26"/>
        </w:rPr>
      </w:pPr>
    </w:p>
    <w:p>
      <w:pPr>
        <w:pStyle w:val="BodyText"/>
        <w:spacing w:before="11"/>
        <w:ind w:left="0"/>
        <w:jc w:val="left"/>
        <w:rPr>
          <w:b/>
          <w:sz w:val="31"/>
        </w:rPr>
      </w:pPr>
    </w:p>
    <w:p>
      <w:pPr>
        <w:spacing w:before="0"/>
        <w:ind w:left="2838" w:right="2288" w:firstLine="0"/>
        <w:jc w:val="center"/>
        <w:rPr>
          <w:b/>
          <w:sz w:val="24"/>
        </w:rPr>
      </w:pPr>
      <w:r>
        <w:rPr>
          <w:b/>
          <w:sz w:val="24"/>
        </w:rPr>
        <w:t>Danışman: Prof. Dr. Ahmet BARDAKCI</w:t>
      </w:r>
    </w:p>
    <w:p>
      <w:pPr>
        <w:pStyle w:val="BodyText"/>
        <w:ind w:left="0"/>
        <w:jc w:val="left"/>
        <w:rPr>
          <w:b/>
          <w:sz w:val="26"/>
        </w:rPr>
      </w:pPr>
    </w:p>
    <w:p>
      <w:pPr>
        <w:pStyle w:val="BodyText"/>
        <w:ind w:left="0"/>
        <w:jc w:val="left"/>
        <w:rPr>
          <w:b/>
          <w:sz w:val="26"/>
        </w:rPr>
      </w:pPr>
    </w:p>
    <w:p>
      <w:pPr>
        <w:pStyle w:val="BodyText"/>
        <w:ind w:left="0"/>
        <w:jc w:val="left"/>
        <w:rPr>
          <w:b/>
          <w:sz w:val="26"/>
        </w:rPr>
      </w:pPr>
    </w:p>
    <w:p>
      <w:pPr>
        <w:pStyle w:val="BodyText"/>
        <w:ind w:left="0"/>
        <w:jc w:val="left"/>
        <w:rPr>
          <w:b/>
          <w:sz w:val="26"/>
        </w:rPr>
      </w:pPr>
    </w:p>
    <w:p>
      <w:pPr>
        <w:spacing w:line="360" w:lineRule="auto" w:before="185"/>
        <w:ind w:left="4242" w:right="3688" w:firstLine="0"/>
        <w:jc w:val="center"/>
        <w:rPr>
          <w:b/>
          <w:sz w:val="24"/>
        </w:rPr>
      </w:pPr>
      <w:r>
        <w:rPr>
          <w:b/>
          <w:sz w:val="24"/>
        </w:rPr>
        <w:t>Temmuz 2020 DENİZLİ</w:t>
      </w:r>
    </w:p>
    <w:p>
      <w:pPr>
        <w:spacing w:after="0" w:line="360" w:lineRule="auto"/>
        <w:jc w:val="center"/>
        <w:rPr>
          <w:sz w:val="24"/>
        </w:rPr>
        <w:sectPr>
          <w:type w:val="continuous"/>
          <w:pgSz w:w="12240" w:h="15840"/>
          <w:pgMar w:top="1500" w:bottom="280" w:left="1720" w:right="1140"/>
        </w:sectPr>
      </w:pPr>
    </w:p>
    <w:p>
      <w:pPr>
        <w:spacing w:before="106"/>
        <w:ind w:left="0" w:right="108" w:firstLine="0"/>
        <w:jc w:val="right"/>
        <w:rPr>
          <w:sz w:val="13"/>
        </w:rPr>
      </w:pPr>
      <w:r>
        <w:rPr>
          <w:color w:val="575757"/>
          <w:w w:val="75"/>
          <w:sz w:val="13"/>
        </w:rPr>
        <w:t>11</w:t>
      </w: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spacing w:before="7"/>
        <w:ind w:left="0"/>
        <w:jc w:val="left"/>
        <w:rPr>
          <w:sz w:val="18"/>
        </w:rPr>
      </w:pPr>
    </w:p>
    <w:p>
      <w:pPr>
        <w:spacing w:line="244" w:lineRule="auto" w:before="0"/>
        <w:ind w:left="735" w:right="110" w:firstLine="665"/>
        <w:jc w:val="both"/>
        <w:rPr>
          <w:sz w:val="22"/>
        </w:rPr>
      </w:pPr>
      <w:r>
        <w:rPr>
          <w:color w:val="525252"/>
          <w:sz w:val="22"/>
        </w:rPr>
        <w:t>Bu</w:t>
      </w:r>
      <w:r>
        <w:rPr>
          <w:color w:val="525252"/>
          <w:spacing w:val="-21"/>
          <w:sz w:val="22"/>
        </w:rPr>
        <w:t> </w:t>
      </w:r>
      <w:r>
        <w:rPr>
          <w:color w:val="505050"/>
          <w:sz w:val="22"/>
        </w:rPr>
        <w:t>tezin</w:t>
      </w:r>
      <w:r>
        <w:rPr>
          <w:color w:val="505050"/>
          <w:spacing w:val="-24"/>
          <w:sz w:val="22"/>
        </w:rPr>
        <w:t> </w:t>
      </w:r>
      <w:r>
        <w:rPr>
          <w:color w:val="505050"/>
          <w:sz w:val="22"/>
        </w:rPr>
        <w:t>tasarimi,</w:t>
      </w:r>
      <w:r>
        <w:rPr>
          <w:color w:val="505050"/>
          <w:spacing w:val="-20"/>
          <w:sz w:val="22"/>
        </w:rPr>
        <w:t> </w:t>
      </w:r>
      <w:r>
        <w:rPr>
          <w:color w:val="4B4B4B"/>
          <w:sz w:val="22"/>
        </w:rPr>
        <w:t>hazirlanmasi,</w:t>
      </w:r>
      <w:r>
        <w:rPr>
          <w:color w:val="4B4B4B"/>
          <w:spacing w:val="-18"/>
          <w:sz w:val="22"/>
        </w:rPr>
        <w:t> </w:t>
      </w:r>
      <w:r>
        <w:rPr>
          <w:color w:val="4F4F4F"/>
          <w:sz w:val="22"/>
        </w:rPr>
        <w:t>yurutulmesi,</w:t>
      </w:r>
      <w:r>
        <w:rPr>
          <w:color w:val="4F4F4F"/>
          <w:spacing w:val="-22"/>
          <w:sz w:val="22"/>
        </w:rPr>
        <w:t> </w:t>
      </w:r>
      <w:r>
        <w:rPr>
          <w:color w:val="4D4D4D"/>
          <w:sz w:val="22"/>
        </w:rPr>
        <w:t>ara5tirmalarinin</w:t>
      </w:r>
      <w:r>
        <w:rPr>
          <w:color w:val="4D4D4D"/>
          <w:spacing w:val="-27"/>
          <w:sz w:val="22"/>
        </w:rPr>
        <w:t> </w:t>
      </w:r>
      <w:r>
        <w:rPr>
          <w:color w:val="4B4B4B"/>
          <w:sz w:val="22"/>
        </w:rPr>
        <w:t>yapilmasi</w:t>
      </w:r>
      <w:r>
        <w:rPr>
          <w:color w:val="4B4B4B"/>
          <w:spacing w:val="-19"/>
          <w:sz w:val="22"/>
        </w:rPr>
        <w:t> </w:t>
      </w:r>
      <w:r>
        <w:rPr>
          <w:color w:val="525252"/>
          <w:sz w:val="22"/>
        </w:rPr>
        <w:t>ve</w:t>
      </w:r>
      <w:r>
        <w:rPr>
          <w:color w:val="525252"/>
          <w:spacing w:val="-23"/>
          <w:sz w:val="22"/>
        </w:rPr>
        <w:t> </w:t>
      </w:r>
      <w:r>
        <w:rPr>
          <w:color w:val="4F4F4F"/>
          <w:sz w:val="22"/>
        </w:rPr>
        <w:t>bulgularinin analizlerinde </w:t>
      </w:r>
      <w:r>
        <w:rPr>
          <w:color w:val="565656"/>
          <w:sz w:val="22"/>
        </w:rPr>
        <w:t>bilimsel </w:t>
      </w:r>
      <w:r>
        <w:rPr>
          <w:color w:val="525252"/>
          <w:sz w:val="22"/>
        </w:rPr>
        <w:t>etige </w:t>
      </w:r>
      <w:r>
        <w:rPr>
          <w:color w:val="505050"/>
          <w:sz w:val="22"/>
        </w:rPr>
        <w:t>ve </w:t>
      </w:r>
      <w:r>
        <w:rPr>
          <w:color w:val="494949"/>
          <w:sz w:val="22"/>
        </w:rPr>
        <w:t>akademik </w:t>
      </w:r>
      <w:r>
        <w:rPr>
          <w:color w:val="4F4F4F"/>
          <w:sz w:val="22"/>
        </w:rPr>
        <w:t>kurallara ozenle </w:t>
      </w:r>
      <w:r>
        <w:rPr>
          <w:color w:val="525252"/>
          <w:sz w:val="22"/>
        </w:rPr>
        <w:t>riayet </w:t>
      </w:r>
      <w:r>
        <w:rPr>
          <w:color w:val="505050"/>
          <w:sz w:val="22"/>
        </w:rPr>
        <w:t>edildigini: </w:t>
      </w:r>
      <w:r>
        <w:rPr>
          <w:color w:val="525252"/>
          <w:sz w:val="22"/>
        </w:rPr>
        <w:t>bu </w:t>
      </w:r>
      <w:r>
        <w:rPr>
          <w:color w:val="4B4B4B"/>
          <w:sz w:val="22"/>
        </w:rPr>
        <w:t>9ali§manin </w:t>
      </w:r>
      <w:r>
        <w:rPr>
          <w:color w:val="505050"/>
          <w:sz w:val="22"/>
        </w:rPr>
        <w:t>dogrudan </w:t>
      </w:r>
      <w:r>
        <w:rPr>
          <w:color w:val="4D4D4D"/>
          <w:sz w:val="22"/>
        </w:rPr>
        <w:t>birincil </w:t>
      </w:r>
      <w:r>
        <w:rPr>
          <w:color w:val="545454"/>
          <w:sz w:val="22"/>
        </w:rPr>
        <w:t>uriinu </w:t>
      </w:r>
      <w:r>
        <w:rPr>
          <w:color w:val="4F4F4F"/>
          <w:sz w:val="22"/>
        </w:rPr>
        <w:t>olmayan </w:t>
      </w:r>
      <w:r>
        <w:rPr>
          <w:color w:val="4D4D4D"/>
          <w:sz w:val="22"/>
        </w:rPr>
        <w:t>bulgularin, </w:t>
      </w:r>
      <w:r>
        <w:rPr>
          <w:color w:val="4F4F4F"/>
          <w:sz w:val="22"/>
        </w:rPr>
        <w:t>verilerin </w:t>
      </w:r>
      <w:r>
        <w:rPr>
          <w:color w:val="545454"/>
          <w:sz w:val="22"/>
        </w:rPr>
        <w:t>ve materyallerin bilimsel </w:t>
      </w:r>
      <w:r>
        <w:rPr>
          <w:color w:val="525252"/>
          <w:sz w:val="22"/>
        </w:rPr>
        <w:t>etige uygun olarak</w:t>
      </w:r>
      <w:r>
        <w:rPr>
          <w:color w:val="525252"/>
          <w:spacing w:val="-12"/>
          <w:sz w:val="22"/>
        </w:rPr>
        <w:t> </w:t>
      </w:r>
      <w:r>
        <w:rPr>
          <w:color w:val="525252"/>
          <w:sz w:val="22"/>
        </w:rPr>
        <w:t>kaynak</w:t>
      </w:r>
      <w:r>
        <w:rPr>
          <w:color w:val="525252"/>
          <w:spacing w:val="-15"/>
          <w:sz w:val="22"/>
        </w:rPr>
        <w:t> </w:t>
      </w:r>
      <w:r>
        <w:rPr>
          <w:color w:val="4B4B4B"/>
          <w:sz w:val="22"/>
        </w:rPr>
        <w:t>gosterildigini</w:t>
      </w:r>
      <w:r>
        <w:rPr>
          <w:color w:val="4B4B4B"/>
          <w:spacing w:val="-21"/>
          <w:sz w:val="22"/>
        </w:rPr>
        <w:t> </w:t>
      </w:r>
      <w:r>
        <w:rPr>
          <w:color w:val="565656"/>
          <w:sz w:val="22"/>
        </w:rPr>
        <w:t>ve</w:t>
      </w:r>
      <w:r>
        <w:rPr>
          <w:color w:val="565656"/>
          <w:spacing w:val="-21"/>
          <w:sz w:val="22"/>
        </w:rPr>
        <w:t> </w:t>
      </w:r>
      <w:r>
        <w:rPr>
          <w:color w:val="4D4D4D"/>
          <w:sz w:val="22"/>
        </w:rPr>
        <w:t>alinti</w:t>
      </w:r>
      <w:r>
        <w:rPr>
          <w:color w:val="4D4D4D"/>
          <w:spacing w:val="-18"/>
          <w:sz w:val="22"/>
        </w:rPr>
        <w:t> </w:t>
      </w:r>
      <w:r>
        <w:rPr>
          <w:color w:val="545454"/>
          <w:sz w:val="22"/>
        </w:rPr>
        <w:t>yapilan</w:t>
      </w:r>
      <w:r>
        <w:rPr>
          <w:color w:val="545454"/>
          <w:spacing w:val="-16"/>
          <w:sz w:val="22"/>
        </w:rPr>
        <w:t> </w:t>
      </w:r>
      <w:r>
        <w:rPr>
          <w:color w:val="525252"/>
          <w:sz w:val="22"/>
        </w:rPr>
        <w:t>9ali§malara</w:t>
      </w:r>
      <w:r>
        <w:rPr>
          <w:color w:val="525252"/>
          <w:spacing w:val="-12"/>
          <w:sz w:val="22"/>
        </w:rPr>
        <w:t> </w:t>
      </w:r>
      <w:r>
        <w:rPr>
          <w:color w:val="565656"/>
          <w:sz w:val="22"/>
        </w:rPr>
        <w:t>atifta</w:t>
      </w:r>
      <w:r>
        <w:rPr>
          <w:color w:val="565656"/>
          <w:spacing w:val="-23"/>
          <w:sz w:val="22"/>
        </w:rPr>
        <w:t> </w:t>
      </w:r>
      <w:r>
        <w:rPr>
          <w:color w:val="525252"/>
          <w:sz w:val="22"/>
        </w:rPr>
        <w:t>bulunuldugunu beyan</w:t>
      </w:r>
      <w:r>
        <w:rPr>
          <w:color w:val="525252"/>
          <w:spacing w:val="-14"/>
          <w:sz w:val="22"/>
        </w:rPr>
        <w:t> </w:t>
      </w:r>
      <w:r>
        <w:rPr>
          <w:color w:val="505050"/>
          <w:sz w:val="22"/>
        </w:rPr>
        <w:t>ederim.</w:t>
      </w:r>
    </w:p>
    <w:p>
      <w:pPr>
        <w:pStyle w:val="BodyText"/>
        <w:ind w:left="0"/>
        <w:jc w:val="left"/>
      </w:pPr>
    </w:p>
    <w:p>
      <w:pPr>
        <w:pStyle w:val="BodyText"/>
        <w:ind w:left="0"/>
        <w:jc w:val="left"/>
      </w:pPr>
    </w:p>
    <w:p>
      <w:pPr>
        <w:pStyle w:val="BodyText"/>
        <w:spacing w:before="8"/>
        <w:ind w:left="0"/>
        <w:jc w:val="left"/>
        <w:rPr>
          <w:sz w:val="20"/>
        </w:rPr>
      </w:pPr>
    </w:p>
    <w:p>
      <w:pPr>
        <w:spacing w:before="1"/>
        <w:ind w:left="4616" w:right="3983" w:firstLine="0"/>
        <w:jc w:val="center"/>
        <w:rPr>
          <w:sz w:val="22"/>
        </w:rPr>
      </w:pPr>
      <w:r>
        <w:rPr/>
        <w:pict>
          <v:group style="position:absolute;margin-left:268.469788pt;margin-top:15.115666pt;width:106.55pt;height:36.7pt;mso-position-horizontal-relative:page;mso-position-vertical-relative:paragraph;z-index:-15727616;mso-wrap-distance-left:0;mso-wrap-distance-right:0" coordorigin="5369,302" coordsize="2131,734">
            <v:shape style="position:absolute;left:5369;top:379;width:1618;height:610" type="#_x0000_t75" stroked="false">
              <v:imagedata r:id="rId5" o:title=""/>
            </v:shape>
            <v:shape style="position:absolute;left:6967;top:302;width:533;height:447" type="#_x0000_t75" stroked="false">
              <v:imagedata r:id="rId6" o:title=""/>
            </v:shape>
            <v:shapetype id="_x0000_t202" o:spt="202" coordsize="21600,21600" path="m,l,21600r21600,l21600,xe">
              <v:stroke joinstyle="miter"/>
              <v:path gradientshapeok="t" o:connecttype="rect"/>
            </v:shapetype>
            <v:shape style="position:absolute;left:5369;top:302;width:2131;height:734" type="#_x0000_t202" filled="false" stroked="false">
              <v:textbox inset="0,0,0,0">
                <w:txbxContent>
                  <w:p>
                    <w:pPr>
                      <w:spacing w:line="240" w:lineRule="auto" w:before="0"/>
                      <w:rPr>
                        <w:sz w:val="24"/>
                      </w:rPr>
                    </w:pPr>
                  </w:p>
                  <w:p>
                    <w:pPr>
                      <w:spacing w:before="204"/>
                      <w:ind w:left="428" w:right="0" w:firstLine="0"/>
                      <w:jc w:val="left"/>
                      <w:rPr>
                        <w:sz w:val="22"/>
                      </w:rPr>
                    </w:pPr>
                    <w:r>
                      <w:rPr>
                        <w:color w:val="545454"/>
                        <w:sz w:val="22"/>
                      </w:rPr>
                      <w:t>Murat </w:t>
                    </w:r>
                    <w:r>
                      <w:rPr>
                        <w:color w:val="525252"/>
                        <w:sz w:val="22"/>
                      </w:rPr>
                      <w:t>KAN </w:t>
                    </w:r>
                    <w:r>
                      <w:rPr>
                        <w:color w:val="565656"/>
                        <w:sz w:val="22"/>
                      </w:rPr>
                      <w:t>AR</w:t>
                    </w:r>
                  </w:p>
                </w:txbxContent>
              </v:textbox>
              <w10:wrap type="none"/>
            </v:shape>
            <w10:wrap type="topAndBottom"/>
          </v:group>
        </w:pict>
      </w:r>
      <w:r>
        <w:rPr>
          <w:color w:val="525252"/>
          <w:sz w:val="22"/>
        </w:rPr>
        <w:t>Imza</w:t>
      </w:r>
    </w:p>
    <w:p>
      <w:pPr>
        <w:spacing w:after="0"/>
        <w:jc w:val="center"/>
        <w:rPr>
          <w:sz w:val="22"/>
        </w:rPr>
        <w:sectPr>
          <w:pgSz w:w="11900" w:h="16820"/>
          <w:pgMar w:top="1600" w:bottom="280" w:left="1680" w:right="1140"/>
        </w:sectPr>
      </w:pPr>
    </w:p>
    <w:p>
      <w:pPr>
        <w:spacing w:before="101"/>
        <w:ind w:left="563" w:right="324" w:firstLine="0"/>
        <w:jc w:val="center"/>
        <w:rPr>
          <w:b/>
          <w:sz w:val="28"/>
        </w:rPr>
      </w:pPr>
      <w:r>
        <w:rPr>
          <w:b/>
          <w:sz w:val="28"/>
        </w:rPr>
        <w:t>ÖNSÖZ</w:t>
      </w:r>
    </w:p>
    <w:p>
      <w:pPr>
        <w:pStyle w:val="BodyText"/>
        <w:spacing w:line="360" w:lineRule="auto" w:before="184"/>
        <w:ind w:right="306" w:firstLine="708"/>
      </w:pPr>
      <w:r>
        <w:rPr>
          <w:spacing w:val="-3"/>
        </w:rPr>
        <w:t>Bu </w:t>
      </w:r>
      <w:r>
        <w:rPr>
          <w:spacing w:val="-4"/>
        </w:rPr>
        <w:t>tezin hazırlanma </w:t>
      </w:r>
      <w:r>
        <w:rPr>
          <w:spacing w:val="-5"/>
        </w:rPr>
        <w:t>sürecindeki </w:t>
      </w:r>
      <w:r>
        <w:rPr>
          <w:spacing w:val="-4"/>
        </w:rPr>
        <w:t>temel </w:t>
      </w:r>
      <w:r>
        <w:rPr>
          <w:spacing w:val="-5"/>
        </w:rPr>
        <w:t>motivasyonlardan </w:t>
      </w:r>
      <w:r>
        <w:rPr>
          <w:spacing w:val="-3"/>
        </w:rPr>
        <w:t>bir </w:t>
      </w:r>
      <w:r>
        <w:rPr>
          <w:spacing w:val="-4"/>
        </w:rPr>
        <w:t>tanesi ülkemiz pazarlama</w:t>
      </w:r>
      <w:r>
        <w:rPr>
          <w:spacing w:val="52"/>
        </w:rPr>
        <w:t> </w:t>
      </w:r>
      <w:r>
        <w:rPr>
          <w:spacing w:val="-4"/>
        </w:rPr>
        <w:t>akademisine yeni </w:t>
      </w:r>
      <w:r>
        <w:rPr/>
        <w:t>ve </w:t>
      </w:r>
      <w:r>
        <w:rPr>
          <w:spacing w:val="-4"/>
        </w:rPr>
        <w:t>farklı </w:t>
      </w:r>
      <w:r>
        <w:rPr>
          <w:spacing w:val="-3"/>
        </w:rPr>
        <w:t>bir </w:t>
      </w:r>
      <w:r>
        <w:rPr>
          <w:spacing w:val="-4"/>
        </w:rPr>
        <w:t>metodolojik bakış </w:t>
      </w:r>
      <w:r>
        <w:rPr>
          <w:spacing w:val="-5"/>
        </w:rPr>
        <w:t>kazandırabilmek </w:t>
      </w:r>
      <w:r>
        <w:rPr>
          <w:spacing w:val="-4"/>
        </w:rPr>
        <w:t>olmuştur. </w:t>
      </w:r>
      <w:r>
        <w:rPr>
          <w:spacing w:val="-3"/>
        </w:rPr>
        <w:t>Bu </w:t>
      </w:r>
      <w:r>
        <w:rPr>
          <w:spacing w:val="-4"/>
        </w:rPr>
        <w:t>motivasyonun</w:t>
      </w:r>
      <w:r>
        <w:rPr>
          <w:spacing w:val="52"/>
        </w:rPr>
        <w:t> </w:t>
      </w:r>
      <w:r>
        <w:rPr>
          <w:spacing w:val="-4"/>
        </w:rPr>
        <w:t>ortaya </w:t>
      </w:r>
      <w:r>
        <w:rPr>
          <w:spacing w:val="-5"/>
        </w:rPr>
        <w:t>çıkışında </w:t>
      </w:r>
      <w:r>
        <w:rPr>
          <w:spacing w:val="-4"/>
        </w:rPr>
        <w:t>fikirleri, </w:t>
      </w:r>
      <w:r>
        <w:rPr>
          <w:spacing w:val="-5"/>
        </w:rPr>
        <w:t>tavsiyeleri </w:t>
      </w:r>
      <w:r>
        <w:rPr/>
        <w:t>ve </w:t>
      </w:r>
      <w:r>
        <w:rPr>
          <w:spacing w:val="-4"/>
        </w:rPr>
        <w:t>yol göstericiliği </w:t>
      </w:r>
      <w:r>
        <w:rPr>
          <w:spacing w:val="-3"/>
        </w:rPr>
        <w:t>ile </w:t>
      </w:r>
      <w:r>
        <w:rPr>
          <w:spacing w:val="-4"/>
        </w:rPr>
        <w:t>başrol oynayan, “öğrenmeyi öğrenmek”</w:t>
      </w:r>
      <w:r>
        <w:rPr>
          <w:spacing w:val="52"/>
        </w:rPr>
        <w:t> </w:t>
      </w:r>
      <w:r>
        <w:rPr>
          <w:spacing w:val="-4"/>
        </w:rPr>
        <w:t>konusunda</w:t>
      </w:r>
      <w:r>
        <w:rPr>
          <w:spacing w:val="52"/>
        </w:rPr>
        <w:t> </w:t>
      </w:r>
      <w:r>
        <w:rPr>
          <w:spacing w:val="-4"/>
        </w:rPr>
        <w:t>ufkumu</w:t>
      </w:r>
      <w:r>
        <w:rPr>
          <w:spacing w:val="52"/>
        </w:rPr>
        <w:t> </w:t>
      </w:r>
      <w:r>
        <w:rPr>
          <w:spacing w:val="-4"/>
        </w:rPr>
        <w:t>genişleten</w:t>
      </w:r>
      <w:r>
        <w:rPr>
          <w:spacing w:val="52"/>
        </w:rPr>
        <w:t> </w:t>
      </w:r>
      <w:r>
        <w:rPr>
          <w:spacing w:val="-4"/>
        </w:rPr>
        <w:t>değerli</w:t>
      </w:r>
      <w:r>
        <w:rPr>
          <w:spacing w:val="52"/>
        </w:rPr>
        <w:t> </w:t>
      </w:r>
      <w:r>
        <w:rPr>
          <w:spacing w:val="-4"/>
        </w:rPr>
        <w:t>danışman</w:t>
      </w:r>
      <w:r>
        <w:rPr>
          <w:spacing w:val="52"/>
        </w:rPr>
        <w:t> </w:t>
      </w:r>
      <w:r>
        <w:rPr>
          <w:spacing w:val="-4"/>
        </w:rPr>
        <w:t>hocam</w:t>
      </w:r>
      <w:r>
        <w:rPr>
          <w:spacing w:val="52"/>
        </w:rPr>
        <w:t> </w:t>
      </w:r>
      <w:r>
        <w:rPr>
          <w:spacing w:val="-4"/>
        </w:rPr>
        <w:t>Prof.</w:t>
      </w:r>
      <w:r>
        <w:rPr>
          <w:spacing w:val="52"/>
        </w:rPr>
        <w:t> </w:t>
      </w:r>
      <w:r>
        <w:rPr>
          <w:spacing w:val="-4"/>
        </w:rPr>
        <w:t>Dr.</w:t>
      </w:r>
      <w:r>
        <w:rPr>
          <w:spacing w:val="52"/>
        </w:rPr>
        <w:t> </w:t>
      </w:r>
      <w:r>
        <w:rPr>
          <w:spacing w:val="-4"/>
        </w:rPr>
        <w:t>Ahmet </w:t>
      </w:r>
      <w:r>
        <w:rPr>
          <w:spacing w:val="-5"/>
        </w:rPr>
        <w:t>BARDAKCI’ya </w:t>
      </w:r>
      <w:r>
        <w:rPr>
          <w:spacing w:val="-4"/>
        </w:rPr>
        <w:t>sonsuz teşekkür </w:t>
      </w:r>
      <w:r>
        <w:rPr>
          <w:spacing w:val="-5"/>
        </w:rPr>
        <w:t>ediyorum.</w:t>
      </w:r>
    </w:p>
    <w:p>
      <w:pPr>
        <w:pStyle w:val="BodyText"/>
        <w:spacing w:line="360" w:lineRule="auto" w:before="160"/>
        <w:ind w:right="306" w:firstLine="708"/>
      </w:pPr>
      <w:r>
        <w:rPr>
          <w:spacing w:val="-5"/>
        </w:rPr>
        <w:t>Lisansüstü eğitimim </w:t>
      </w:r>
      <w:r>
        <w:rPr>
          <w:spacing w:val="-4"/>
        </w:rPr>
        <w:t>sürecinde </w:t>
      </w:r>
      <w:r>
        <w:rPr>
          <w:spacing w:val="-5"/>
        </w:rPr>
        <w:t>desteklerini </w:t>
      </w:r>
      <w:r>
        <w:rPr>
          <w:spacing w:val="-4"/>
        </w:rPr>
        <w:t>esirgemeyen, </w:t>
      </w:r>
      <w:r>
        <w:rPr>
          <w:spacing w:val="-3"/>
        </w:rPr>
        <w:t>bu </w:t>
      </w:r>
      <w:r>
        <w:rPr>
          <w:spacing w:val="-4"/>
        </w:rPr>
        <w:t>tezin hazırlanmasında bilgi </w:t>
      </w:r>
      <w:r>
        <w:rPr>
          <w:spacing w:val="-3"/>
        </w:rPr>
        <w:t>ve </w:t>
      </w:r>
      <w:r>
        <w:rPr>
          <w:spacing w:val="-5"/>
        </w:rPr>
        <w:t>görüşleriyle </w:t>
      </w:r>
      <w:r>
        <w:rPr>
          <w:spacing w:val="-3"/>
        </w:rPr>
        <w:t>yol </w:t>
      </w:r>
      <w:r>
        <w:rPr>
          <w:spacing w:val="-4"/>
        </w:rPr>
        <w:t>gösteren değerli </w:t>
      </w:r>
      <w:r>
        <w:rPr>
          <w:spacing w:val="-5"/>
        </w:rPr>
        <w:t>hocalarım </w:t>
      </w:r>
      <w:r>
        <w:rPr>
          <w:spacing w:val="-4"/>
        </w:rPr>
        <w:t>Prof. Dr. Duygu KOÇOĞLU, Prof. Dr. Selçuk Burak</w:t>
      </w:r>
      <w:r>
        <w:rPr>
          <w:spacing w:val="-16"/>
        </w:rPr>
        <w:t> </w:t>
      </w:r>
      <w:r>
        <w:rPr>
          <w:spacing w:val="-4"/>
        </w:rPr>
        <w:t>HAŞILOĞLU</w:t>
      </w:r>
      <w:r>
        <w:rPr>
          <w:spacing w:val="-18"/>
        </w:rPr>
        <w:t> </w:t>
      </w:r>
      <w:r>
        <w:rPr/>
        <w:t>ve</w:t>
      </w:r>
      <w:r>
        <w:rPr>
          <w:spacing w:val="-17"/>
        </w:rPr>
        <w:t> </w:t>
      </w:r>
      <w:r>
        <w:rPr>
          <w:spacing w:val="-4"/>
        </w:rPr>
        <w:t>Prof.</w:t>
      </w:r>
      <w:r>
        <w:rPr>
          <w:spacing w:val="-15"/>
        </w:rPr>
        <w:t> </w:t>
      </w:r>
      <w:r>
        <w:rPr>
          <w:spacing w:val="-3"/>
        </w:rPr>
        <w:t>Dr.</w:t>
      </w:r>
      <w:r>
        <w:rPr>
          <w:spacing w:val="-19"/>
        </w:rPr>
        <w:t> </w:t>
      </w:r>
      <w:r>
        <w:rPr>
          <w:spacing w:val="-4"/>
        </w:rPr>
        <w:t>Süleyman</w:t>
      </w:r>
      <w:r>
        <w:rPr>
          <w:spacing w:val="-18"/>
        </w:rPr>
        <w:t> </w:t>
      </w:r>
      <w:r>
        <w:rPr>
          <w:spacing w:val="-4"/>
        </w:rPr>
        <w:t>BARUTÇU’ya,</w:t>
      </w:r>
      <w:r>
        <w:rPr>
          <w:spacing w:val="-16"/>
        </w:rPr>
        <w:t> </w:t>
      </w:r>
      <w:r>
        <w:rPr>
          <w:spacing w:val="-3"/>
        </w:rPr>
        <w:t>bu</w:t>
      </w:r>
      <w:r>
        <w:rPr>
          <w:spacing w:val="-15"/>
        </w:rPr>
        <w:t> </w:t>
      </w:r>
      <w:r>
        <w:rPr>
          <w:spacing w:val="-4"/>
        </w:rPr>
        <w:t>tezin</w:t>
      </w:r>
      <w:r>
        <w:rPr>
          <w:spacing w:val="-19"/>
        </w:rPr>
        <w:t> </w:t>
      </w:r>
      <w:r>
        <w:rPr>
          <w:spacing w:val="-3"/>
        </w:rPr>
        <w:t>daha</w:t>
      </w:r>
      <w:r>
        <w:rPr>
          <w:spacing w:val="-16"/>
        </w:rPr>
        <w:t> </w:t>
      </w:r>
      <w:r>
        <w:rPr>
          <w:spacing w:val="-4"/>
        </w:rPr>
        <w:t>iyi</w:t>
      </w:r>
      <w:r>
        <w:rPr>
          <w:spacing w:val="-16"/>
        </w:rPr>
        <w:t> </w:t>
      </w:r>
      <w:r>
        <w:rPr>
          <w:spacing w:val="-4"/>
        </w:rPr>
        <w:t>hale</w:t>
      </w:r>
      <w:r>
        <w:rPr>
          <w:spacing w:val="-16"/>
        </w:rPr>
        <w:t> </w:t>
      </w:r>
      <w:r>
        <w:rPr>
          <w:spacing w:val="-4"/>
        </w:rPr>
        <w:t>gelmesi</w:t>
      </w:r>
      <w:r>
        <w:rPr>
          <w:spacing w:val="-16"/>
        </w:rPr>
        <w:t> </w:t>
      </w:r>
      <w:r>
        <w:rPr>
          <w:spacing w:val="-4"/>
        </w:rPr>
        <w:t>adına fikir </w:t>
      </w:r>
      <w:r>
        <w:rPr/>
        <w:t>ve </w:t>
      </w:r>
      <w:r>
        <w:rPr>
          <w:spacing w:val="-5"/>
        </w:rPr>
        <w:t>görüşlerini </w:t>
      </w:r>
      <w:r>
        <w:rPr>
          <w:spacing w:val="-4"/>
        </w:rPr>
        <w:t>sunarak destek olan </w:t>
      </w:r>
      <w:r>
        <w:rPr>
          <w:spacing w:val="-5"/>
        </w:rPr>
        <w:t>değerli hocalarım </w:t>
      </w:r>
      <w:r>
        <w:rPr>
          <w:spacing w:val="-4"/>
        </w:rPr>
        <w:t>Prof. </w:t>
      </w:r>
      <w:r>
        <w:rPr>
          <w:spacing w:val="-3"/>
        </w:rPr>
        <w:t>Dr. </w:t>
      </w:r>
      <w:r>
        <w:rPr>
          <w:spacing w:val="-4"/>
        </w:rPr>
        <w:t>Alper ÖZER </w:t>
      </w:r>
      <w:r>
        <w:rPr/>
        <w:t>ve </w:t>
      </w:r>
      <w:r>
        <w:rPr>
          <w:spacing w:val="-4"/>
        </w:rPr>
        <w:t>Prof. Dr. Bayram Zafer ERDOĞAN’a teşekkürü bir </w:t>
      </w:r>
      <w:r>
        <w:rPr>
          <w:spacing w:val="-3"/>
        </w:rPr>
        <w:t>borç</w:t>
      </w:r>
      <w:r>
        <w:rPr>
          <w:spacing w:val="-33"/>
        </w:rPr>
        <w:t> </w:t>
      </w:r>
      <w:r>
        <w:rPr>
          <w:spacing w:val="-5"/>
        </w:rPr>
        <w:t>bilirim.</w:t>
      </w:r>
    </w:p>
    <w:p>
      <w:pPr>
        <w:pStyle w:val="BodyText"/>
        <w:spacing w:before="160"/>
        <w:ind w:left="1256"/>
      </w:pPr>
      <w:r>
        <w:rPr/>
        <w:t>Her zaman yanımda olan aileme ve dostlarıma ne kadar teşekkür etsem azdır.</w:t>
      </w:r>
    </w:p>
    <w:p>
      <w:pPr>
        <w:pStyle w:val="BodyText"/>
        <w:spacing w:before="1"/>
        <w:ind w:left="0"/>
        <w:jc w:val="left"/>
        <w:rPr>
          <w:sz w:val="26"/>
        </w:rPr>
      </w:pPr>
    </w:p>
    <w:p>
      <w:pPr>
        <w:pStyle w:val="BodyText"/>
        <w:spacing w:line="360" w:lineRule="auto"/>
        <w:ind w:right="307" w:firstLine="708"/>
      </w:pPr>
      <w:r>
        <w:rPr>
          <w:spacing w:val="-3"/>
        </w:rPr>
        <w:t>Bu</w:t>
      </w:r>
      <w:r>
        <w:rPr>
          <w:spacing w:val="-21"/>
        </w:rPr>
        <w:t> </w:t>
      </w:r>
      <w:r>
        <w:rPr>
          <w:spacing w:val="-4"/>
        </w:rPr>
        <w:t>tezi,</w:t>
      </w:r>
      <w:r>
        <w:rPr>
          <w:spacing w:val="-18"/>
        </w:rPr>
        <w:t> </w:t>
      </w:r>
      <w:r>
        <w:rPr>
          <w:spacing w:val="-4"/>
        </w:rPr>
        <w:t>aklın</w:t>
      </w:r>
      <w:r>
        <w:rPr>
          <w:spacing w:val="-19"/>
        </w:rPr>
        <w:t> </w:t>
      </w:r>
      <w:r>
        <w:rPr/>
        <w:t>ve</w:t>
      </w:r>
      <w:r>
        <w:rPr>
          <w:spacing w:val="-19"/>
        </w:rPr>
        <w:t> </w:t>
      </w:r>
      <w:r>
        <w:rPr>
          <w:spacing w:val="-4"/>
        </w:rPr>
        <w:t>bilimin</w:t>
      </w:r>
      <w:r>
        <w:rPr>
          <w:spacing w:val="-18"/>
        </w:rPr>
        <w:t> </w:t>
      </w:r>
      <w:r>
        <w:rPr>
          <w:spacing w:val="-4"/>
        </w:rPr>
        <w:t>yolundan</w:t>
      </w:r>
      <w:r>
        <w:rPr>
          <w:spacing w:val="-21"/>
        </w:rPr>
        <w:t> </w:t>
      </w:r>
      <w:r>
        <w:rPr>
          <w:spacing w:val="-4"/>
        </w:rPr>
        <w:t>şaşmayacağına</w:t>
      </w:r>
      <w:r>
        <w:rPr>
          <w:spacing w:val="-19"/>
        </w:rPr>
        <w:t> </w:t>
      </w:r>
      <w:r>
        <w:rPr>
          <w:spacing w:val="-5"/>
        </w:rPr>
        <w:t>inandığım</w:t>
      </w:r>
      <w:r>
        <w:rPr>
          <w:spacing w:val="-17"/>
        </w:rPr>
        <w:t> </w:t>
      </w:r>
      <w:r>
        <w:rPr>
          <w:spacing w:val="-4"/>
        </w:rPr>
        <w:t>sevgili</w:t>
      </w:r>
      <w:r>
        <w:rPr>
          <w:spacing w:val="-18"/>
        </w:rPr>
        <w:t> </w:t>
      </w:r>
      <w:r>
        <w:rPr>
          <w:spacing w:val="-4"/>
        </w:rPr>
        <w:t>kızım</w:t>
      </w:r>
      <w:r>
        <w:rPr>
          <w:spacing w:val="-17"/>
        </w:rPr>
        <w:t> </w:t>
      </w:r>
      <w:r>
        <w:rPr>
          <w:spacing w:val="-4"/>
        </w:rPr>
        <w:t>Zehra</w:t>
      </w:r>
      <w:r>
        <w:rPr>
          <w:spacing w:val="-16"/>
        </w:rPr>
        <w:t> </w:t>
      </w:r>
      <w:r>
        <w:rPr>
          <w:spacing w:val="-4"/>
        </w:rPr>
        <w:t>Duru’ya ithaf</w:t>
      </w:r>
      <w:r>
        <w:rPr>
          <w:spacing w:val="-8"/>
        </w:rPr>
        <w:t> </w:t>
      </w:r>
      <w:r>
        <w:rPr>
          <w:spacing w:val="-4"/>
        </w:rPr>
        <w:t>ediyorum.</w:t>
      </w:r>
    </w:p>
    <w:p>
      <w:pPr>
        <w:pStyle w:val="BodyText"/>
        <w:spacing w:before="159"/>
        <w:ind w:left="0" w:right="309"/>
        <w:jc w:val="right"/>
      </w:pPr>
      <w:r>
        <w:rPr/>
        <w:t>Murat KANTAR</w:t>
      </w:r>
    </w:p>
    <w:p>
      <w:pPr>
        <w:spacing w:after="0"/>
        <w:jc w:val="right"/>
        <w:sectPr>
          <w:headerReference w:type="default" r:id="rId7"/>
          <w:pgSz w:w="12240" w:h="15840"/>
          <w:pgMar w:header="718" w:footer="0" w:top="1300" w:bottom="280" w:left="1720" w:right="820"/>
          <w:pgNumType w:start="3"/>
        </w:sectPr>
      </w:pPr>
    </w:p>
    <w:p>
      <w:pPr>
        <w:spacing w:before="101"/>
        <w:ind w:left="459" w:right="328" w:firstLine="0"/>
        <w:jc w:val="center"/>
        <w:rPr>
          <w:b/>
          <w:sz w:val="28"/>
        </w:rPr>
      </w:pPr>
      <w:r>
        <w:rPr>
          <w:b/>
          <w:sz w:val="28"/>
        </w:rPr>
        <w:t>ÖZET</w:t>
      </w:r>
    </w:p>
    <w:p>
      <w:pPr>
        <w:pStyle w:val="Heading1"/>
        <w:spacing w:line="237" w:lineRule="auto" w:before="265"/>
        <w:ind w:left="461" w:right="328" w:firstLine="0"/>
        <w:jc w:val="center"/>
      </w:pPr>
      <w:r>
        <w:rPr/>
        <w:t>ONLİNE PAZAR YERLERİNDE TÜKETİCİ YORUMLARININ HACİM VE DEĞERLİKLERİNİN SATIŞLAR ÜZERİNDEKİ ETKİSİ</w:t>
      </w:r>
    </w:p>
    <w:p>
      <w:pPr>
        <w:pStyle w:val="BodyText"/>
        <w:spacing w:before="3"/>
        <w:ind w:left="0"/>
        <w:jc w:val="left"/>
        <w:rPr>
          <w:b/>
          <w:sz w:val="23"/>
        </w:rPr>
      </w:pPr>
    </w:p>
    <w:p>
      <w:pPr>
        <w:pStyle w:val="BodyText"/>
        <w:spacing w:line="242" w:lineRule="auto"/>
        <w:ind w:left="4329" w:right="3829" w:hanging="264"/>
        <w:jc w:val="left"/>
      </w:pPr>
      <w:r>
        <w:rPr/>
        <w:t>KANTAR, Murat Doktora Tezi İşletme ABD</w:t>
      </w:r>
    </w:p>
    <w:p>
      <w:pPr>
        <w:pStyle w:val="BodyText"/>
        <w:spacing w:line="273" w:lineRule="exact"/>
        <w:ind w:left="557" w:right="328"/>
        <w:jc w:val="center"/>
      </w:pPr>
      <w:r>
        <w:rPr/>
        <w:t>Genel İşletme Doktora Programı</w:t>
      </w:r>
    </w:p>
    <w:p>
      <w:pPr>
        <w:pStyle w:val="BodyText"/>
        <w:spacing w:line="448" w:lineRule="auto"/>
        <w:ind w:left="2764" w:right="2529"/>
        <w:jc w:val="center"/>
      </w:pPr>
      <w:r>
        <w:rPr/>
        <w:t>Tez Yöneticisi: Prof. Dr. Ahmet BARDAKCI Temmuz 2020, XI+157 Sayfa</w:t>
      </w:r>
    </w:p>
    <w:p>
      <w:pPr>
        <w:pStyle w:val="Heading1"/>
        <w:spacing w:line="235" w:lineRule="exact"/>
        <w:ind w:left="1256" w:firstLine="0"/>
      </w:pPr>
      <w:r>
        <w:rPr/>
        <w:t>İnternet, insanoğlunun daha önce görülmemiş miktarda bilgiye daha</w:t>
      </w:r>
      <w:r>
        <w:rPr>
          <w:spacing w:val="56"/>
        </w:rPr>
        <w:t> </w:t>
      </w:r>
      <w:r>
        <w:rPr/>
        <w:t>önce</w:t>
      </w:r>
    </w:p>
    <w:p>
      <w:pPr>
        <w:spacing w:before="1"/>
        <w:ind w:left="548" w:right="309" w:firstLine="0"/>
        <w:jc w:val="both"/>
        <w:rPr>
          <w:b/>
          <w:sz w:val="24"/>
        </w:rPr>
      </w:pPr>
      <w:r>
        <w:rPr>
          <w:b/>
          <w:sz w:val="24"/>
        </w:rPr>
        <w:t>görülmemiş kolaylıkta erişebilmesini mümkün kılmıştır. Bu durum, pek çok alan gibi alışveriş süreçlerini de etkilemiştir. Özellikle internette bulunan tüketici yorumları satın alma kararları verilirken başvurulan temel kaynaklardan birisi haline gelmiştir. İnternetteki</w:t>
      </w:r>
      <w:r>
        <w:rPr>
          <w:b/>
          <w:spacing w:val="-9"/>
          <w:sz w:val="24"/>
        </w:rPr>
        <w:t> </w:t>
      </w:r>
      <w:r>
        <w:rPr>
          <w:b/>
          <w:sz w:val="24"/>
        </w:rPr>
        <w:t>tüketici</w:t>
      </w:r>
      <w:r>
        <w:rPr>
          <w:b/>
          <w:spacing w:val="-9"/>
          <w:sz w:val="24"/>
        </w:rPr>
        <w:t> </w:t>
      </w:r>
      <w:r>
        <w:rPr>
          <w:b/>
          <w:sz w:val="24"/>
        </w:rPr>
        <w:t>yorumlarının</w:t>
      </w:r>
      <w:r>
        <w:rPr>
          <w:b/>
          <w:spacing w:val="-8"/>
          <w:sz w:val="24"/>
        </w:rPr>
        <w:t> </w:t>
      </w:r>
      <w:r>
        <w:rPr>
          <w:b/>
          <w:sz w:val="24"/>
        </w:rPr>
        <w:t>satın</w:t>
      </w:r>
      <w:r>
        <w:rPr>
          <w:b/>
          <w:spacing w:val="-9"/>
          <w:sz w:val="24"/>
        </w:rPr>
        <w:t> </w:t>
      </w:r>
      <w:r>
        <w:rPr>
          <w:b/>
          <w:sz w:val="24"/>
        </w:rPr>
        <w:t>alma</w:t>
      </w:r>
      <w:r>
        <w:rPr>
          <w:b/>
          <w:spacing w:val="-9"/>
          <w:sz w:val="24"/>
        </w:rPr>
        <w:t> </w:t>
      </w:r>
      <w:r>
        <w:rPr>
          <w:b/>
          <w:sz w:val="24"/>
        </w:rPr>
        <w:t>sürecindeki</w:t>
      </w:r>
      <w:r>
        <w:rPr>
          <w:b/>
          <w:spacing w:val="-9"/>
          <w:sz w:val="24"/>
        </w:rPr>
        <w:t> </w:t>
      </w:r>
      <w:r>
        <w:rPr>
          <w:b/>
          <w:sz w:val="24"/>
        </w:rPr>
        <w:t>bu</w:t>
      </w:r>
      <w:r>
        <w:rPr>
          <w:b/>
          <w:spacing w:val="-9"/>
          <w:sz w:val="24"/>
        </w:rPr>
        <w:t> </w:t>
      </w:r>
      <w:r>
        <w:rPr>
          <w:b/>
          <w:sz w:val="24"/>
        </w:rPr>
        <w:t>rolünden</w:t>
      </w:r>
      <w:r>
        <w:rPr>
          <w:b/>
          <w:spacing w:val="-9"/>
          <w:sz w:val="24"/>
        </w:rPr>
        <w:t> </w:t>
      </w:r>
      <w:r>
        <w:rPr>
          <w:b/>
          <w:sz w:val="24"/>
        </w:rPr>
        <w:t>yola</w:t>
      </w:r>
      <w:r>
        <w:rPr>
          <w:b/>
          <w:spacing w:val="-9"/>
          <w:sz w:val="24"/>
        </w:rPr>
        <w:t> </w:t>
      </w:r>
      <w:r>
        <w:rPr>
          <w:b/>
          <w:sz w:val="24"/>
        </w:rPr>
        <w:t>çıkarak,</w:t>
      </w:r>
      <w:r>
        <w:rPr>
          <w:b/>
          <w:spacing w:val="-9"/>
          <w:sz w:val="24"/>
        </w:rPr>
        <w:t> </w:t>
      </w:r>
      <w:r>
        <w:rPr>
          <w:b/>
          <w:sz w:val="24"/>
        </w:rPr>
        <w:t>bu çalışma online tüketici yorumlarının satışları ne düzeyde etkilediğini irdelemeyi hedeflemektedir.</w:t>
      </w:r>
      <w:r>
        <w:rPr>
          <w:b/>
          <w:spacing w:val="-4"/>
          <w:sz w:val="24"/>
        </w:rPr>
        <w:t> </w:t>
      </w:r>
      <w:r>
        <w:rPr>
          <w:b/>
          <w:sz w:val="24"/>
        </w:rPr>
        <w:t>Bu</w:t>
      </w:r>
      <w:r>
        <w:rPr>
          <w:b/>
          <w:spacing w:val="-7"/>
          <w:sz w:val="24"/>
        </w:rPr>
        <w:t> </w:t>
      </w:r>
      <w:r>
        <w:rPr>
          <w:b/>
          <w:sz w:val="24"/>
        </w:rPr>
        <w:t>doğrultuda</w:t>
      </w:r>
      <w:r>
        <w:rPr>
          <w:b/>
          <w:spacing w:val="-5"/>
          <w:sz w:val="24"/>
        </w:rPr>
        <w:t> </w:t>
      </w:r>
      <w:r>
        <w:rPr>
          <w:b/>
          <w:sz w:val="24"/>
        </w:rPr>
        <w:t>iki</w:t>
      </w:r>
      <w:r>
        <w:rPr>
          <w:b/>
          <w:spacing w:val="-7"/>
          <w:sz w:val="24"/>
        </w:rPr>
        <w:t> </w:t>
      </w:r>
      <w:r>
        <w:rPr>
          <w:b/>
          <w:sz w:val="24"/>
        </w:rPr>
        <w:t>uygulama</w:t>
      </w:r>
      <w:r>
        <w:rPr>
          <w:b/>
          <w:spacing w:val="-10"/>
          <w:sz w:val="24"/>
        </w:rPr>
        <w:t> </w:t>
      </w:r>
      <w:r>
        <w:rPr>
          <w:b/>
          <w:sz w:val="24"/>
        </w:rPr>
        <w:t>gerçekleştirilmiştir.</w:t>
      </w:r>
      <w:r>
        <w:rPr>
          <w:b/>
          <w:spacing w:val="-3"/>
          <w:sz w:val="24"/>
        </w:rPr>
        <w:t> </w:t>
      </w:r>
      <w:r>
        <w:rPr>
          <w:b/>
          <w:sz w:val="24"/>
        </w:rPr>
        <w:t>Her</w:t>
      </w:r>
      <w:r>
        <w:rPr>
          <w:b/>
          <w:spacing w:val="-6"/>
          <w:sz w:val="24"/>
        </w:rPr>
        <w:t> </w:t>
      </w:r>
      <w:r>
        <w:rPr>
          <w:b/>
          <w:sz w:val="24"/>
        </w:rPr>
        <w:t>iki</w:t>
      </w:r>
      <w:r>
        <w:rPr>
          <w:b/>
          <w:spacing w:val="-7"/>
          <w:sz w:val="24"/>
        </w:rPr>
        <w:t> </w:t>
      </w:r>
      <w:r>
        <w:rPr>
          <w:b/>
          <w:sz w:val="24"/>
        </w:rPr>
        <w:t>uygulamada da veriler genelleştirilmiş momentler yöntemi (GMM) ile analiz edilmiştir. İlk uygulama, ürünlere yapılan yorumlar ile ürün satışları arasındaki ilişkiye odaklanmaktadır.</w:t>
      </w:r>
      <w:r>
        <w:rPr>
          <w:b/>
          <w:spacing w:val="-13"/>
          <w:sz w:val="24"/>
        </w:rPr>
        <w:t> </w:t>
      </w:r>
      <w:r>
        <w:rPr>
          <w:b/>
          <w:sz w:val="24"/>
        </w:rPr>
        <w:t>İlk</w:t>
      </w:r>
      <w:r>
        <w:rPr>
          <w:b/>
          <w:spacing w:val="-11"/>
          <w:sz w:val="24"/>
        </w:rPr>
        <w:t> </w:t>
      </w:r>
      <w:r>
        <w:rPr>
          <w:b/>
          <w:sz w:val="24"/>
        </w:rPr>
        <w:t>uygulama</w:t>
      </w:r>
      <w:r>
        <w:rPr>
          <w:b/>
          <w:spacing w:val="-13"/>
          <w:sz w:val="24"/>
        </w:rPr>
        <w:t> </w:t>
      </w:r>
      <w:r>
        <w:rPr>
          <w:b/>
          <w:sz w:val="24"/>
        </w:rPr>
        <w:t>için</w:t>
      </w:r>
      <w:r>
        <w:rPr>
          <w:b/>
          <w:spacing w:val="-11"/>
          <w:sz w:val="24"/>
        </w:rPr>
        <w:t> </w:t>
      </w:r>
      <w:r>
        <w:rPr>
          <w:b/>
          <w:sz w:val="24"/>
        </w:rPr>
        <w:t>Amazon.com’dan,</w:t>
      </w:r>
      <w:r>
        <w:rPr>
          <w:b/>
          <w:spacing w:val="-14"/>
          <w:sz w:val="24"/>
        </w:rPr>
        <w:t> </w:t>
      </w:r>
      <w:r>
        <w:rPr>
          <w:b/>
          <w:sz w:val="24"/>
        </w:rPr>
        <w:t>dört</w:t>
      </w:r>
      <w:r>
        <w:rPr>
          <w:b/>
          <w:spacing w:val="-13"/>
          <w:sz w:val="24"/>
        </w:rPr>
        <w:t> </w:t>
      </w:r>
      <w:r>
        <w:rPr>
          <w:b/>
          <w:sz w:val="24"/>
        </w:rPr>
        <w:t>farklı</w:t>
      </w:r>
      <w:r>
        <w:rPr>
          <w:b/>
          <w:spacing w:val="-12"/>
          <w:sz w:val="24"/>
        </w:rPr>
        <w:t> </w:t>
      </w:r>
      <w:r>
        <w:rPr>
          <w:b/>
          <w:sz w:val="24"/>
        </w:rPr>
        <w:t>ürün</w:t>
      </w:r>
      <w:r>
        <w:rPr>
          <w:b/>
          <w:spacing w:val="-11"/>
          <w:sz w:val="24"/>
        </w:rPr>
        <w:t> </w:t>
      </w:r>
      <w:r>
        <w:rPr>
          <w:b/>
          <w:sz w:val="24"/>
        </w:rPr>
        <w:t>kategorisinden toplam 161 ürüne ait 31 haftalık veri toplanmıştır. Analizler neticesinde, ürün yorumlarının tüm hacim ve değerlik özelliklerinin satışları etkilediği tespit edilmiştir. Ayrıca, analiz sonuçlarına göre yorumlar ile satışlar arasındaki ilişki ürün kategorilerine</w:t>
      </w:r>
      <w:r>
        <w:rPr>
          <w:b/>
          <w:spacing w:val="-7"/>
          <w:sz w:val="24"/>
        </w:rPr>
        <w:t> </w:t>
      </w:r>
      <w:r>
        <w:rPr>
          <w:b/>
          <w:sz w:val="24"/>
        </w:rPr>
        <w:t>göre</w:t>
      </w:r>
      <w:r>
        <w:rPr>
          <w:b/>
          <w:spacing w:val="-7"/>
          <w:sz w:val="24"/>
        </w:rPr>
        <w:t> </w:t>
      </w:r>
      <w:r>
        <w:rPr>
          <w:b/>
          <w:sz w:val="24"/>
        </w:rPr>
        <w:t>farklılaşmaktadır.</w:t>
      </w:r>
      <w:r>
        <w:rPr>
          <w:b/>
          <w:spacing w:val="-2"/>
          <w:sz w:val="24"/>
        </w:rPr>
        <w:t> </w:t>
      </w:r>
      <w:r>
        <w:rPr>
          <w:b/>
          <w:sz w:val="24"/>
        </w:rPr>
        <w:t>İkinci</w:t>
      </w:r>
      <w:r>
        <w:rPr>
          <w:b/>
          <w:spacing w:val="-8"/>
          <w:sz w:val="24"/>
        </w:rPr>
        <w:t> </w:t>
      </w:r>
      <w:r>
        <w:rPr>
          <w:b/>
          <w:sz w:val="24"/>
        </w:rPr>
        <w:t>uygulama</w:t>
      </w:r>
      <w:r>
        <w:rPr>
          <w:b/>
          <w:spacing w:val="-7"/>
          <w:sz w:val="24"/>
        </w:rPr>
        <w:t> </w:t>
      </w:r>
      <w:r>
        <w:rPr>
          <w:b/>
          <w:sz w:val="24"/>
        </w:rPr>
        <w:t>ise,</w:t>
      </w:r>
      <w:r>
        <w:rPr>
          <w:b/>
          <w:spacing w:val="-6"/>
          <w:sz w:val="24"/>
        </w:rPr>
        <w:t> </w:t>
      </w:r>
      <w:r>
        <w:rPr>
          <w:b/>
          <w:sz w:val="24"/>
        </w:rPr>
        <w:t>satıcılara</w:t>
      </w:r>
      <w:r>
        <w:rPr>
          <w:b/>
          <w:spacing w:val="-6"/>
          <w:sz w:val="24"/>
        </w:rPr>
        <w:t> </w:t>
      </w:r>
      <w:r>
        <w:rPr>
          <w:b/>
          <w:sz w:val="24"/>
        </w:rPr>
        <w:t>yapılan</w:t>
      </w:r>
      <w:r>
        <w:rPr>
          <w:b/>
          <w:spacing w:val="-6"/>
          <w:sz w:val="24"/>
        </w:rPr>
        <w:t> </w:t>
      </w:r>
      <w:r>
        <w:rPr>
          <w:b/>
          <w:sz w:val="24"/>
        </w:rPr>
        <w:t>yorumlar ile satıcıların satış miktarları arasındaki ilişkiye odaklanmaktadır. İkinci uygulama için Etsy.com’dan, 142 satıcıya ait 40 haftalık veri toplanmıştır. Analiz sonuçlarına göre, satıcılara yapılan yorumların hacim ve değerlik özellikleri satışları etkilemektedir. Sonuçlara göre, ayrıca, geçmiş dönem satışları mevcut dönem satışlarını tüketici yorumlarından daha fazla</w:t>
      </w:r>
      <w:r>
        <w:rPr>
          <w:b/>
          <w:spacing w:val="-2"/>
          <w:sz w:val="24"/>
        </w:rPr>
        <w:t> </w:t>
      </w:r>
      <w:r>
        <w:rPr>
          <w:b/>
          <w:sz w:val="24"/>
        </w:rPr>
        <w:t>etkilemektedir.</w:t>
      </w:r>
    </w:p>
    <w:p>
      <w:pPr>
        <w:pStyle w:val="BodyText"/>
        <w:spacing w:before="4"/>
        <w:ind w:left="0"/>
        <w:jc w:val="left"/>
        <w:rPr>
          <w:b/>
          <w:sz w:val="31"/>
        </w:rPr>
      </w:pPr>
    </w:p>
    <w:p>
      <w:pPr>
        <w:pStyle w:val="BodyText"/>
        <w:ind w:right="312" w:firstLine="708"/>
        <w:jc w:val="left"/>
      </w:pPr>
      <w:r>
        <w:rPr>
          <w:b/>
        </w:rPr>
        <w:t>Anahtar Kelimeler: </w:t>
      </w:r>
      <w:r>
        <w:rPr/>
        <w:t>Online Tüketici Yorumları, Ürün Yorumları, Satıcı Yorumları, Satışlar, Genelleştirilmiş Momentler Yöntemi (GMM)</w:t>
      </w:r>
    </w:p>
    <w:p>
      <w:pPr>
        <w:spacing w:after="0"/>
        <w:jc w:val="left"/>
        <w:sectPr>
          <w:pgSz w:w="12240" w:h="15840"/>
          <w:pgMar w:header="718" w:footer="0" w:top="1300" w:bottom="280" w:left="1720" w:right="820"/>
        </w:sectPr>
      </w:pPr>
    </w:p>
    <w:p>
      <w:pPr>
        <w:spacing w:before="99"/>
        <w:ind w:left="563" w:right="326" w:firstLine="0"/>
        <w:jc w:val="center"/>
        <w:rPr>
          <w:b/>
          <w:sz w:val="28"/>
        </w:rPr>
      </w:pPr>
      <w:r>
        <w:rPr>
          <w:b/>
          <w:sz w:val="28"/>
        </w:rPr>
        <w:t>ABSTRACT</w:t>
      </w:r>
    </w:p>
    <w:p>
      <w:pPr>
        <w:pStyle w:val="BodyText"/>
        <w:spacing w:before="4"/>
        <w:ind w:left="0"/>
        <w:jc w:val="left"/>
        <w:rPr>
          <w:b/>
          <w:sz w:val="31"/>
        </w:rPr>
      </w:pPr>
    </w:p>
    <w:p>
      <w:pPr>
        <w:pStyle w:val="Heading1"/>
        <w:spacing w:before="1"/>
        <w:ind w:left="563" w:right="328" w:firstLine="0"/>
        <w:jc w:val="center"/>
      </w:pPr>
      <w:r>
        <w:rPr/>
        <w:t>THE INFLUENCE OF VOLUME AND VALENCE OF CONSUMER REVIEWS ON SALES AT ONLINE MARKETPLACES</w:t>
      </w:r>
    </w:p>
    <w:p>
      <w:pPr>
        <w:pStyle w:val="BodyText"/>
        <w:spacing w:before="11"/>
        <w:ind w:left="0"/>
        <w:jc w:val="left"/>
        <w:rPr>
          <w:b/>
          <w:sz w:val="22"/>
        </w:rPr>
      </w:pPr>
    </w:p>
    <w:p>
      <w:pPr>
        <w:pStyle w:val="BodyText"/>
        <w:spacing w:line="242" w:lineRule="auto"/>
        <w:ind w:left="4084" w:right="3829" w:hanging="20"/>
        <w:jc w:val="left"/>
      </w:pPr>
      <w:r>
        <w:rPr/>
        <w:t>KANTAR, Murat Ph.D. Dissertation</w:t>
      </w:r>
    </w:p>
    <w:p>
      <w:pPr>
        <w:pStyle w:val="BodyText"/>
        <w:ind w:left="3357" w:right="3102" w:firstLine="456"/>
        <w:jc w:val="left"/>
      </w:pPr>
      <w:r>
        <w:rPr/>
        <w:t>Department of Business Ph.D. in Business Administration</w:t>
      </w:r>
    </w:p>
    <w:p>
      <w:pPr>
        <w:pStyle w:val="BodyText"/>
        <w:spacing w:line="448" w:lineRule="auto"/>
        <w:ind w:left="3752" w:right="2695" w:hanging="807"/>
        <w:jc w:val="left"/>
      </w:pPr>
      <w:r>
        <w:rPr/>
        <w:t>Supervisor: Prof. Dr. Ahmet BARDAKCI July 2020, XI+157 Pages</w:t>
      </w:r>
    </w:p>
    <w:p>
      <w:pPr>
        <w:pStyle w:val="Heading1"/>
        <w:spacing w:line="236" w:lineRule="exact"/>
        <w:ind w:left="1256" w:firstLine="0"/>
      </w:pPr>
      <w:r>
        <w:rPr/>
        <w:t>The Internet has made it possible to access unprecedented amounts of</w:t>
      </w:r>
    </w:p>
    <w:p>
      <w:pPr>
        <w:spacing w:before="0"/>
        <w:ind w:left="548" w:right="308" w:firstLine="0"/>
        <w:jc w:val="both"/>
        <w:rPr>
          <w:b/>
          <w:sz w:val="24"/>
        </w:rPr>
      </w:pPr>
      <w:r>
        <w:rPr>
          <w:b/>
          <w:sz w:val="24"/>
        </w:rPr>
        <w:t>information with unimagined ease. Thus, the Internet has become the main source of information of the shopping process. In particular, online consumer reviews are assumed to be one of the primary sources of information for the consumer decision making process. In line with this thought, this study aims to examine the influence of online consumer reviews on sales. To reach this aim, two independent studies were conducted. In both studies, the generalized method of moments (GMM) was utilized to analyze the panel data. The first study focuses on the relationship between online product reviews and product sales on Amazon. For this purpose, 31-week data of 161 products</w:t>
      </w:r>
      <w:r>
        <w:rPr>
          <w:b/>
          <w:spacing w:val="-10"/>
          <w:sz w:val="24"/>
        </w:rPr>
        <w:t> </w:t>
      </w:r>
      <w:r>
        <w:rPr>
          <w:b/>
          <w:sz w:val="24"/>
        </w:rPr>
        <w:t>in</w:t>
      </w:r>
      <w:r>
        <w:rPr>
          <w:b/>
          <w:spacing w:val="-11"/>
          <w:sz w:val="24"/>
        </w:rPr>
        <w:t> </w:t>
      </w:r>
      <w:r>
        <w:rPr>
          <w:b/>
          <w:sz w:val="24"/>
        </w:rPr>
        <w:t>four</w:t>
      </w:r>
      <w:r>
        <w:rPr>
          <w:b/>
          <w:spacing w:val="-10"/>
          <w:sz w:val="24"/>
        </w:rPr>
        <w:t> </w:t>
      </w:r>
      <w:r>
        <w:rPr>
          <w:b/>
          <w:sz w:val="24"/>
        </w:rPr>
        <w:t>product</w:t>
      </w:r>
      <w:r>
        <w:rPr>
          <w:b/>
          <w:spacing w:val="-8"/>
          <w:sz w:val="24"/>
        </w:rPr>
        <w:t> </w:t>
      </w:r>
      <w:r>
        <w:rPr>
          <w:b/>
          <w:sz w:val="24"/>
        </w:rPr>
        <w:t>categories</w:t>
      </w:r>
      <w:r>
        <w:rPr>
          <w:b/>
          <w:spacing w:val="-9"/>
          <w:sz w:val="24"/>
        </w:rPr>
        <w:t> </w:t>
      </w:r>
      <w:r>
        <w:rPr>
          <w:b/>
          <w:sz w:val="24"/>
        </w:rPr>
        <w:t>were</w:t>
      </w:r>
      <w:r>
        <w:rPr>
          <w:b/>
          <w:spacing w:val="-11"/>
          <w:sz w:val="24"/>
        </w:rPr>
        <w:t> </w:t>
      </w:r>
      <w:r>
        <w:rPr>
          <w:b/>
          <w:sz w:val="24"/>
        </w:rPr>
        <w:t>collected.</w:t>
      </w:r>
      <w:r>
        <w:rPr>
          <w:b/>
          <w:spacing w:val="-8"/>
          <w:sz w:val="24"/>
        </w:rPr>
        <w:t> </w:t>
      </w:r>
      <w:r>
        <w:rPr>
          <w:b/>
          <w:sz w:val="24"/>
        </w:rPr>
        <w:t>The</w:t>
      </w:r>
      <w:r>
        <w:rPr>
          <w:b/>
          <w:spacing w:val="-11"/>
          <w:sz w:val="24"/>
        </w:rPr>
        <w:t> </w:t>
      </w:r>
      <w:r>
        <w:rPr>
          <w:b/>
          <w:sz w:val="24"/>
        </w:rPr>
        <w:t>results</w:t>
      </w:r>
      <w:r>
        <w:rPr>
          <w:b/>
          <w:spacing w:val="-10"/>
          <w:sz w:val="24"/>
        </w:rPr>
        <w:t> </w:t>
      </w:r>
      <w:r>
        <w:rPr>
          <w:b/>
          <w:sz w:val="24"/>
        </w:rPr>
        <w:t>show</w:t>
      </w:r>
      <w:r>
        <w:rPr>
          <w:b/>
          <w:spacing w:val="-10"/>
          <w:sz w:val="24"/>
        </w:rPr>
        <w:t> </w:t>
      </w:r>
      <w:r>
        <w:rPr>
          <w:b/>
          <w:sz w:val="24"/>
        </w:rPr>
        <w:t>that</w:t>
      </w:r>
      <w:r>
        <w:rPr>
          <w:b/>
          <w:spacing w:val="-9"/>
          <w:sz w:val="24"/>
        </w:rPr>
        <w:t> </w:t>
      </w:r>
      <w:r>
        <w:rPr>
          <w:b/>
          <w:sz w:val="24"/>
        </w:rPr>
        <w:t>all</w:t>
      </w:r>
      <w:r>
        <w:rPr>
          <w:b/>
          <w:spacing w:val="-8"/>
          <w:sz w:val="24"/>
        </w:rPr>
        <w:t> </w:t>
      </w:r>
      <w:r>
        <w:rPr>
          <w:b/>
          <w:sz w:val="24"/>
        </w:rPr>
        <w:t>the</w:t>
      </w:r>
      <w:r>
        <w:rPr>
          <w:b/>
          <w:spacing w:val="-10"/>
          <w:sz w:val="24"/>
        </w:rPr>
        <w:t> </w:t>
      </w:r>
      <w:r>
        <w:rPr>
          <w:b/>
          <w:sz w:val="24"/>
        </w:rPr>
        <w:t>volume and valence characteristics of product reviews influence sales. Also, the results reveal that the relationship between reviews and sales varies for each product category. The second</w:t>
      </w:r>
      <w:r>
        <w:rPr>
          <w:b/>
          <w:spacing w:val="-9"/>
          <w:sz w:val="24"/>
        </w:rPr>
        <w:t> </w:t>
      </w:r>
      <w:r>
        <w:rPr>
          <w:b/>
          <w:sz w:val="24"/>
        </w:rPr>
        <w:t>study</w:t>
      </w:r>
      <w:r>
        <w:rPr>
          <w:b/>
          <w:spacing w:val="-8"/>
          <w:sz w:val="24"/>
        </w:rPr>
        <w:t> </w:t>
      </w:r>
      <w:r>
        <w:rPr>
          <w:b/>
          <w:sz w:val="24"/>
        </w:rPr>
        <w:t>focuses</w:t>
      </w:r>
      <w:r>
        <w:rPr>
          <w:b/>
          <w:spacing w:val="-9"/>
          <w:sz w:val="24"/>
        </w:rPr>
        <w:t> </w:t>
      </w:r>
      <w:r>
        <w:rPr>
          <w:b/>
          <w:sz w:val="24"/>
        </w:rPr>
        <w:t>on</w:t>
      </w:r>
      <w:r>
        <w:rPr>
          <w:b/>
          <w:spacing w:val="-10"/>
          <w:sz w:val="24"/>
        </w:rPr>
        <w:t> </w:t>
      </w:r>
      <w:r>
        <w:rPr>
          <w:b/>
          <w:sz w:val="24"/>
        </w:rPr>
        <w:t>the</w:t>
      </w:r>
      <w:r>
        <w:rPr>
          <w:b/>
          <w:spacing w:val="-10"/>
          <w:sz w:val="24"/>
        </w:rPr>
        <w:t> </w:t>
      </w:r>
      <w:r>
        <w:rPr>
          <w:b/>
          <w:sz w:val="24"/>
        </w:rPr>
        <w:t>relationship</w:t>
      </w:r>
      <w:r>
        <w:rPr>
          <w:b/>
          <w:spacing w:val="-7"/>
          <w:sz w:val="24"/>
        </w:rPr>
        <w:t> </w:t>
      </w:r>
      <w:r>
        <w:rPr>
          <w:b/>
          <w:sz w:val="24"/>
        </w:rPr>
        <w:t>between</w:t>
      </w:r>
      <w:r>
        <w:rPr>
          <w:b/>
          <w:spacing w:val="-6"/>
          <w:sz w:val="24"/>
        </w:rPr>
        <w:t> </w:t>
      </w:r>
      <w:r>
        <w:rPr>
          <w:b/>
          <w:sz w:val="24"/>
        </w:rPr>
        <w:t>reviews</w:t>
      </w:r>
      <w:r>
        <w:rPr>
          <w:b/>
          <w:spacing w:val="-8"/>
          <w:sz w:val="24"/>
        </w:rPr>
        <w:t> </w:t>
      </w:r>
      <w:r>
        <w:rPr>
          <w:b/>
          <w:sz w:val="24"/>
        </w:rPr>
        <w:t>for</w:t>
      </w:r>
      <w:r>
        <w:rPr>
          <w:b/>
          <w:spacing w:val="-10"/>
          <w:sz w:val="24"/>
        </w:rPr>
        <w:t> </w:t>
      </w:r>
      <w:r>
        <w:rPr>
          <w:b/>
          <w:sz w:val="24"/>
        </w:rPr>
        <w:t>online</w:t>
      </w:r>
      <w:r>
        <w:rPr>
          <w:b/>
          <w:spacing w:val="-11"/>
          <w:sz w:val="24"/>
        </w:rPr>
        <w:t> </w:t>
      </w:r>
      <w:r>
        <w:rPr>
          <w:b/>
          <w:sz w:val="24"/>
        </w:rPr>
        <w:t>sellers</w:t>
      </w:r>
      <w:r>
        <w:rPr>
          <w:b/>
          <w:spacing w:val="-8"/>
          <w:sz w:val="24"/>
        </w:rPr>
        <w:t> </w:t>
      </w:r>
      <w:r>
        <w:rPr>
          <w:b/>
          <w:sz w:val="24"/>
        </w:rPr>
        <w:t>and</w:t>
      </w:r>
      <w:r>
        <w:rPr>
          <w:b/>
          <w:spacing w:val="-8"/>
          <w:sz w:val="24"/>
        </w:rPr>
        <w:t> </w:t>
      </w:r>
      <w:r>
        <w:rPr>
          <w:b/>
          <w:sz w:val="24"/>
        </w:rPr>
        <w:t>the</w:t>
      </w:r>
      <w:r>
        <w:rPr>
          <w:b/>
          <w:spacing w:val="-9"/>
          <w:sz w:val="24"/>
        </w:rPr>
        <w:t> </w:t>
      </w:r>
      <w:r>
        <w:rPr>
          <w:b/>
          <w:sz w:val="24"/>
        </w:rPr>
        <w:t>sales quantities of these sellers on Etsy. For the second study, 40-week data of 142 sellers were collected. The results reveal that the volume and valence characteristics of seller reviews influence sales quantities of sellers. Besides, the results show that sales are mostly influenced by sales of the previous</w:t>
      </w:r>
      <w:r>
        <w:rPr>
          <w:b/>
          <w:spacing w:val="-1"/>
          <w:sz w:val="24"/>
        </w:rPr>
        <w:t> </w:t>
      </w:r>
      <w:r>
        <w:rPr>
          <w:b/>
          <w:sz w:val="24"/>
        </w:rPr>
        <w:t>week.</w:t>
      </w:r>
    </w:p>
    <w:p>
      <w:pPr>
        <w:pStyle w:val="BodyText"/>
        <w:spacing w:before="1"/>
        <w:ind w:left="0"/>
        <w:jc w:val="left"/>
        <w:rPr>
          <w:b/>
          <w:sz w:val="31"/>
        </w:rPr>
      </w:pPr>
    </w:p>
    <w:p>
      <w:pPr>
        <w:pStyle w:val="BodyText"/>
        <w:ind w:right="312" w:firstLine="708"/>
        <w:jc w:val="left"/>
      </w:pPr>
      <w:r>
        <w:rPr>
          <w:b/>
        </w:rPr>
        <w:t>Keywords: </w:t>
      </w:r>
      <w:r>
        <w:rPr/>
        <w:t>Online Consumer Reviews, Product Reviews, Seller Reviews, Sales, Generalized Method of Moments (GMM)</w:t>
      </w:r>
    </w:p>
    <w:p>
      <w:pPr>
        <w:spacing w:after="0"/>
        <w:jc w:val="left"/>
        <w:sectPr>
          <w:pgSz w:w="12240" w:h="15840"/>
          <w:pgMar w:header="718" w:footer="0" w:top="1300" w:bottom="280" w:left="1720" w:right="820"/>
        </w:sectPr>
      </w:pPr>
    </w:p>
    <w:p>
      <w:pPr>
        <w:spacing w:before="99"/>
        <w:ind w:left="563" w:right="315" w:firstLine="0"/>
        <w:jc w:val="center"/>
        <w:rPr>
          <w:b/>
          <w:sz w:val="28"/>
        </w:rPr>
      </w:pPr>
      <w:r>
        <w:rPr>
          <w:b/>
          <w:sz w:val="28"/>
        </w:rPr>
        <w:t>İÇİNDEKİLER</w:t>
      </w:r>
    </w:p>
    <w:p>
      <w:pPr>
        <w:pStyle w:val="BodyText"/>
        <w:spacing w:before="10"/>
        <w:ind w:left="0"/>
        <w:jc w:val="left"/>
        <w:rPr>
          <w:b/>
          <w:sz w:val="21"/>
        </w:rPr>
      </w:pPr>
    </w:p>
    <w:tbl>
      <w:tblPr>
        <w:tblW w:w="0" w:type="auto"/>
        <w:jc w:val="lef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41"/>
      </w:tblGrid>
      <w:tr>
        <w:trPr>
          <w:trHeight w:val="270" w:hRule="atLeast"/>
        </w:trPr>
        <w:tc>
          <w:tcPr>
            <w:tcW w:w="9241" w:type="dxa"/>
          </w:tcPr>
          <w:p>
            <w:pPr>
              <w:pStyle w:val="TableParagraph"/>
              <w:tabs>
                <w:tab w:pos="8840" w:val="right" w:leader="dot"/>
              </w:tabs>
              <w:spacing w:line="251" w:lineRule="exact"/>
              <w:ind w:left="0" w:right="198"/>
              <w:jc w:val="right"/>
              <w:rPr>
                <w:sz w:val="24"/>
              </w:rPr>
            </w:pPr>
            <w:r>
              <w:rPr>
                <w:sz w:val="24"/>
              </w:rPr>
              <w:t>ÖNSÖZ</w:t>
              <w:tab/>
              <w:t>iii</w:t>
            </w:r>
          </w:p>
        </w:tc>
      </w:tr>
      <w:tr>
        <w:trPr>
          <w:trHeight w:val="276" w:hRule="atLeast"/>
        </w:trPr>
        <w:tc>
          <w:tcPr>
            <w:tcW w:w="9241" w:type="dxa"/>
          </w:tcPr>
          <w:p>
            <w:pPr>
              <w:pStyle w:val="TableParagraph"/>
              <w:tabs>
                <w:tab w:pos="8840" w:val="right" w:leader="dot"/>
              </w:tabs>
              <w:spacing w:line="256" w:lineRule="exact"/>
              <w:ind w:left="0" w:right="198"/>
              <w:jc w:val="right"/>
              <w:rPr>
                <w:sz w:val="24"/>
              </w:rPr>
            </w:pPr>
            <w:r>
              <w:rPr>
                <w:sz w:val="24"/>
              </w:rPr>
              <w:t>ÖZET</w:t>
              <w:tab/>
              <w:t>iv</w:t>
            </w:r>
          </w:p>
        </w:tc>
      </w:tr>
      <w:tr>
        <w:trPr>
          <w:trHeight w:val="276" w:hRule="atLeast"/>
        </w:trPr>
        <w:tc>
          <w:tcPr>
            <w:tcW w:w="9241" w:type="dxa"/>
          </w:tcPr>
          <w:p>
            <w:pPr>
              <w:pStyle w:val="TableParagraph"/>
              <w:tabs>
                <w:tab w:pos="8804" w:val="right" w:leader="dot"/>
              </w:tabs>
              <w:spacing w:line="256" w:lineRule="exact"/>
              <w:ind w:left="0" w:right="234"/>
              <w:jc w:val="right"/>
              <w:rPr>
                <w:sz w:val="24"/>
              </w:rPr>
            </w:pPr>
            <w:r>
              <w:rPr>
                <w:spacing w:val="8"/>
                <w:sz w:val="24"/>
              </w:rPr>
              <w:t>ABSTRACT</w:t>
              <w:tab/>
            </w:r>
            <w:r>
              <w:rPr>
                <w:sz w:val="24"/>
              </w:rPr>
              <w:t>v</w:t>
            </w:r>
          </w:p>
        </w:tc>
      </w:tr>
      <w:tr>
        <w:trPr>
          <w:trHeight w:val="275" w:hRule="atLeast"/>
        </w:trPr>
        <w:tc>
          <w:tcPr>
            <w:tcW w:w="9241" w:type="dxa"/>
          </w:tcPr>
          <w:p>
            <w:pPr>
              <w:pStyle w:val="TableParagraph"/>
              <w:tabs>
                <w:tab w:pos="8837" w:val="right" w:leader="dot"/>
              </w:tabs>
              <w:spacing w:line="256" w:lineRule="exact"/>
              <w:ind w:left="0" w:right="201"/>
              <w:jc w:val="right"/>
              <w:rPr>
                <w:sz w:val="24"/>
              </w:rPr>
            </w:pPr>
            <w:r>
              <w:rPr>
                <w:spacing w:val="8"/>
                <w:sz w:val="24"/>
              </w:rPr>
              <w:t>İÇİNDEKİLER</w:t>
              <w:tab/>
            </w:r>
            <w:r>
              <w:rPr>
                <w:sz w:val="24"/>
              </w:rPr>
              <w:t>vi</w:t>
            </w:r>
          </w:p>
        </w:tc>
      </w:tr>
      <w:tr>
        <w:trPr>
          <w:trHeight w:val="275" w:hRule="atLeast"/>
        </w:trPr>
        <w:tc>
          <w:tcPr>
            <w:tcW w:w="9241" w:type="dxa"/>
          </w:tcPr>
          <w:p>
            <w:pPr>
              <w:pStyle w:val="TableParagraph"/>
              <w:tabs>
                <w:tab w:pos="8837" w:val="right" w:leader="dot"/>
              </w:tabs>
              <w:spacing w:line="256" w:lineRule="exact"/>
              <w:ind w:left="0" w:right="201"/>
              <w:jc w:val="right"/>
              <w:rPr>
                <w:sz w:val="24"/>
              </w:rPr>
            </w:pPr>
            <w:r>
              <w:rPr>
                <w:spacing w:val="8"/>
                <w:sz w:val="24"/>
              </w:rPr>
              <w:t>ŞEKİLLER</w:t>
            </w:r>
            <w:r>
              <w:rPr>
                <w:spacing w:val="14"/>
                <w:sz w:val="24"/>
              </w:rPr>
              <w:t> </w:t>
            </w:r>
            <w:r>
              <w:rPr>
                <w:spacing w:val="8"/>
                <w:sz w:val="24"/>
              </w:rPr>
              <w:t>DİZİNİ</w:t>
              <w:tab/>
            </w:r>
            <w:r>
              <w:rPr>
                <w:sz w:val="24"/>
              </w:rPr>
              <w:t>vii</w:t>
            </w:r>
          </w:p>
        </w:tc>
      </w:tr>
      <w:tr>
        <w:trPr>
          <w:trHeight w:val="275" w:hRule="atLeast"/>
        </w:trPr>
        <w:tc>
          <w:tcPr>
            <w:tcW w:w="9241" w:type="dxa"/>
          </w:tcPr>
          <w:p>
            <w:pPr>
              <w:pStyle w:val="TableParagraph"/>
              <w:tabs>
                <w:tab w:pos="8837" w:val="right" w:leader="dot"/>
              </w:tabs>
              <w:spacing w:line="256" w:lineRule="exact"/>
              <w:ind w:left="0" w:right="201"/>
              <w:jc w:val="right"/>
              <w:rPr>
                <w:sz w:val="24"/>
              </w:rPr>
            </w:pPr>
            <w:r>
              <w:rPr>
                <w:spacing w:val="7"/>
                <w:sz w:val="24"/>
              </w:rPr>
              <w:t>TABLOLAR</w:t>
            </w:r>
            <w:r>
              <w:rPr>
                <w:spacing w:val="14"/>
                <w:sz w:val="24"/>
              </w:rPr>
              <w:t> </w:t>
            </w:r>
            <w:r>
              <w:rPr>
                <w:spacing w:val="8"/>
                <w:sz w:val="24"/>
              </w:rPr>
              <w:t>DİZİNİ</w:t>
              <w:tab/>
            </w:r>
            <w:r>
              <w:rPr>
                <w:sz w:val="24"/>
              </w:rPr>
              <w:t>viii</w:t>
            </w:r>
          </w:p>
        </w:tc>
      </w:tr>
      <w:tr>
        <w:trPr>
          <w:trHeight w:val="276" w:hRule="atLeast"/>
        </w:trPr>
        <w:tc>
          <w:tcPr>
            <w:tcW w:w="9241" w:type="dxa"/>
          </w:tcPr>
          <w:p>
            <w:pPr>
              <w:pStyle w:val="TableParagraph"/>
              <w:tabs>
                <w:tab w:pos="8838" w:val="right" w:leader="dot"/>
              </w:tabs>
              <w:spacing w:line="256" w:lineRule="exact"/>
              <w:ind w:left="0" w:right="200"/>
              <w:jc w:val="right"/>
              <w:rPr>
                <w:sz w:val="24"/>
              </w:rPr>
            </w:pPr>
            <w:r>
              <w:rPr>
                <w:spacing w:val="7"/>
                <w:sz w:val="24"/>
              </w:rPr>
              <w:t>SİMGE </w:t>
            </w:r>
            <w:r>
              <w:rPr>
                <w:spacing w:val="4"/>
                <w:sz w:val="24"/>
              </w:rPr>
              <w:t>VE</w:t>
            </w:r>
            <w:r>
              <w:rPr>
                <w:spacing w:val="15"/>
                <w:sz w:val="24"/>
              </w:rPr>
              <w:t> </w:t>
            </w:r>
            <w:r>
              <w:rPr>
                <w:spacing w:val="8"/>
                <w:sz w:val="24"/>
              </w:rPr>
              <w:t>KISALTMALAR</w:t>
            </w:r>
            <w:r>
              <w:rPr>
                <w:spacing w:val="12"/>
                <w:sz w:val="24"/>
              </w:rPr>
              <w:t> </w:t>
            </w:r>
            <w:r>
              <w:rPr>
                <w:spacing w:val="7"/>
                <w:sz w:val="24"/>
              </w:rPr>
              <w:t>DİZİNİ</w:t>
              <w:tab/>
            </w:r>
            <w:r>
              <w:rPr>
                <w:sz w:val="24"/>
              </w:rPr>
              <w:t>ix</w:t>
            </w:r>
          </w:p>
        </w:tc>
      </w:tr>
      <w:tr>
        <w:trPr>
          <w:trHeight w:val="397" w:hRule="atLeast"/>
        </w:trPr>
        <w:tc>
          <w:tcPr>
            <w:tcW w:w="9241" w:type="dxa"/>
          </w:tcPr>
          <w:p>
            <w:pPr>
              <w:pStyle w:val="TableParagraph"/>
              <w:tabs>
                <w:tab w:pos="8835" w:val="right" w:leader="dot"/>
              </w:tabs>
              <w:spacing w:line="271" w:lineRule="exact"/>
              <w:ind w:left="0" w:right="204"/>
              <w:jc w:val="right"/>
              <w:rPr>
                <w:sz w:val="24"/>
              </w:rPr>
            </w:pPr>
            <w:r>
              <w:rPr>
                <w:spacing w:val="7"/>
                <w:sz w:val="24"/>
              </w:rPr>
              <w:t>GİRİŞ</w:t>
              <w:tab/>
            </w:r>
            <w:r>
              <w:rPr>
                <w:sz w:val="24"/>
              </w:rPr>
              <w:t>1</w:t>
            </w:r>
          </w:p>
        </w:tc>
      </w:tr>
      <w:tr>
        <w:trPr>
          <w:trHeight w:val="883" w:hRule="atLeast"/>
        </w:trPr>
        <w:tc>
          <w:tcPr>
            <w:tcW w:w="9241" w:type="dxa"/>
          </w:tcPr>
          <w:p>
            <w:pPr>
              <w:pStyle w:val="TableParagraph"/>
              <w:spacing w:before="115"/>
              <w:ind w:left="2982" w:right="2964" w:firstLine="511"/>
              <w:rPr>
                <w:b/>
                <w:sz w:val="28"/>
              </w:rPr>
            </w:pPr>
            <w:r>
              <w:rPr>
                <w:b/>
                <w:sz w:val="28"/>
              </w:rPr>
              <w:t>BİRİNCİ BÖLÜM KAVRAMSAL ÇERÇEVE</w:t>
            </w:r>
          </w:p>
        </w:tc>
      </w:tr>
      <w:tr>
        <w:trPr>
          <w:trHeight w:val="395" w:hRule="atLeast"/>
        </w:trPr>
        <w:tc>
          <w:tcPr>
            <w:tcW w:w="9241" w:type="dxa"/>
          </w:tcPr>
          <w:p>
            <w:pPr>
              <w:pStyle w:val="TableParagraph"/>
              <w:tabs>
                <w:tab w:pos="8838" w:val="right" w:leader="dot"/>
              </w:tabs>
              <w:spacing w:line="261" w:lineRule="exact" w:before="114"/>
              <w:ind w:left="0" w:right="200"/>
              <w:jc w:val="right"/>
              <w:rPr>
                <w:sz w:val="24"/>
              </w:rPr>
            </w:pPr>
            <w:r>
              <w:rPr>
                <w:sz w:val="24"/>
              </w:rPr>
              <w:t>1.1. Online Tüketici Satın Alma</w:t>
            </w:r>
            <w:r>
              <w:rPr>
                <w:spacing w:val="-15"/>
                <w:sz w:val="24"/>
              </w:rPr>
              <w:t> </w:t>
            </w:r>
            <w:r>
              <w:rPr>
                <w:sz w:val="24"/>
              </w:rPr>
              <w:t>Karar</w:t>
            </w:r>
            <w:r>
              <w:rPr>
                <w:spacing w:val="-5"/>
                <w:sz w:val="24"/>
              </w:rPr>
              <w:t> </w:t>
            </w:r>
            <w:r>
              <w:rPr>
                <w:sz w:val="24"/>
              </w:rPr>
              <w:t>Süreci</w:t>
              <w:tab/>
              <w:t>7</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1.1.1. İhtiyacın</w:t>
            </w:r>
            <w:r>
              <w:rPr>
                <w:spacing w:val="-6"/>
                <w:sz w:val="24"/>
              </w:rPr>
              <w:t> </w:t>
            </w:r>
            <w:r>
              <w:rPr>
                <w:sz w:val="24"/>
              </w:rPr>
              <w:t>Ortaya</w:t>
            </w:r>
            <w:r>
              <w:rPr>
                <w:spacing w:val="-4"/>
                <w:sz w:val="24"/>
              </w:rPr>
              <w:t> </w:t>
            </w:r>
            <w:r>
              <w:rPr>
                <w:sz w:val="24"/>
              </w:rPr>
              <w:t>Çıkması</w:t>
              <w:tab/>
              <w:t>9</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1.1.2.</w:t>
            </w:r>
            <w:r>
              <w:rPr>
                <w:spacing w:val="-11"/>
                <w:sz w:val="24"/>
              </w:rPr>
              <w:t> </w:t>
            </w:r>
            <w:r>
              <w:rPr>
                <w:sz w:val="24"/>
              </w:rPr>
              <w:t>Bilgi</w:t>
            </w:r>
            <w:r>
              <w:rPr>
                <w:spacing w:val="-10"/>
                <w:sz w:val="24"/>
              </w:rPr>
              <w:t> </w:t>
            </w:r>
            <w:r>
              <w:rPr>
                <w:sz w:val="24"/>
              </w:rPr>
              <w:t>Arama</w:t>
              <w:tab/>
              <w:t>10</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1.1.3.</w:t>
            </w:r>
            <w:r>
              <w:rPr>
                <w:spacing w:val="-13"/>
                <w:sz w:val="24"/>
              </w:rPr>
              <w:t> </w:t>
            </w:r>
            <w:r>
              <w:rPr>
                <w:sz w:val="24"/>
              </w:rPr>
              <w:t>Güven</w:t>
            </w:r>
            <w:r>
              <w:rPr>
                <w:spacing w:val="-10"/>
                <w:sz w:val="24"/>
              </w:rPr>
              <w:t> </w:t>
            </w:r>
            <w:r>
              <w:rPr>
                <w:sz w:val="24"/>
              </w:rPr>
              <w:t>İnşası</w:t>
              <w:tab/>
              <w:t>13</w:t>
            </w:r>
          </w:p>
        </w:tc>
      </w:tr>
      <w:tr>
        <w:trPr>
          <w:trHeight w:val="275" w:hRule="atLeast"/>
        </w:trPr>
        <w:tc>
          <w:tcPr>
            <w:tcW w:w="9241" w:type="dxa"/>
          </w:tcPr>
          <w:p>
            <w:pPr>
              <w:pStyle w:val="TableParagraph"/>
              <w:tabs>
                <w:tab w:pos="8531" w:val="right" w:leader="dot"/>
              </w:tabs>
              <w:spacing w:line="256" w:lineRule="exact"/>
              <w:ind w:left="0" w:right="200"/>
              <w:jc w:val="right"/>
              <w:rPr>
                <w:sz w:val="24"/>
              </w:rPr>
            </w:pPr>
            <w:r>
              <w:rPr>
                <w:sz w:val="24"/>
              </w:rPr>
              <w:t>1.1.4.</w:t>
            </w:r>
            <w:r>
              <w:rPr>
                <w:spacing w:val="-9"/>
                <w:sz w:val="24"/>
              </w:rPr>
              <w:t> </w:t>
            </w:r>
            <w:r>
              <w:rPr>
                <w:sz w:val="24"/>
              </w:rPr>
              <w:t>Alternatiflerin</w:t>
            </w:r>
            <w:r>
              <w:rPr>
                <w:spacing w:val="-8"/>
                <w:sz w:val="24"/>
              </w:rPr>
              <w:t> </w:t>
            </w:r>
            <w:r>
              <w:rPr>
                <w:sz w:val="24"/>
              </w:rPr>
              <w:t>Değerlendirilmesi</w:t>
              <w:tab/>
            </w:r>
            <w:r>
              <w:rPr>
                <w:spacing w:val="-3"/>
                <w:sz w:val="24"/>
              </w:rPr>
              <w:t>14</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1.1.5. Satın</w:t>
            </w:r>
            <w:r>
              <w:rPr>
                <w:spacing w:val="-7"/>
                <w:sz w:val="24"/>
              </w:rPr>
              <w:t> </w:t>
            </w:r>
            <w:r>
              <w:rPr>
                <w:sz w:val="24"/>
              </w:rPr>
              <w:t>Alma</w:t>
            </w:r>
            <w:r>
              <w:rPr>
                <w:spacing w:val="-3"/>
                <w:sz w:val="24"/>
              </w:rPr>
              <w:t> </w:t>
            </w:r>
            <w:r>
              <w:rPr>
                <w:sz w:val="24"/>
              </w:rPr>
              <w:t>Kararı</w:t>
              <w:tab/>
              <w:t>16</w:t>
            </w:r>
          </w:p>
        </w:tc>
      </w:tr>
      <w:tr>
        <w:trPr>
          <w:trHeight w:val="276" w:hRule="atLeast"/>
        </w:trPr>
        <w:tc>
          <w:tcPr>
            <w:tcW w:w="9241" w:type="dxa"/>
          </w:tcPr>
          <w:p>
            <w:pPr>
              <w:pStyle w:val="TableParagraph"/>
              <w:tabs>
                <w:tab w:pos="8528" w:val="right" w:leader="dot"/>
              </w:tabs>
              <w:spacing w:line="256" w:lineRule="exact"/>
              <w:ind w:left="0" w:right="204"/>
              <w:jc w:val="right"/>
              <w:rPr>
                <w:sz w:val="24"/>
              </w:rPr>
            </w:pPr>
            <w:r>
              <w:rPr>
                <w:sz w:val="24"/>
              </w:rPr>
              <w:t>1.1.6. Satın Alma</w:t>
            </w:r>
            <w:r>
              <w:rPr>
                <w:spacing w:val="-2"/>
                <w:sz w:val="24"/>
              </w:rPr>
              <w:t> </w:t>
            </w:r>
            <w:r>
              <w:rPr>
                <w:sz w:val="24"/>
              </w:rPr>
              <w:t>Sonrası</w:t>
            </w:r>
            <w:r>
              <w:rPr>
                <w:spacing w:val="-1"/>
                <w:sz w:val="24"/>
              </w:rPr>
              <w:t> </w:t>
            </w:r>
            <w:r>
              <w:rPr>
                <w:sz w:val="24"/>
              </w:rPr>
              <w:t>Değerlendirme</w:t>
              <w:tab/>
              <w:t>17</w:t>
            </w:r>
          </w:p>
        </w:tc>
      </w:tr>
      <w:tr>
        <w:trPr>
          <w:trHeight w:val="275" w:hRule="atLeast"/>
        </w:trPr>
        <w:tc>
          <w:tcPr>
            <w:tcW w:w="9241" w:type="dxa"/>
          </w:tcPr>
          <w:p>
            <w:pPr>
              <w:pStyle w:val="TableParagraph"/>
              <w:tabs>
                <w:tab w:pos="8840" w:val="right" w:leader="dot"/>
              </w:tabs>
              <w:spacing w:line="256" w:lineRule="exact"/>
              <w:ind w:left="0" w:right="198"/>
              <w:jc w:val="right"/>
              <w:rPr>
                <w:sz w:val="24"/>
              </w:rPr>
            </w:pPr>
            <w:r>
              <w:rPr>
                <w:sz w:val="24"/>
              </w:rPr>
              <w:t>1.2. Ağızdan</w:t>
            </w:r>
            <w:r>
              <w:rPr>
                <w:spacing w:val="-1"/>
                <w:sz w:val="24"/>
              </w:rPr>
              <w:t> </w:t>
            </w:r>
            <w:r>
              <w:rPr>
                <w:sz w:val="24"/>
              </w:rPr>
              <w:t>Ağıza</w:t>
            </w:r>
            <w:r>
              <w:rPr>
                <w:spacing w:val="1"/>
                <w:sz w:val="24"/>
              </w:rPr>
              <w:t> </w:t>
            </w:r>
            <w:r>
              <w:rPr>
                <w:sz w:val="24"/>
              </w:rPr>
              <w:t>İletişim</w:t>
              <w:tab/>
              <w:t>18</w:t>
            </w:r>
          </w:p>
        </w:tc>
      </w:tr>
      <w:tr>
        <w:trPr>
          <w:trHeight w:val="276" w:hRule="atLeast"/>
        </w:trPr>
        <w:tc>
          <w:tcPr>
            <w:tcW w:w="9241" w:type="dxa"/>
          </w:tcPr>
          <w:p>
            <w:pPr>
              <w:pStyle w:val="TableParagraph"/>
              <w:tabs>
                <w:tab w:pos="8531" w:val="right" w:leader="dot"/>
              </w:tabs>
              <w:spacing w:line="256" w:lineRule="exact"/>
              <w:ind w:left="0" w:right="200"/>
              <w:jc w:val="right"/>
              <w:rPr>
                <w:sz w:val="24"/>
              </w:rPr>
            </w:pPr>
            <w:r>
              <w:rPr>
                <w:sz w:val="24"/>
              </w:rPr>
              <w:t>1.2.1. Ağızdan Ağıza İletişim</w:t>
            </w:r>
            <w:r>
              <w:rPr>
                <w:spacing w:val="-20"/>
                <w:sz w:val="24"/>
              </w:rPr>
              <w:t> </w:t>
            </w:r>
            <w:r>
              <w:rPr>
                <w:sz w:val="24"/>
              </w:rPr>
              <w:t>Teorisinin</w:t>
            </w:r>
            <w:r>
              <w:rPr>
                <w:spacing w:val="-6"/>
                <w:sz w:val="24"/>
              </w:rPr>
              <w:t> </w:t>
            </w:r>
            <w:r>
              <w:rPr>
                <w:sz w:val="24"/>
              </w:rPr>
              <w:t>Evrimi</w:t>
              <w:tab/>
            </w:r>
            <w:r>
              <w:rPr>
                <w:spacing w:val="-3"/>
                <w:sz w:val="24"/>
              </w:rPr>
              <w:t>18</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1.2.1.1. Tüketiciler Arası Organik</w:t>
            </w:r>
            <w:r>
              <w:rPr>
                <w:spacing w:val="-10"/>
                <w:sz w:val="24"/>
              </w:rPr>
              <w:t> </w:t>
            </w:r>
            <w:r>
              <w:rPr>
                <w:sz w:val="24"/>
              </w:rPr>
              <w:t>Etki</w:t>
            </w:r>
            <w:r>
              <w:rPr>
                <w:spacing w:val="-3"/>
                <w:sz w:val="24"/>
              </w:rPr>
              <w:t> </w:t>
            </w:r>
            <w:r>
              <w:rPr>
                <w:sz w:val="24"/>
              </w:rPr>
              <w:t>Modeli</w:t>
              <w:tab/>
              <w:t>19</w:t>
            </w:r>
          </w:p>
        </w:tc>
      </w:tr>
      <w:tr>
        <w:trPr>
          <w:trHeight w:val="275" w:hRule="atLeast"/>
        </w:trPr>
        <w:tc>
          <w:tcPr>
            <w:tcW w:w="9241" w:type="dxa"/>
          </w:tcPr>
          <w:p>
            <w:pPr>
              <w:pStyle w:val="TableParagraph"/>
              <w:tabs>
                <w:tab w:pos="8528" w:val="right" w:leader="dot"/>
              </w:tabs>
              <w:spacing w:line="256" w:lineRule="exact"/>
              <w:ind w:left="0" w:right="204"/>
              <w:jc w:val="right"/>
              <w:rPr>
                <w:sz w:val="24"/>
              </w:rPr>
            </w:pPr>
            <w:r>
              <w:rPr>
                <w:sz w:val="24"/>
              </w:rPr>
              <w:t>1.2.1.2. Doğrusal Pazarlamacı</w:t>
            </w:r>
            <w:r>
              <w:rPr>
                <w:spacing w:val="-1"/>
                <w:sz w:val="24"/>
              </w:rPr>
              <w:t> </w:t>
            </w:r>
            <w:r>
              <w:rPr>
                <w:sz w:val="24"/>
              </w:rPr>
              <w:t>Etkisi Modeli</w:t>
              <w:tab/>
              <w:t>19</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1.2.1.3. Ağ Ortak</w:t>
            </w:r>
            <w:r>
              <w:rPr>
                <w:spacing w:val="-23"/>
                <w:sz w:val="24"/>
              </w:rPr>
              <w:t> </w:t>
            </w:r>
            <w:r>
              <w:rPr>
                <w:sz w:val="24"/>
              </w:rPr>
              <w:t>Üretim</w:t>
            </w:r>
            <w:r>
              <w:rPr>
                <w:spacing w:val="-5"/>
                <w:sz w:val="24"/>
              </w:rPr>
              <w:t> </w:t>
            </w:r>
            <w:r>
              <w:rPr>
                <w:sz w:val="24"/>
              </w:rPr>
              <w:t>Modeli</w:t>
              <w:tab/>
              <w:t>20</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1.2.2.</w:t>
            </w:r>
            <w:r>
              <w:rPr>
                <w:spacing w:val="-13"/>
                <w:sz w:val="24"/>
              </w:rPr>
              <w:t> </w:t>
            </w:r>
            <w:r>
              <w:rPr>
                <w:sz w:val="24"/>
              </w:rPr>
              <w:t>Ağızdan</w:t>
            </w:r>
            <w:r>
              <w:rPr>
                <w:spacing w:val="-12"/>
                <w:sz w:val="24"/>
              </w:rPr>
              <w:t> </w:t>
            </w:r>
            <w:r>
              <w:rPr>
                <w:sz w:val="24"/>
              </w:rPr>
              <w:t>Ağıza</w:t>
            </w:r>
            <w:r>
              <w:rPr>
                <w:spacing w:val="-11"/>
                <w:sz w:val="24"/>
              </w:rPr>
              <w:t> </w:t>
            </w:r>
            <w:r>
              <w:rPr>
                <w:sz w:val="24"/>
              </w:rPr>
              <w:t>İletişime</w:t>
            </w:r>
            <w:r>
              <w:rPr>
                <w:spacing w:val="-13"/>
                <w:sz w:val="24"/>
              </w:rPr>
              <w:t> </w:t>
            </w:r>
            <w:r>
              <w:rPr>
                <w:sz w:val="24"/>
              </w:rPr>
              <w:t>Katılım</w:t>
            </w:r>
            <w:r>
              <w:rPr>
                <w:spacing w:val="-12"/>
                <w:sz w:val="24"/>
              </w:rPr>
              <w:t> </w:t>
            </w:r>
            <w:r>
              <w:rPr>
                <w:sz w:val="24"/>
              </w:rPr>
              <w:t>Güdüleri</w:t>
              <w:tab/>
              <w:t>21</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1.2.2.1.</w:t>
            </w:r>
            <w:r>
              <w:rPr>
                <w:spacing w:val="-4"/>
                <w:sz w:val="24"/>
              </w:rPr>
              <w:t> </w:t>
            </w:r>
            <w:r>
              <w:rPr>
                <w:sz w:val="24"/>
              </w:rPr>
              <w:t>Alıcının</w:t>
            </w:r>
            <w:r>
              <w:rPr>
                <w:spacing w:val="-2"/>
                <w:sz w:val="24"/>
              </w:rPr>
              <w:t> </w:t>
            </w:r>
            <w:r>
              <w:rPr>
                <w:sz w:val="24"/>
              </w:rPr>
              <w:t>Güdüleri</w:t>
              <w:tab/>
              <w:t>21</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1.2.2.2.</w:t>
            </w:r>
            <w:r>
              <w:rPr>
                <w:spacing w:val="-11"/>
                <w:sz w:val="24"/>
              </w:rPr>
              <w:t> </w:t>
            </w:r>
            <w:r>
              <w:rPr>
                <w:sz w:val="24"/>
              </w:rPr>
              <w:t>Kaynağın</w:t>
            </w:r>
            <w:r>
              <w:rPr>
                <w:spacing w:val="-7"/>
                <w:sz w:val="24"/>
              </w:rPr>
              <w:t> </w:t>
            </w:r>
            <w:r>
              <w:rPr>
                <w:sz w:val="24"/>
              </w:rPr>
              <w:t>Güdüleri</w:t>
              <w:tab/>
              <w:t>23</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1.2.3. Ağızdan Ağıza</w:t>
            </w:r>
            <w:r>
              <w:rPr>
                <w:spacing w:val="-28"/>
                <w:sz w:val="24"/>
              </w:rPr>
              <w:t> </w:t>
            </w:r>
            <w:r>
              <w:rPr>
                <w:sz w:val="24"/>
              </w:rPr>
              <w:t>İletişimin</w:t>
            </w:r>
            <w:r>
              <w:rPr>
                <w:spacing w:val="-10"/>
                <w:sz w:val="24"/>
              </w:rPr>
              <w:t> </w:t>
            </w:r>
            <w:r>
              <w:rPr>
                <w:sz w:val="24"/>
              </w:rPr>
              <w:t>Gücü</w:t>
              <w:tab/>
              <w:t>26</w:t>
            </w:r>
          </w:p>
        </w:tc>
      </w:tr>
      <w:tr>
        <w:trPr>
          <w:trHeight w:val="276" w:hRule="atLeast"/>
        </w:trPr>
        <w:tc>
          <w:tcPr>
            <w:tcW w:w="9241" w:type="dxa"/>
          </w:tcPr>
          <w:p>
            <w:pPr>
              <w:pStyle w:val="TableParagraph"/>
              <w:tabs>
                <w:tab w:pos="8833" w:val="right" w:leader="dot"/>
              </w:tabs>
              <w:spacing w:line="256" w:lineRule="exact"/>
              <w:ind w:left="0" w:right="205"/>
              <w:jc w:val="right"/>
              <w:rPr>
                <w:sz w:val="24"/>
              </w:rPr>
            </w:pPr>
            <w:r>
              <w:rPr>
                <w:sz w:val="24"/>
              </w:rPr>
              <w:t>1.3. Elektronik Ağızdan</w:t>
            </w:r>
            <w:r>
              <w:rPr>
                <w:spacing w:val="1"/>
                <w:sz w:val="24"/>
              </w:rPr>
              <w:t> </w:t>
            </w:r>
            <w:r>
              <w:rPr>
                <w:sz w:val="24"/>
              </w:rPr>
              <w:t>Ağıza</w:t>
            </w:r>
            <w:r>
              <w:rPr>
                <w:spacing w:val="1"/>
                <w:sz w:val="24"/>
              </w:rPr>
              <w:t> </w:t>
            </w:r>
            <w:r>
              <w:rPr>
                <w:sz w:val="24"/>
              </w:rPr>
              <w:t>İletişim</w:t>
              <w:tab/>
              <w:t>29</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1.3.1. Elektronik Ağızdan Ağıza</w:t>
            </w:r>
            <w:r>
              <w:rPr>
                <w:spacing w:val="-12"/>
                <w:sz w:val="24"/>
              </w:rPr>
              <w:t> </w:t>
            </w:r>
            <w:r>
              <w:rPr>
                <w:sz w:val="24"/>
              </w:rPr>
              <w:t>İletişimin</w:t>
            </w:r>
            <w:r>
              <w:rPr>
                <w:spacing w:val="-2"/>
                <w:sz w:val="24"/>
              </w:rPr>
              <w:t> </w:t>
            </w:r>
            <w:r>
              <w:rPr>
                <w:sz w:val="24"/>
              </w:rPr>
              <w:t>Özellikleri</w:t>
              <w:tab/>
              <w:t>30</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1.3.1.1.</w:t>
            </w:r>
            <w:r>
              <w:rPr>
                <w:spacing w:val="-9"/>
                <w:sz w:val="24"/>
              </w:rPr>
              <w:t> </w:t>
            </w:r>
            <w:r>
              <w:rPr>
                <w:sz w:val="24"/>
              </w:rPr>
              <w:t>Hacim</w:t>
              <w:tab/>
              <w:t>30</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1.3.1.2.</w:t>
            </w:r>
            <w:r>
              <w:rPr>
                <w:spacing w:val="-11"/>
                <w:sz w:val="24"/>
              </w:rPr>
              <w:t> </w:t>
            </w:r>
            <w:r>
              <w:rPr>
                <w:sz w:val="24"/>
              </w:rPr>
              <w:t>Değerlik</w:t>
              <w:tab/>
              <w:t>31</w:t>
            </w:r>
          </w:p>
        </w:tc>
      </w:tr>
      <w:tr>
        <w:trPr>
          <w:trHeight w:val="276" w:hRule="atLeast"/>
        </w:trPr>
        <w:tc>
          <w:tcPr>
            <w:tcW w:w="9241" w:type="dxa"/>
          </w:tcPr>
          <w:p>
            <w:pPr>
              <w:pStyle w:val="TableParagraph"/>
              <w:tabs>
                <w:tab w:pos="8528" w:val="right" w:leader="dot"/>
              </w:tabs>
              <w:spacing w:line="256" w:lineRule="exact"/>
              <w:ind w:left="0" w:right="204"/>
              <w:jc w:val="right"/>
              <w:rPr>
                <w:sz w:val="24"/>
              </w:rPr>
            </w:pPr>
            <w:r>
              <w:rPr>
                <w:sz w:val="24"/>
              </w:rPr>
              <w:t>1.3.1.3.</w:t>
            </w:r>
            <w:r>
              <w:rPr>
                <w:spacing w:val="-1"/>
                <w:sz w:val="24"/>
              </w:rPr>
              <w:t> </w:t>
            </w:r>
            <w:r>
              <w:rPr>
                <w:sz w:val="24"/>
              </w:rPr>
              <w:t>Yayılım</w:t>
              <w:tab/>
              <w:t>32</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1.3.1.4. Kalıcılık</w:t>
            </w:r>
            <w:r>
              <w:rPr>
                <w:spacing w:val="-21"/>
                <w:sz w:val="24"/>
              </w:rPr>
              <w:t> </w:t>
            </w:r>
            <w:r>
              <w:rPr>
                <w:sz w:val="24"/>
              </w:rPr>
              <w:t>ve</w:t>
            </w:r>
            <w:r>
              <w:rPr>
                <w:spacing w:val="-11"/>
                <w:sz w:val="24"/>
              </w:rPr>
              <w:t> </w:t>
            </w:r>
            <w:r>
              <w:rPr>
                <w:sz w:val="24"/>
              </w:rPr>
              <w:t>Gözlemlenebilirlik</w:t>
              <w:tab/>
              <w:t>33</w:t>
            </w:r>
          </w:p>
        </w:tc>
      </w:tr>
      <w:tr>
        <w:trPr>
          <w:trHeight w:val="275" w:hRule="atLeast"/>
        </w:trPr>
        <w:tc>
          <w:tcPr>
            <w:tcW w:w="9241" w:type="dxa"/>
          </w:tcPr>
          <w:p>
            <w:pPr>
              <w:pStyle w:val="TableParagraph"/>
              <w:tabs>
                <w:tab w:pos="8531" w:val="right" w:leader="dot"/>
              </w:tabs>
              <w:spacing w:line="256" w:lineRule="exact"/>
              <w:ind w:left="0" w:right="200"/>
              <w:jc w:val="right"/>
              <w:rPr>
                <w:sz w:val="24"/>
              </w:rPr>
            </w:pPr>
            <w:r>
              <w:rPr>
                <w:sz w:val="24"/>
              </w:rPr>
              <w:t>1.3.1.5. Anonimlik</w:t>
            </w:r>
            <w:r>
              <w:rPr>
                <w:spacing w:val="-16"/>
                <w:sz w:val="24"/>
              </w:rPr>
              <w:t> </w:t>
            </w:r>
            <w:r>
              <w:rPr>
                <w:sz w:val="24"/>
              </w:rPr>
              <w:t>ve</w:t>
            </w:r>
            <w:r>
              <w:rPr>
                <w:spacing w:val="-9"/>
                <w:sz w:val="24"/>
              </w:rPr>
              <w:t> </w:t>
            </w:r>
            <w:r>
              <w:rPr>
                <w:sz w:val="24"/>
              </w:rPr>
              <w:t>Aldatma</w:t>
              <w:tab/>
            </w:r>
            <w:r>
              <w:rPr>
                <w:spacing w:val="-3"/>
                <w:sz w:val="24"/>
              </w:rPr>
              <w:t>33</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1.3.1.6.</w:t>
            </w:r>
            <w:r>
              <w:rPr>
                <w:spacing w:val="-13"/>
                <w:sz w:val="24"/>
              </w:rPr>
              <w:t> </w:t>
            </w:r>
            <w:r>
              <w:rPr>
                <w:sz w:val="24"/>
              </w:rPr>
              <w:t>Topluluk</w:t>
            </w:r>
            <w:r>
              <w:rPr>
                <w:spacing w:val="-12"/>
                <w:sz w:val="24"/>
              </w:rPr>
              <w:t> </w:t>
            </w:r>
            <w:r>
              <w:rPr>
                <w:sz w:val="24"/>
              </w:rPr>
              <w:t>Katılımı</w:t>
              <w:tab/>
              <w:t>34</w:t>
            </w:r>
          </w:p>
        </w:tc>
      </w:tr>
      <w:tr>
        <w:trPr>
          <w:trHeight w:val="552" w:hRule="atLeast"/>
        </w:trPr>
        <w:tc>
          <w:tcPr>
            <w:tcW w:w="9241" w:type="dxa"/>
          </w:tcPr>
          <w:p>
            <w:pPr>
              <w:pStyle w:val="TableParagraph"/>
              <w:spacing w:line="271" w:lineRule="exact"/>
              <w:ind w:left="504"/>
              <w:rPr>
                <w:sz w:val="24"/>
              </w:rPr>
            </w:pPr>
            <w:r>
              <w:rPr>
                <w:sz w:val="24"/>
              </w:rPr>
              <w:t>1.3.2. Elektronik Ağızdan Ağıza İletişimin Geleneksel Ağızdan Ağıza</w:t>
            </w:r>
          </w:p>
          <w:p>
            <w:pPr>
              <w:pStyle w:val="TableParagraph"/>
              <w:tabs>
                <w:tab w:pos="9040" w:val="right" w:leader="dot"/>
              </w:tabs>
              <w:spacing w:line="261" w:lineRule="exact"/>
              <w:ind w:left="1052"/>
              <w:rPr>
                <w:sz w:val="24"/>
              </w:rPr>
            </w:pPr>
            <w:r>
              <w:rPr>
                <w:sz w:val="24"/>
              </w:rPr>
              <w:t>İletişimden</w:t>
            </w:r>
            <w:r>
              <w:rPr>
                <w:spacing w:val="1"/>
                <w:sz w:val="24"/>
              </w:rPr>
              <w:t> </w:t>
            </w:r>
            <w:r>
              <w:rPr>
                <w:sz w:val="24"/>
              </w:rPr>
              <w:t>Farklılıkları</w:t>
              <w:tab/>
              <w:t>34</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1.3.3. Elektronik Ağızdan Ağıza</w:t>
            </w:r>
            <w:r>
              <w:rPr>
                <w:spacing w:val="-20"/>
                <w:sz w:val="24"/>
              </w:rPr>
              <w:t> </w:t>
            </w:r>
            <w:r>
              <w:rPr>
                <w:sz w:val="24"/>
              </w:rPr>
              <w:t>İletişim</w:t>
            </w:r>
            <w:r>
              <w:rPr>
                <w:spacing w:val="-5"/>
                <w:sz w:val="24"/>
              </w:rPr>
              <w:t> </w:t>
            </w:r>
            <w:r>
              <w:rPr>
                <w:sz w:val="24"/>
              </w:rPr>
              <w:t>Mecraları</w:t>
              <w:tab/>
              <w:t>36</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1.3.3.1.</w:t>
            </w:r>
            <w:r>
              <w:rPr>
                <w:spacing w:val="-9"/>
                <w:sz w:val="24"/>
              </w:rPr>
              <w:t> </w:t>
            </w:r>
            <w:r>
              <w:rPr>
                <w:sz w:val="24"/>
              </w:rPr>
              <w:t>Online</w:t>
            </w:r>
            <w:r>
              <w:rPr>
                <w:spacing w:val="-7"/>
                <w:sz w:val="24"/>
              </w:rPr>
              <w:t> </w:t>
            </w:r>
            <w:r>
              <w:rPr>
                <w:sz w:val="24"/>
              </w:rPr>
              <w:t>Perakendeciler</w:t>
              <w:tab/>
              <w:t>36</w:t>
            </w:r>
          </w:p>
        </w:tc>
      </w:tr>
      <w:tr>
        <w:trPr>
          <w:trHeight w:val="276" w:hRule="atLeast"/>
        </w:trPr>
        <w:tc>
          <w:tcPr>
            <w:tcW w:w="9241" w:type="dxa"/>
          </w:tcPr>
          <w:p>
            <w:pPr>
              <w:pStyle w:val="TableParagraph"/>
              <w:tabs>
                <w:tab w:pos="8531" w:val="right" w:leader="dot"/>
              </w:tabs>
              <w:spacing w:line="256" w:lineRule="exact"/>
              <w:ind w:left="0" w:right="200"/>
              <w:jc w:val="right"/>
              <w:rPr>
                <w:sz w:val="24"/>
              </w:rPr>
            </w:pPr>
            <w:r>
              <w:rPr>
                <w:sz w:val="24"/>
              </w:rPr>
              <w:t>1.3.3.2. Online</w:t>
            </w:r>
            <w:r>
              <w:rPr>
                <w:spacing w:val="-22"/>
                <w:sz w:val="24"/>
              </w:rPr>
              <w:t> </w:t>
            </w:r>
            <w:r>
              <w:rPr>
                <w:sz w:val="24"/>
              </w:rPr>
              <w:t>Pazar</w:t>
            </w:r>
            <w:r>
              <w:rPr>
                <w:spacing w:val="-11"/>
                <w:sz w:val="24"/>
              </w:rPr>
              <w:t> </w:t>
            </w:r>
            <w:r>
              <w:rPr>
                <w:sz w:val="24"/>
              </w:rPr>
              <w:t>Yerleri</w:t>
              <w:tab/>
            </w:r>
            <w:r>
              <w:rPr>
                <w:spacing w:val="-3"/>
                <w:sz w:val="24"/>
              </w:rPr>
              <w:t>37</w:t>
            </w:r>
          </w:p>
        </w:tc>
      </w:tr>
      <w:tr>
        <w:trPr>
          <w:trHeight w:val="275" w:hRule="atLeast"/>
        </w:trPr>
        <w:tc>
          <w:tcPr>
            <w:tcW w:w="9241" w:type="dxa"/>
          </w:tcPr>
          <w:p>
            <w:pPr>
              <w:pStyle w:val="TableParagraph"/>
              <w:tabs>
                <w:tab w:pos="8531" w:val="right" w:leader="dot"/>
              </w:tabs>
              <w:spacing w:line="256" w:lineRule="exact"/>
              <w:ind w:left="0" w:right="200"/>
              <w:jc w:val="right"/>
              <w:rPr>
                <w:sz w:val="24"/>
              </w:rPr>
            </w:pPr>
            <w:r>
              <w:rPr>
                <w:sz w:val="24"/>
              </w:rPr>
              <w:t>1.3.3.3. Online</w:t>
            </w:r>
            <w:r>
              <w:rPr>
                <w:spacing w:val="-17"/>
                <w:sz w:val="24"/>
              </w:rPr>
              <w:t> </w:t>
            </w:r>
            <w:r>
              <w:rPr>
                <w:sz w:val="24"/>
              </w:rPr>
              <w:t>Hizmet</w:t>
            </w:r>
            <w:r>
              <w:rPr>
                <w:spacing w:val="-8"/>
                <w:sz w:val="24"/>
              </w:rPr>
              <w:t> </w:t>
            </w:r>
            <w:r>
              <w:rPr>
                <w:sz w:val="24"/>
              </w:rPr>
              <w:t>Aracıları</w:t>
              <w:tab/>
            </w:r>
            <w:r>
              <w:rPr>
                <w:spacing w:val="-3"/>
                <w:sz w:val="24"/>
              </w:rPr>
              <w:t>37</w:t>
            </w:r>
          </w:p>
        </w:tc>
      </w:tr>
      <w:tr>
        <w:trPr>
          <w:trHeight w:val="275" w:hRule="atLeast"/>
        </w:trPr>
        <w:tc>
          <w:tcPr>
            <w:tcW w:w="9241" w:type="dxa"/>
          </w:tcPr>
          <w:p>
            <w:pPr>
              <w:pStyle w:val="TableParagraph"/>
              <w:tabs>
                <w:tab w:pos="8531" w:val="right" w:leader="dot"/>
              </w:tabs>
              <w:spacing w:line="256" w:lineRule="exact"/>
              <w:ind w:left="0" w:right="200"/>
              <w:jc w:val="right"/>
              <w:rPr>
                <w:sz w:val="24"/>
              </w:rPr>
            </w:pPr>
            <w:r>
              <w:rPr>
                <w:sz w:val="24"/>
              </w:rPr>
              <w:t>1.3.3.4. İnceleme ve</w:t>
            </w:r>
            <w:r>
              <w:rPr>
                <w:spacing w:val="-27"/>
                <w:sz w:val="24"/>
              </w:rPr>
              <w:t> </w:t>
            </w:r>
            <w:r>
              <w:rPr>
                <w:sz w:val="24"/>
              </w:rPr>
              <w:t>Değerlendirme</w:t>
            </w:r>
            <w:r>
              <w:rPr>
                <w:spacing w:val="-8"/>
                <w:sz w:val="24"/>
              </w:rPr>
              <w:t> </w:t>
            </w:r>
            <w:r>
              <w:rPr>
                <w:sz w:val="24"/>
              </w:rPr>
              <w:t>Siteleri</w:t>
              <w:tab/>
            </w:r>
            <w:r>
              <w:rPr>
                <w:spacing w:val="-3"/>
                <w:sz w:val="24"/>
              </w:rPr>
              <w:t>38</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1.3.3.5. Bloglar</w:t>
            </w:r>
            <w:r>
              <w:rPr>
                <w:spacing w:val="-22"/>
                <w:sz w:val="24"/>
              </w:rPr>
              <w:t> </w:t>
            </w:r>
            <w:r>
              <w:rPr>
                <w:sz w:val="24"/>
              </w:rPr>
              <w:t>ve</w:t>
            </w:r>
            <w:r>
              <w:rPr>
                <w:spacing w:val="-11"/>
                <w:sz w:val="24"/>
              </w:rPr>
              <w:t> </w:t>
            </w:r>
            <w:r>
              <w:rPr>
                <w:sz w:val="24"/>
              </w:rPr>
              <w:t>Vloglar</w:t>
              <w:tab/>
              <w:t>39</w:t>
            </w:r>
          </w:p>
        </w:tc>
      </w:tr>
      <w:tr>
        <w:trPr>
          <w:trHeight w:val="270" w:hRule="atLeast"/>
        </w:trPr>
        <w:tc>
          <w:tcPr>
            <w:tcW w:w="9241" w:type="dxa"/>
          </w:tcPr>
          <w:p>
            <w:pPr>
              <w:pStyle w:val="TableParagraph"/>
              <w:tabs>
                <w:tab w:pos="8533" w:val="right" w:leader="dot"/>
              </w:tabs>
              <w:spacing w:line="251" w:lineRule="exact"/>
              <w:ind w:left="0" w:right="198"/>
              <w:jc w:val="right"/>
              <w:rPr>
                <w:sz w:val="24"/>
              </w:rPr>
            </w:pPr>
            <w:r>
              <w:rPr>
                <w:sz w:val="24"/>
              </w:rPr>
              <w:t>1.3.3.6.</w:t>
            </w:r>
            <w:r>
              <w:rPr>
                <w:spacing w:val="-16"/>
                <w:sz w:val="24"/>
              </w:rPr>
              <w:t> </w:t>
            </w:r>
            <w:r>
              <w:rPr>
                <w:sz w:val="24"/>
              </w:rPr>
              <w:t>Forumlar</w:t>
              <w:tab/>
              <w:t>39</w:t>
            </w:r>
          </w:p>
        </w:tc>
      </w:tr>
    </w:tbl>
    <w:p>
      <w:pPr>
        <w:spacing w:after="0" w:line="251" w:lineRule="exact"/>
        <w:jc w:val="right"/>
        <w:rPr>
          <w:sz w:val="24"/>
        </w:rPr>
        <w:sectPr>
          <w:pgSz w:w="12240" w:h="15840"/>
          <w:pgMar w:header="718" w:footer="0" w:top="1300" w:bottom="280" w:left="1720" w:right="820"/>
        </w:sectPr>
      </w:pPr>
    </w:p>
    <w:p>
      <w:pPr>
        <w:pStyle w:val="BodyText"/>
        <w:spacing w:before="7"/>
        <w:ind w:left="0"/>
        <w:jc w:val="left"/>
        <w:rPr>
          <w:b/>
          <w:sz w:val="9"/>
        </w:rPr>
      </w:pPr>
    </w:p>
    <w:tbl>
      <w:tblPr>
        <w:tblW w:w="0" w:type="auto"/>
        <w:jc w:val="lef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41"/>
      </w:tblGrid>
      <w:tr>
        <w:trPr>
          <w:trHeight w:val="271" w:hRule="atLeast"/>
        </w:trPr>
        <w:tc>
          <w:tcPr>
            <w:tcW w:w="9241" w:type="dxa"/>
          </w:tcPr>
          <w:p>
            <w:pPr>
              <w:pStyle w:val="TableParagraph"/>
              <w:tabs>
                <w:tab w:pos="8533" w:val="right" w:leader="dot"/>
              </w:tabs>
              <w:spacing w:line="251" w:lineRule="exact"/>
              <w:ind w:left="0" w:right="198"/>
              <w:jc w:val="right"/>
              <w:rPr>
                <w:sz w:val="24"/>
              </w:rPr>
            </w:pPr>
            <w:r>
              <w:rPr>
                <w:sz w:val="24"/>
              </w:rPr>
              <w:t>1.3.3.7.</w:t>
            </w:r>
            <w:r>
              <w:rPr>
                <w:spacing w:val="-11"/>
                <w:sz w:val="24"/>
              </w:rPr>
              <w:t> </w:t>
            </w:r>
            <w:r>
              <w:rPr>
                <w:sz w:val="24"/>
              </w:rPr>
              <w:t>Sosyal</w:t>
            </w:r>
            <w:r>
              <w:rPr>
                <w:spacing w:val="-10"/>
                <w:sz w:val="24"/>
              </w:rPr>
              <w:t> </w:t>
            </w:r>
            <w:r>
              <w:rPr>
                <w:sz w:val="24"/>
              </w:rPr>
              <w:t>Ağlar</w:t>
              <w:tab/>
              <w:t>40</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1.3.3.8. Şikayet ve</w:t>
            </w:r>
            <w:r>
              <w:rPr>
                <w:spacing w:val="-32"/>
                <w:sz w:val="24"/>
              </w:rPr>
              <w:t> </w:t>
            </w:r>
            <w:r>
              <w:rPr>
                <w:sz w:val="24"/>
              </w:rPr>
              <w:t>Boykot</w:t>
            </w:r>
            <w:r>
              <w:rPr>
                <w:spacing w:val="-10"/>
                <w:sz w:val="24"/>
              </w:rPr>
              <w:t> </w:t>
            </w:r>
            <w:r>
              <w:rPr>
                <w:sz w:val="24"/>
              </w:rPr>
              <w:t>Siteleri</w:t>
              <w:tab/>
              <w:t>40</w:t>
            </w:r>
          </w:p>
        </w:tc>
      </w:tr>
      <w:tr>
        <w:trPr>
          <w:trHeight w:val="397" w:hRule="atLeast"/>
        </w:trPr>
        <w:tc>
          <w:tcPr>
            <w:tcW w:w="9241" w:type="dxa"/>
          </w:tcPr>
          <w:p>
            <w:pPr>
              <w:pStyle w:val="TableParagraph"/>
              <w:tabs>
                <w:tab w:pos="8533" w:val="right" w:leader="dot"/>
              </w:tabs>
              <w:spacing w:line="271" w:lineRule="exact"/>
              <w:ind w:left="0" w:right="198"/>
              <w:jc w:val="right"/>
              <w:rPr>
                <w:sz w:val="24"/>
              </w:rPr>
            </w:pPr>
            <w:r>
              <w:rPr>
                <w:sz w:val="24"/>
              </w:rPr>
              <w:t>1.3.4. Elektronik Ağızdan Ağıza İletişimin</w:t>
            </w:r>
            <w:r>
              <w:rPr>
                <w:spacing w:val="-42"/>
                <w:sz w:val="24"/>
              </w:rPr>
              <w:t> </w:t>
            </w:r>
            <w:r>
              <w:rPr>
                <w:sz w:val="24"/>
              </w:rPr>
              <w:t>Literatürdeki</w:t>
            </w:r>
            <w:r>
              <w:rPr>
                <w:spacing w:val="-8"/>
                <w:sz w:val="24"/>
              </w:rPr>
              <w:t> </w:t>
            </w:r>
            <w:r>
              <w:rPr>
                <w:sz w:val="24"/>
              </w:rPr>
              <w:t>Yeri</w:t>
              <w:tab/>
              <w:t>41</w:t>
            </w:r>
          </w:p>
        </w:tc>
      </w:tr>
      <w:tr>
        <w:trPr>
          <w:trHeight w:val="1204" w:hRule="atLeast"/>
        </w:trPr>
        <w:tc>
          <w:tcPr>
            <w:tcW w:w="9241" w:type="dxa"/>
          </w:tcPr>
          <w:p>
            <w:pPr>
              <w:pStyle w:val="TableParagraph"/>
              <w:spacing w:line="322" w:lineRule="exact" w:before="115"/>
              <w:ind w:left="233" w:right="234"/>
              <w:jc w:val="center"/>
              <w:rPr>
                <w:b/>
                <w:sz w:val="28"/>
              </w:rPr>
            </w:pPr>
            <w:r>
              <w:rPr>
                <w:b/>
                <w:sz w:val="28"/>
              </w:rPr>
              <w:t>İKİNCİ BÖLÜM</w:t>
            </w:r>
          </w:p>
          <w:p>
            <w:pPr>
              <w:pStyle w:val="TableParagraph"/>
              <w:ind w:left="233" w:right="237"/>
              <w:jc w:val="center"/>
              <w:rPr>
                <w:b/>
                <w:sz w:val="28"/>
              </w:rPr>
            </w:pPr>
            <w:r>
              <w:rPr>
                <w:b/>
                <w:sz w:val="28"/>
              </w:rPr>
              <w:t>ONLİNE YORUMLARIN SATIŞLARA ETKİSİ: AMAZON.COM ÖRNEĞİ</w:t>
            </w:r>
          </w:p>
        </w:tc>
      </w:tr>
      <w:tr>
        <w:trPr>
          <w:trHeight w:val="395" w:hRule="atLeast"/>
        </w:trPr>
        <w:tc>
          <w:tcPr>
            <w:tcW w:w="9241" w:type="dxa"/>
          </w:tcPr>
          <w:p>
            <w:pPr>
              <w:pStyle w:val="TableParagraph"/>
              <w:tabs>
                <w:tab w:pos="8840" w:val="right" w:leader="dot"/>
              </w:tabs>
              <w:spacing w:line="261" w:lineRule="exact" w:before="114"/>
              <w:ind w:left="0" w:right="198"/>
              <w:jc w:val="right"/>
              <w:rPr>
                <w:sz w:val="24"/>
              </w:rPr>
            </w:pPr>
            <w:r>
              <w:rPr>
                <w:sz w:val="24"/>
              </w:rPr>
              <w:t>2.1.</w:t>
            </w:r>
            <w:r>
              <w:rPr>
                <w:spacing w:val="-6"/>
                <w:sz w:val="24"/>
              </w:rPr>
              <w:t> </w:t>
            </w:r>
            <w:r>
              <w:rPr>
                <w:sz w:val="24"/>
              </w:rPr>
              <w:t>Amazon</w:t>
              <w:tab/>
              <w:t>46</w:t>
            </w:r>
          </w:p>
        </w:tc>
      </w:tr>
      <w:tr>
        <w:trPr>
          <w:trHeight w:val="276" w:hRule="atLeast"/>
        </w:trPr>
        <w:tc>
          <w:tcPr>
            <w:tcW w:w="9241" w:type="dxa"/>
          </w:tcPr>
          <w:p>
            <w:pPr>
              <w:pStyle w:val="TableParagraph"/>
              <w:tabs>
                <w:tab w:pos="8531" w:val="right" w:leader="dot"/>
              </w:tabs>
              <w:spacing w:line="256" w:lineRule="exact"/>
              <w:ind w:left="0" w:right="200"/>
              <w:jc w:val="right"/>
              <w:rPr>
                <w:sz w:val="24"/>
              </w:rPr>
            </w:pPr>
            <w:r>
              <w:rPr>
                <w:sz w:val="24"/>
              </w:rPr>
              <w:t>2.1.1.</w:t>
            </w:r>
            <w:r>
              <w:rPr>
                <w:spacing w:val="-4"/>
                <w:sz w:val="24"/>
              </w:rPr>
              <w:t> </w:t>
            </w:r>
            <w:r>
              <w:rPr>
                <w:sz w:val="24"/>
              </w:rPr>
              <w:t>Amazon</w:t>
            </w:r>
            <w:r>
              <w:rPr>
                <w:spacing w:val="-3"/>
                <w:sz w:val="24"/>
              </w:rPr>
              <w:t> </w:t>
            </w:r>
            <w:r>
              <w:rPr>
                <w:sz w:val="24"/>
              </w:rPr>
              <w:t>Tarihçesi</w:t>
              <w:tab/>
            </w:r>
            <w:r>
              <w:rPr>
                <w:spacing w:val="-3"/>
                <w:sz w:val="24"/>
              </w:rPr>
              <w:t>46</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2.1.2. Amazon’un</w:t>
            </w:r>
            <w:r>
              <w:rPr>
                <w:spacing w:val="-26"/>
                <w:sz w:val="24"/>
              </w:rPr>
              <w:t> </w:t>
            </w:r>
            <w:r>
              <w:rPr>
                <w:sz w:val="24"/>
              </w:rPr>
              <w:t>Yorum</w:t>
            </w:r>
            <w:r>
              <w:rPr>
                <w:spacing w:val="-10"/>
                <w:sz w:val="24"/>
              </w:rPr>
              <w:t> </w:t>
            </w:r>
            <w:r>
              <w:rPr>
                <w:sz w:val="24"/>
              </w:rPr>
              <w:t>Sistemi</w:t>
              <w:tab/>
              <w:t>48</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2.1.3. Amazon’un Elektronik Ağızdan Ağıza İletişim</w:t>
            </w:r>
            <w:r>
              <w:rPr>
                <w:spacing w:val="-33"/>
                <w:sz w:val="24"/>
              </w:rPr>
              <w:t> </w:t>
            </w:r>
            <w:r>
              <w:rPr>
                <w:sz w:val="24"/>
              </w:rPr>
              <w:t>Literatüründeki</w:t>
            </w:r>
            <w:r>
              <w:rPr>
                <w:spacing w:val="-5"/>
                <w:sz w:val="24"/>
              </w:rPr>
              <w:t> </w:t>
            </w:r>
            <w:r>
              <w:rPr>
                <w:sz w:val="24"/>
              </w:rPr>
              <w:t>Önemi</w:t>
              <w:tab/>
              <w:t>52</w:t>
            </w:r>
          </w:p>
        </w:tc>
      </w:tr>
      <w:tr>
        <w:trPr>
          <w:trHeight w:val="276" w:hRule="atLeast"/>
        </w:trPr>
        <w:tc>
          <w:tcPr>
            <w:tcW w:w="9241" w:type="dxa"/>
          </w:tcPr>
          <w:p>
            <w:pPr>
              <w:pStyle w:val="TableParagraph"/>
              <w:tabs>
                <w:tab w:pos="8840" w:val="right" w:leader="dot"/>
              </w:tabs>
              <w:spacing w:line="256" w:lineRule="exact"/>
              <w:ind w:left="0" w:right="198"/>
              <w:jc w:val="right"/>
              <w:rPr>
                <w:sz w:val="24"/>
              </w:rPr>
            </w:pPr>
            <w:r>
              <w:rPr>
                <w:sz w:val="24"/>
              </w:rPr>
              <w:t>2.2.</w:t>
            </w:r>
            <w:r>
              <w:rPr>
                <w:spacing w:val="-10"/>
                <w:sz w:val="24"/>
              </w:rPr>
              <w:t> </w:t>
            </w:r>
            <w:r>
              <w:rPr>
                <w:sz w:val="24"/>
              </w:rPr>
              <w:t>Metodoloji</w:t>
              <w:tab/>
              <w:t>56</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2.2.1.</w:t>
            </w:r>
            <w:r>
              <w:rPr>
                <w:spacing w:val="-11"/>
                <w:sz w:val="24"/>
              </w:rPr>
              <w:t> </w:t>
            </w:r>
            <w:r>
              <w:rPr>
                <w:sz w:val="24"/>
              </w:rPr>
              <w:t>Araştırmanın</w:t>
            </w:r>
            <w:r>
              <w:rPr>
                <w:spacing w:val="-7"/>
                <w:sz w:val="24"/>
              </w:rPr>
              <w:t> </w:t>
            </w:r>
            <w:r>
              <w:rPr>
                <w:sz w:val="24"/>
              </w:rPr>
              <w:t>Amacı</w:t>
              <w:tab/>
              <w:t>56</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2.2.2.</w:t>
            </w:r>
            <w:r>
              <w:rPr>
                <w:spacing w:val="-6"/>
                <w:sz w:val="24"/>
              </w:rPr>
              <w:t> </w:t>
            </w:r>
            <w:r>
              <w:rPr>
                <w:sz w:val="24"/>
              </w:rPr>
              <w:t>Hipotez</w:t>
            </w:r>
            <w:r>
              <w:rPr>
                <w:spacing w:val="-7"/>
                <w:sz w:val="24"/>
              </w:rPr>
              <w:t> </w:t>
            </w:r>
            <w:r>
              <w:rPr>
                <w:sz w:val="24"/>
              </w:rPr>
              <w:t>Geliştirme</w:t>
              <w:tab/>
              <w:t>57</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2.2.2.1.</w:t>
            </w:r>
            <w:r>
              <w:rPr>
                <w:spacing w:val="-9"/>
                <w:sz w:val="24"/>
              </w:rPr>
              <w:t> </w:t>
            </w:r>
            <w:r>
              <w:rPr>
                <w:sz w:val="24"/>
              </w:rPr>
              <w:t>Hacim-Satış</w:t>
            </w:r>
            <w:r>
              <w:rPr>
                <w:spacing w:val="-5"/>
                <w:sz w:val="24"/>
              </w:rPr>
              <w:t> </w:t>
            </w:r>
            <w:r>
              <w:rPr>
                <w:sz w:val="24"/>
              </w:rPr>
              <w:t>İlişkisi</w:t>
              <w:tab/>
              <w:t>57</w:t>
            </w:r>
          </w:p>
        </w:tc>
      </w:tr>
      <w:tr>
        <w:trPr>
          <w:trHeight w:val="276" w:hRule="atLeast"/>
        </w:trPr>
        <w:tc>
          <w:tcPr>
            <w:tcW w:w="9241" w:type="dxa"/>
          </w:tcPr>
          <w:p>
            <w:pPr>
              <w:pStyle w:val="TableParagraph"/>
              <w:tabs>
                <w:tab w:pos="8531" w:val="right" w:leader="dot"/>
              </w:tabs>
              <w:spacing w:line="256" w:lineRule="exact"/>
              <w:ind w:left="0" w:right="200"/>
              <w:jc w:val="right"/>
              <w:rPr>
                <w:sz w:val="24"/>
              </w:rPr>
            </w:pPr>
            <w:r>
              <w:rPr>
                <w:sz w:val="24"/>
              </w:rPr>
              <w:t>2.2.2.2.</w:t>
            </w:r>
            <w:r>
              <w:rPr>
                <w:spacing w:val="-13"/>
                <w:sz w:val="24"/>
              </w:rPr>
              <w:t> </w:t>
            </w:r>
            <w:r>
              <w:rPr>
                <w:sz w:val="24"/>
              </w:rPr>
              <w:t>Değerlik-Satış</w:t>
            </w:r>
            <w:r>
              <w:rPr>
                <w:spacing w:val="-10"/>
                <w:sz w:val="24"/>
              </w:rPr>
              <w:t> </w:t>
            </w:r>
            <w:r>
              <w:rPr>
                <w:sz w:val="24"/>
              </w:rPr>
              <w:t>İlişkisi</w:t>
              <w:tab/>
            </w:r>
            <w:r>
              <w:rPr>
                <w:spacing w:val="-3"/>
                <w:sz w:val="24"/>
              </w:rPr>
              <w:t>60</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2.2.3.</w:t>
            </w:r>
            <w:r>
              <w:rPr>
                <w:spacing w:val="-4"/>
                <w:sz w:val="24"/>
              </w:rPr>
              <w:t> </w:t>
            </w:r>
            <w:r>
              <w:rPr>
                <w:sz w:val="24"/>
              </w:rPr>
              <w:t>Veri</w:t>
            </w:r>
            <w:r>
              <w:rPr>
                <w:spacing w:val="-3"/>
                <w:sz w:val="24"/>
              </w:rPr>
              <w:t> </w:t>
            </w:r>
            <w:r>
              <w:rPr>
                <w:sz w:val="24"/>
              </w:rPr>
              <w:t>Seti</w:t>
              <w:tab/>
              <w:t>65</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2.2.4.</w:t>
            </w:r>
            <w:r>
              <w:rPr>
                <w:spacing w:val="-4"/>
                <w:sz w:val="24"/>
              </w:rPr>
              <w:t> </w:t>
            </w:r>
            <w:r>
              <w:rPr>
                <w:sz w:val="24"/>
              </w:rPr>
              <w:t>Değişkenler</w:t>
              <w:tab/>
              <w:t>67</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2.2.4.1.</w:t>
            </w:r>
            <w:r>
              <w:rPr>
                <w:spacing w:val="-13"/>
                <w:sz w:val="24"/>
              </w:rPr>
              <w:t> </w:t>
            </w:r>
            <w:r>
              <w:rPr>
                <w:sz w:val="24"/>
              </w:rPr>
              <w:t>Bağımlı</w:t>
            </w:r>
            <w:r>
              <w:rPr>
                <w:spacing w:val="-12"/>
                <w:sz w:val="24"/>
              </w:rPr>
              <w:t> </w:t>
            </w:r>
            <w:r>
              <w:rPr>
                <w:sz w:val="24"/>
              </w:rPr>
              <w:t>Değişken</w:t>
              <w:tab/>
              <w:t>69</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2.2.4.2.</w:t>
            </w:r>
            <w:r>
              <w:rPr>
                <w:spacing w:val="-4"/>
                <w:sz w:val="24"/>
              </w:rPr>
              <w:t> </w:t>
            </w:r>
            <w:r>
              <w:rPr>
                <w:sz w:val="24"/>
              </w:rPr>
              <w:t>Bağımsız</w:t>
            </w:r>
            <w:r>
              <w:rPr>
                <w:spacing w:val="-3"/>
                <w:sz w:val="24"/>
              </w:rPr>
              <w:t> </w:t>
            </w:r>
            <w:r>
              <w:rPr>
                <w:sz w:val="24"/>
              </w:rPr>
              <w:t>Değişkenler</w:t>
              <w:tab/>
              <w:t>69</w:t>
            </w:r>
          </w:p>
        </w:tc>
      </w:tr>
      <w:tr>
        <w:trPr>
          <w:trHeight w:val="276" w:hRule="atLeast"/>
        </w:trPr>
        <w:tc>
          <w:tcPr>
            <w:tcW w:w="9241" w:type="dxa"/>
          </w:tcPr>
          <w:p>
            <w:pPr>
              <w:pStyle w:val="TableParagraph"/>
              <w:tabs>
                <w:tab w:pos="8528" w:val="right" w:leader="dot"/>
              </w:tabs>
              <w:spacing w:line="256" w:lineRule="exact"/>
              <w:ind w:left="0" w:right="204"/>
              <w:jc w:val="right"/>
              <w:rPr>
                <w:sz w:val="24"/>
              </w:rPr>
            </w:pPr>
            <w:r>
              <w:rPr>
                <w:sz w:val="24"/>
              </w:rPr>
              <w:t>2.2.4.3.</w:t>
            </w:r>
            <w:r>
              <w:rPr>
                <w:spacing w:val="-1"/>
                <w:sz w:val="24"/>
              </w:rPr>
              <w:t> </w:t>
            </w:r>
            <w:r>
              <w:rPr>
                <w:sz w:val="24"/>
              </w:rPr>
              <w:t>Kukla</w:t>
            </w:r>
            <w:r>
              <w:rPr>
                <w:spacing w:val="-1"/>
                <w:sz w:val="24"/>
              </w:rPr>
              <w:t> </w:t>
            </w:r>
            <w:r>
              <w:rPr>
                <w:sz w:val="24"/>
              </w:rPr>
              <w:t>Değişkenler</w:t>
              <w:tab/>
              <w:t>70</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2.2.4.4.</w:t>
            </w:r>
            <w:r>
              <w:rPr>
                <w:spacing w:val="-11"/>
                <w:sz w:val="24"/>
              </w:rPr>
              <w:t> </w:t>
            </w:r>
            <w:r>
              <w:rPr>
                <w:sz w:val="24"/>
              </w:rPr>
              <w:t>Kontrol</w:t>
            </w:r>
            <w:r>
              <w:rPr>
                <w:spacing w:val="-10"/>
                <w:sz w:val="24"/>
              </w:rPr>
              <w:t> </w:t>
            </w:r>
            <w:r>
              <w:rPr>
                <w:sz w:val="24"/>
              </w:rPr>
              <w:t>Değişkenleri</w:t>
              <w:tab/>
              <w:t>70</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2.2.5.</w:t>
            </w:r>
            <w:r>
              <w:rPr>
                <w:spacing w:val="-11"/>
                <w:sz w:val="24"/>
              </w:rPr>
              <w:t> </w:t>
            </w:r>
            <w:r>
              <w:rPr>
                <w:sz w:val="24"/>
              </w:rPr>
              <w:t>Genelleştirilmiş</w:t>
            </w:r>
            <w:r>
              <w:rPr>
                <w:spacing w:val="-10"/>
                <w:sz w:val="24"/>
              </w:rPr>
              <w:t> </w:t>
            </w:r>
            <w:r>
              <w:rPr>
                <w:sz w:val="24"/>
              </w:rPr>
              <w:t>Momentler</w:t>
            </w:r>
            <w:r>
              <w:rPr>
                <w:spacing w:val="-12"/>
                <w:sz w:val="24"/>
              </w:rPr>
              <w:t> </w:t>
            </w:r>
            <w:r>
              <w:rPr>
                <w:sz w:val="24"/>
              </w:rPr>
              <w:t>Yöntemi</w:t>
            </w:r>
            <w:r>
              <w:rPr>
                <w:spacing w:val="-9"/>
                <w:sz w:val="24"/>
              </w:rPr>
              <w:t> </w:t>
            </w:r>
            <w:r>
              <w:rPr>
                <w:sz w:val="24"/>
              </w:rPr>
              <w:t>ve</w:t>
            </w:r>
            <w:r>
              <w:rPr>
                <w:spacing w:val="-12"/>
                <w:sz w:val="24"/>
              </w:rPr>
              <w:t> </w:t>
            </w:r>
            <w:r>
              <w:rPr>
                <w:sz w:val="24"/>
              </w:rPr>
              <w:t>Model</w:t>
            </w:r>
            <w:r>
              <w:rPr>
                <w:spacing w:val="-10"/>
                <w:sz w:val="24"/>
              </w:rPr>
              <w:t> </w:t>
            </w:r>
            <w:r>
              <w:rPr>
                <w:sz w:val="24"/>
              </w:rPr>
              <w:t>Geliştirme</w:t>
              <w:tab/>
              <w:t>70</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2.2.5.1.</w:t>
            </w:r>
            <w:r>
              <w:rPr>
                <w:spacing w:val="-11"/>
                <w:sz w:val="24"/>
              </w:rPr>
              <w:t> </w:t>
            </w:r>
            <w:r>
              <w:rPr>
                <w:sz w:val="24"/>
              </w:rPr>
              <w:t>İçsellik</w:t>
            </w:r>
            <w:r>
              <w:rPr>
                <w:spacing w:val="-10"/>
                <w:sz w:val="24"/>
              </w:rPr>
              <w:t> </w:t>
            </w:r>
            <w:r>
              <w:rPr>
                <w:sz w:val="24"/>
              </w:rPr>
              <w:t>Problemi</w:t>
            </w:r>
            <w:r>
              <w:rPr>
                <w:spacing w:val="-9"/>
                <w:sz w:val="24"/>
              </w:rPr>
              <w:t> </w:t>
            </w:r>
            <w:r>
              <w:rPr>
                <w:sz w:val="24"/>
              </w:rPr>
              <w:t>ve</w:t>
            </w:r>
            <w:r>
              <w:rPr>
                <w:spacing w:val="-12"/>
                <w:sz w:val="24"/>
              </w:rPr>
              <w:t> </w:t>
            </w:r>
            <w:r>
              <w:rPr>
                <w:sz w:val="24"/>
              </w:rPr>
              <w:t>Genelleştirilmiş</w:t>
            </w:r>
            <w:r>
              <w:rPr>
                <w:spacing w:val="-10"/>
                <w:sz w:val="24"/>
              </w:rPr>
              <w:t> </w:t>
            </w:r>
            <w:r>
              <w:rPr>
                <w:sz w:val="24"/>
              </w:rPr>
              <w:t>Momentler</w:t>
            </w:r>
            <w:r>
              <w:rPr>
                <w:spacing w:val="-12"/>
                <w:sz w:val="24"/>
              </w:rPr>
              <w:t> </w:t>
            </w:r>
            <w:r>
              <w:rPr>
                <w:sz w:val="24"/>
              </w:rPr>
              <w:t>Yöntemi</w:t>
              <w:tab/>
              <w:t>70</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2.2.5.2.</w:t>
            </w:r>
            <w:r>
              <w:rPr>
                <w:spacing w:val="-11"/>
                <w:sz w:val="24"/>
              </w:rPr>
              <w:t> </w:t>
            </w:r>
            <w:r>
              <w:rPr>
                <w:sz w:val="24"/>
              </w:rPr>
              <w:t>Araştırma</w:t>
            </w:r>
            <w:r>
              <w:rPr>
                <w:spacing w:val="-9"/>
                <w:sz w:val="24"/>
              </w:rPr>
              <w:t> </w:t>
            </w:r>
            <w:r>
              <w:rPr>
                <w:sz w:val="24"/>
              </w:rPr>
              <w:t>Modelleri</w:t>
              <w:tab/>
              <w:t>74</w:t>
            </w:r>
          </w:p>
        </w:tc>
      </w:tr>
      <w:tr>
        <w:trPr>
          <w:trHeight w:val="276" w:hRule="atLeast"/>
        </w:trPr>
        <w:tc>
          <w:tcPr>
            <w:tcW w:w="9241" w:type="dxa"/>
          </w:tcPr>
          <w:p>
            <w:pPr>
              <w:pStyle w:val="TableParagraph"/>
              <w:tabs>
                <w:tab w:pos="8838" w:val="right" w:leader="dot"/>
              </w:tabs>
              <w:spacing w:line="256" w:lineRule="exact"/>
              <w:ind w:left="0" w:right="200"/>
              <w:jc w:val="right"/>
              <w:rPr>
                <w:sz w:val="24"/>
              </w:rPr>
            </w:pPr>
            <w:r>
              <w:rPr>
                <w:sz w:val="24"/>
              </w:rPr>
              <w:t>2.3.</w:t>
            </w:r>
            <w:r>
              <w:rPr>
                <w:spacing w:val="-15"/>
                <w:sz w:val="24"/>
              </w:rPr>
              <w:t> </w:t>
            </w:r>
            <w:r>
              <w:rPr>
                <w:sz w:val="24"/>
              </w:rPr>
              <w:t>Bulgular</w:t>
              <w:tab/>
              <w:t>76</w:t>
            </w:r>
          </w:p>
        </w:tc>
      </w:tr>
      <w:tr>
        <w:trPr>
          <w:trHeight w:val="275" w:hRule="atLeast"/>
        </w:trPr>
        <w:tc>
          <w:tcPr>
            <w:tcW w:w="9241" w:type="dxa"/>
          </w:tcPr>
          <w:p>
            <w:pPr>
              <w:pStyle w:val="TableParagraph"/>
              <w:tabs>
                <w:tab w:pos="8833" w:val="right" w:leader="dot"/>
              </w:tabs>
              <w:spacing w:line="256" w:lineRule="exact"/>
              <w:ind w:left="0" w:right="205"/>
              <w:jc w:val="right"/>
              <w:rPr>
                <w:sz w:val="24"/>
              </w:rPr>
            </w:pPr>
            <w:r>
              <w:rPr>
                <w:sz w:val="24"/>
              </w:rPr>
              <w:t>2.4.</w:t>
            </w:r>
            <w:r>
              <w:rPr>
                <w:spacing w:val="-1"/>
                <w:sz w:val="24"/>
              </w:rPr>
              <w:t> </w:t>
            </w:r>
            <w:r>
              <w:rPr>
                <w:sz w:val="24"/>
              </w:rPr>
              <w:t>Tartışma</w:t>
              <w:tab/>
              <w:t>84</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2.4.1.</w:t>
            </w:r>
            <w:r>
              <w:rPr>
                <w:spacing w:val="-9"/>
                <w:sz w:val="24"/>
              </w:rPr>
              <w:t> </w:t>
            </w:r>
            <w:r>
              <w:rPr>
                <w:sz w:val="24"/>
              </w:rPr>
              <w:t>Hacim-Satış</w:t>
            </w:r>
            <w:r>
              <w:rPr>
                <w:spacing w:val="-5"/>
                <w:sz w:val="24"/>
              </w:rPr>
              <w:t> </w:t>
            </w:r>
            <w:r>
              <w:rPr>
                <w:sz w:val="24"/>
              </w:rPr>
              <w:t>İlişkisi</w:t>
              <w:tab/>
              <w:t>85</w:t>
            </w:r>
          </w:p>
        </w:tc>
      </w:tr>
      <w:tr>
        <w:trPr>
          <w:trHeight w:val="276" w:hRule="atLeast"/>
        </w:trPr>
        <w:tc>
          <w:tcPr>
            <w:tcW w:w="9241" w:type="dxa"/>
          </w:tcPr>
          <w:p>
            <w:pPr>
              <w:pStyle w:val="TableParagraph"/>
              <w:tabs>
                <w:tab w:pos="8531" w:val="right" w:leader="dot"/>
              </w:tabs>
              <w:spacing w:line="256" w:lineRule="exact"/>
              <w:ind w:left="0" w:right="200"/>
              <w:jc w:val="right"/>
              <w:rPr>
                <w:sz w:val="24"/>
              </w:rPr>
            </w:pPr>
            <w:r>
              <w:rPr>
                <w:sz w:val="24"/>
              </w:rPr>
              <w:t>2.4.2.</w:t>
            </w:r>
            <w:r>
              <w:rPr>
                <w:spacing w:val="-13"/>
                <w:sz w:val="24"/>
              </w:rPr>
              <w:t> </w:t>
            </w:r>
            <w:r>
              <w:rPr>
                <w:sz w:val="24"/>
              </w:rPr>
              <w:t>Değerlik-Satış</w:t>
            </w:r>
            <w:r>
              <w:rPr>
                <w:spacing w:val="-10"/>
                <w:sz w:val="24"/>
              </w:rPr>
              <w:t> </w:t>
            </w:r>
            <w:r>
              <w:rPr>
                <w:sz w:val="24"/>
              </w:rPr>
              <w:t>İlişkisi</w:t>
              <w:tab/>
            </w:r>
            <w:r>
              <w:rPr>
                <w:spacing w:val="-3"/>
                <w:sz w:val="24"/>
              </w:rPr>
              <w:t>86</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2.4.3.</w:t>
            </w:r>
            <w:r>
              <w:rPr>
                <w:spacing w:val="-13"/>
                <w:sz w:val="24"/>
              </w:rPr>
              <w:t> </w:t>
            </w:r>
            <w:r>
              <w:rPr>
                <w:sz w:val="24"/>
              </w:rPr>
              <w:t>Teorik</w:t>
            </w:r>
            <w:r>
              <w:rPr>
                <w:spacing w:val="-13"/>
                <w:sz w:val="24"/>
              </w:rPr>
              <w:t> </w:t>
            </w:r>
            <w:r>
              <w:rPr>
                <w:sz w:val="24"/>
              </w:rPr>
              <w:t>Çıkarımlar</w:t>
              <w:tab/>
              <w:t>89</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2.4.4.</w:t>
            </w:r>
            <w:r>
              <w:rPr>
                <w:spacing w:val="-11"/>
                <w:sz w:val="24"/>
              </w:rPr>
              <w:t> </w:t>
            </w:r>
            <w:r>
              <w:rPr>
                <w:sz w:val="24"/>
              </w:rPr>
              <w:t>Yönetimsel</w:t>
            </w:r>
            <w:r>
              <w:rPr>
                <w:spacing w:val="-10"/>
                <w:sz w:val="24"/>
              </w:rPr>
              <w:t> </w:t>
            </w:r>
            <w:r>
              <w:rPr>
                <w:sz w:val="24"/>
              </w:rPr>
              <w:t>Çıkarımlar</w:t>
              <w:tab/>
              <w:t>90</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2.4.5.</w:t>
            </w:r>
            <w:r>
              <w:rPr>
                <w:spacing w:val="-4"/>
                <w:sz w:val="24"/>
              </w:rPr>
              <w:t> </w:t>
            </w:r>
            <w:r>
              <w:rPr>
                <w:sz w:val="24"/>
              </w:rPr>
              <w:t>Çalışmanın</w:t>
            </w:r>
            <w:r>
              <w:rPr>
                <w:spacing w:val="-1"/>
                <w:sz w:val="24"/>
              </w:rPr>
              <w:t> </w:t>
            </w:r>
            <w:r>
              <w:rPr>
                <w:sz w:val="24"/>
              </w:rPr>
              <w:t>Kısıtları</w:t>
              <w:tab/>
              <w:t>91</w:t>
            </w:r>
          </w:p>
        </w:tc>
      </w:tr>
      <w:tr>
        <w:trPr>
          <w:trHeight w:val="397" w:hRule="atLeast"/>
        </w:trPr>
        <w:tc>
          <w:tcPr>
            <w:tcW w:w="9241" w:type="dxa"/>
          </w:tcPr>
          <w:p>
            <w:pPr>
              <w:pStyle w:val="TableParagraph"/>
              <w:tabs>
                <w:tab w:pos="8531" w:val="right" w:leader="dot"/>
              </w:tabs>
              <w:spacing w:line="271" w:lineRule="exact"/>
              <w:ind w:left="0" w:right="200"/>
              <w:jc w:val="right"/>
              <w:rPr>
                <w:sz w:val="24"/>
              </w:rPr>
            </w:pPr>
            <w:r>
              <w:rPr>
                <w:sz w:val="24"/>
              </w:rPr>
              <w:t>2.4.6.</w:t>
            </w:r>
            <w:r>
              <w:rPr>
                <w:spacing w:val="-4"/>
                <w:sz w:val="24"/>
              </w:rPr>
              <w:t> </w:t>
            </w:r>
            <w:r>
              <w:rPr>
                <w:sz w:val="24"/>
              </w:rPr>
              <w:t>Gelecek</w:t>
            </w:r>
            <w:r>
              <w:rPr>
                <w:spacing w:val="-3"/>
                <w:sz w:val="24"/>
              </w:rPr>
              <w:t> </w:t>
            </w:r>
            <w:r>
              <w:rPr>
                <w:sz w:val="24"/>
              </w:rPr>
              <w:t>Çalışmalar</w:t>
              <w:tab/>
            </w:r>
            <w:r>
              <w:rPr>
                <w:spacing w:val="-3"/>
                <w:sz w:val="24"/>
              </w:rPr>
              <w:t>91</w:t>
            </w:r>
          </w:p>
        </w:tc>
      </w:tr>
      <w:tr>
        <w:trPr>
          <w:trHeight w:val="883" w:hRule="atLeast"/>
        </w:trPr>
        <w:tc>
          <w:tcPr>
            <w:tcW w:w="9241" w:type="dxa"/>
          </w:tcPr>
          <w:p>
            <w:pPr>
              <w:pStyle w:val="TableParagraph"/>
              <w:spacing w:line="322" w:lineRule="exact" w:before="115"/>
              <w:ind w:left="233" w:right="234"/>
              <w:jc w:val="center"/>
              <w:rPr>
                <w:b/>
                <w:sz w:val="28"/>
              </w:rPr>
            </w:pPr>
            <w:r>
              <w:rPr>
                <w:b/>
                <w:sz w:val="28"/>
              </w:rPr>
              <w:t>ÜÇÜNCÜ BÖLÜM</w:t>
            </w:r>
          </w:p>
          <w:p>
            <w:pPr>
              <w:pStyle w:val="TableParagraph"/>
              <w:ind w:left="233" w:right="238"/>
              <w:jc w:val="center"/>
              <w:rPr>
                <w:b/>
                <w:sz w:val="28"/>
              </w:rPr>
            </w:pPr>
            <w:r>
              <w:rPr>
                <w:b/>
                <w:sz w:val="28"/>
              </w:rPr>
              <w:t>ONLİNE YORUMLARIN SATIŞLARA ETKİSİ: ETSY.COM ÖRNEĞİ</w:t>
            </w:r>
          </w:p>
        </w:tc>
      </w:tr>
      <w:tr>
        <w:trPr>
          <w:trHeight w:val="395" w:hRule="atLeast"/>
        </w:trPr>
        <w:tc>
          <w:tcPr>
            <w:tcW w:w="9241" w:type="dxa"/>
          </w:tcPr>
          <w:p>
            <w:pPr>
              <w:pStyle w:val="TableParagraph"/>
              <w:tabs>
                <w:tab w:pos="8828" w:val="right" w:leader="dot"/>
              </w:tabs>
              <w:spacing w:line="261" w:lineRule="exact" w:before="114"/>
              <w:ind w:left="0" w:right="210"/>
              <w:jc w:val="right"/>
              <w:rPr>
                <w:sz w:val="24"/>
              </w:rPr>
            </w:pPr>
            <w:r>
              <w:rPr>
                <w:sz w:val="24"/>
              </w:rPr>
              <w:t>3.1. Etsy</w:t>
              <w:tab/>
              <w:t>92</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3.1.1.</w:t>
            </w:r>
            <w:r>
              <w:rPr>
                <w:spacing w:val="-13"/>
                <w:sz w:val="24"/>
              </w:rPr>
              <w:t> </w:t>
            </w:r>
            <w:r>
              <w:rPr>
                <w:sz w:val="24"/>
              </w:rPr>
              <w:t>Etsy</w:t>
            </w:r>
            <w:r>
              <w:rPr>
                <w:spacing w:val="-12"/>
                <w:sz w:val="24"/>
              </w:rPr>
              <w:t> </w:t>
            </w:r>
            <w:r>
              <w:rPr>
                <w:sz w:val="24"/>
              </w:rPr>
              <w:t>Tarihçesi</w:t>
              <w:tab/>
              <w:t>92</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3.1.2. Etsy</w:t>
            </w:r>
            <w:r>
              <w:rPr>
                <w:spacing w:val="-6"/>
                <w:sz w:val="24"/>
              </w:rPr>
              <w:t> </w:t>
            </w:r>
            <w:r>
              <w:rPr>
                <w:sz w:val="24"/>
              </w:rPr>
              <w:t>Yorum</w:t>
            </w:r>
            <w:r>
              <w:rPr>
                <w:spacing w:val="-2"/>
                <w:sz w:val="24"/>
              </w:rPr>
              <w:t> </w:t>
            </w:r>
            <w:r>
              <w:rPr>
                <w:sz w:val="24"/>
              </w:rPr>
              <w:t>Sistemi</w:t>
              <w:tab/>
              <w:t>94</w:t>
            </w:r>
          </w:p>
        </w:tc>
      </w:tr>
      <w:tr>
        <w:trPr>
          <w:trHeight w:val="276" w:hRule="atLeast"/>
        </w:trPr>
        <w:tc>
          <w:tcPr>
            <w:tcW w:w="9241" w:type="dxa"/>
          </w:tcPr>
          <w:p>
            <w:pPr>
              <w:pStyle w:val="TableParagraph"/>
              <w:tabs>
                <w:tab w:pos="8840" w:val="right" w:leader="dot"/>
              </w:tabs>
              <w:spacing w:line="256" w:lineRule="exact"/>
              <w:ind w:left="0" w:right="198"/>
              <w:jc w:val="right"/>
              <w:rPr>
                <w:sz w:val="24"/>
              </w:rPr>
            </w:pPr>
            <w:r>
              <w:rPr>
                <w:sz w:val="24"/>
              </w:rPr>
              <w:t>3.2.</w:t>
            </w:r>
            <w:r>
              <w:rPr>
                <w:spacing w:val="-10"/>
                <w:sz w:val="24"/>
              </w:rPr>
              <w:t> </w:t>
            </w:r>
            <w:r>
              <w:rPr>
                <w:sz w:val="24"/>
              </w:rPr>
              <w:t>Metodoloji</w:t>
              <w:tab/>
              <w:t>96</w:t>
            </w:r>
          </w:p>
        </w:tc>
      </w:tr>
      <w:tr>
        <w:trPr>
          <w:trHeight w:val="275" w:hRule="atLeast"/>
        </w:trPr>
        <w:tc>
          <w:tcPr>
            <w:tcW w:w="9241" w:type="dxa"/>
          </w:tcPr>
          <w:p>
            <w:pPr>
              <w:pStyle w:val="TableParagraph"/>
              <w:tabs>
                <w:tab w:pos="8528" w:val="right" w:leader="dot"/>
              </w:tabs>
              <w:spacing w:line="256" w:lineRule="exact"/>
              <w:ind w:left="0" w:right="204"/>
              <w:jc w:val="right"/>
              <w:rPr>
                <w:sz w:val="24"/>
              </w:rPr>
            </w:pPr>
            <w:r>
              <w:rPr>
                <w:sz w:val="24"/>
              </w:rPr>
              <w:t>3.2.1.</w:t>
            </w:r>
            <w:r>
              <w:rPr>
                <w:spacing w:val="-11"/>
                <w:sz w:val="24"/>
              </w:rPr>
              <w:t> </w:t>
            </w:r>
            <w:r>
              <w:rPr>
                <w:sz w:val="24"/>
              </w:rPr>
              <w:t>Araştırmanın</w:t>
            </w:r>
            <w:r>
              <w:rPr>
                <w:spacing w:val="-7"/>
                <w:sz w:val="24"/>
              </w:rPr>
              <w:t> </w:t>
            </w:r>
            <w:r>
              <w:rPr>
                <w:sz w:val="24"/>
              </w:rPr>
              <w:t>Amacı</w:t>
              <w:tab/>
            </w:r>
            <w:r>
              <w:rPr>
                <w:spacing w:val="-3"/>
                <w:sz w:val="24"/>
              </w:rPr>
              <w:t>96</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3.2.2.</w:t>
            </w:r>
            <w:r>
              <w:rPr>
                <w:spacing w:val="-6"/>
                <w:sz w:val="24"/>
              </w:rPr>
              <w:t> </w:t>
            </w:r>
            <w:r>
              <w:rPr>
                <w:sz w:val="24"/>
              </w:rPr>
              <w:t>Hipotez</w:t>
            </w:r>
            <w:r>
              <w:rPr>
                <w:spacing w:val="-7"/>
                <w:sz w:val="24"/>
              </w:rPr>
              <w:t> </w:t>
            </w:r>
            <w:r>
              <w:rPr>
                <w:sz w:val="24"/>
              </w:rPr>
              <w:t>Geliştirme</w:t>
              <w:tab/>
              <w:t>97</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3.2.2.1.</w:t>
            </w:r>
            <w:r>
              <w:rPr>
                <w:spacing w:val="-9"/>
                <w:sz w:val="24"/>
              </w:rPr>
              <w:t> </w:t>
            </w:r>
            <w:r>
              <w:rPr>
                <w:sz w:val="24"/>
              </w:rPr>
              <w:t>Hacim-Satış</w:t>
            </w:r>
            <w:r>
              <w:rPr>
                <w:spacing w:val="-5"/>
                <w:sz w:val="24"/>
              </w:rPr>
              <w:t> </w:t>
            </w:r>
            <w:r>
              <w:rPr>
                <w:sz w:val="24"/>
              </w:rPr>
              <w:t>İlişkisi</w:t>
              <w:tab/>
              <w:t>97</w:t>
            </w:r>
          </w:p>
        </w:tc>
      </w:tr>
      <w:tr>
        <w:trPr>
          <w:trHeight w:val="270" w:hRule="atLeast"/>
        </w:trPr>
        <w:tc>
          <w:tcPr>
            <w:tcW w:w="9241" w:type="dxa"/>
          </w:tcPr>
          <w:p>
            <w:pPr>
              <w:pStyle w:val="TableParagraph"/>
              <w:tabs>
                <w:tab w:pos="8533" w:val="right" w:leader="dot"/>
              </w:tabs>
              <w:spacing w:line="251" w:lineRule="exact"/>
              <w:ind w:left="0" w:right="198"/>
              <w:jc w:val="right"/>
              <w:rPr>
                <w:sz w:val="24"/>
              </w:rPr>
            </w:pPr>
            <w:r>
              <w:rPr>
                <w:sz w:val="24"/>
              </w:rPr>
              <w:t>3.2.2.2.</w:t>
            </w:r>
            <w:r>
              <w:rPr>
                <w:spacing w:val="-13"/>
                <w:sz w:val="24"/>
              </w:rPr>
              <w:t> </w:t>
            </w:r>
            <w:r>
              <w:rPr>
                <w:sz w:val="24"/>
              </w:rPr>
              <w:t>Değerlik-Satış</w:t>
            </w:r>
            <w:r>
              <w:rPr>
                <w:spacing w:val="-10"/>
                <w:sz w:val="24"/>
              </w:rPr>
              <w:t> </w:t>
            </w:r>
            <w:r>
              <w:rPr>
                <w:sz w:val="24"/>
              </w:rPr>
              <w:t>İlişkisi</w:t>
              <w:tab/>
              <w:t>98</w:t>
            </w:r>
          </w:p>
        </w:tc>
      </w:tr>
    </w:tbl>
    <w:p>
      <w:pPr>
        <w:spacing w:after="0" w:line="251" w:lineRule="exact"/>
        <w:jc w:val="right"/>
        <w:rPr>
          <w:sz w:val="24"/>
        </w:rPr>
        <w:sectPr>
          <w:pgSz w:w="12240" w:h="15840"/>
          <w:pgMar w:header="718" w:footer="0" w:top="1300" w:bottom="280" w:left="1720" w:right="820"/>
        </w:sectPr>
      </w:pPr>
    </w:p>
    <w:p>
      <w:pPr>
        <w:pStyle w:val="BodyText"/>
        <w:spacing w:before="7"/>
        <w:ind w:left="0"/>
        <w:jc w:val="left"/>
        <w:rPr>
          <w:b/>
          <w:sz w:val="9"/>
        </w:rPr>
      </w:pPr>
    </w:p>
    <w:tbl>
      <w:tblPr>
        <w:tblW w:w="0" w:type="auto"/>
        <w:jc w:val="lef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41"/>
      </w:tblGrid>
      <w:tr>
        <w:trPr>
          <w:trHeight w:val="271" w:hRule="atLeast"/>
        </w:trPr>
        <w:tc>
          <w:tcPr>
            <w:tcW w:w="9241" w:type="dxa"/>
          </w:tcPr>
          <w:p>
            <w:pPr>
              <w:pStyle w:val="TableParagraph"/>
              <w:tabs>
                <w:tab w:pos="8533" w:val="right" w:leader="dot"/>
              </w:tabs>
              <w:spacing w:line="251" w:lineRule="exact"/>
              <w:ind w:left="0" w:right="198"/>
              <w:jc w:val="right"/>
              <w:rPr>
                <w:sz w:val="24"/>
              </w:rPr>
            </w:pPr>
            <w:r>
              <w:rPr>
                <w:sz w:val="24"/>
              </w:rPr>
              <w:t>3.2.3.</w:t>
            </w:r>
            <w:r>
              <w:rPr>
                <w:spacing w:val="-4"/>
                <w:sz w:val="24"/>
              </w:rPr>
              <w:t> </w:t>
            </w:r>
            <w:r>
              <w:rPr>
                <w:sz w:val="24"/>
              </w:rPr>
              <w:t>Veri</w:t>
            </w:r>
            <w:r>
              <w:rPr>
                <w:spacing w:val="-3"/>
                <w:sz w:val="24"/>
              </w:rPr>
              <w:t> </w:t>
            </w:r>
            <w:r>
              <w:rPr>
                <w:sz w:val="24"/>
              </w:rPr>
              <w:t>Seti</w:t>
              <w:tab/>
              <w:t>99</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3.2.4.</w:t>
            </w:r>
            <w:r>
              <w:rPr>
                <w:spacing w:val="-4"/>
                <w:sz w:val="24"/>
              </w:rPr>
              <w:t> </w:t>
            </w:r>
            <w:r>
              <w:rPr>
                <w:sz w:val="24"/>
              </w:rPr>
              <w:t>Değişkenler</w:t>
              <w:tab/>
              <w:t>102</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3.2.4.1.</w:t>
            </w:r>
            <w:r>
              <w:rPr>
                <w:spacing w:val="-13"/>
                <w:sz w:val="24"/>
              </w:rPr>
              <w:t> </w:t>
            </w:r>
            <w:r>
              <w:rPr>
                <w:sz w:val="24"/>
              </w:rPr>
              <w:t>Bağımlı</w:t>
            </w:r>
            <w:r>
              <w:rPr>
                <w:spacing w:val="-10"/>
                <w:sz w:val="24"/>
              </w:rPr>
              <w:t> </w:t>
            </w:r>
            <w:r>
              <w:rPr>
                <w:sz w:val="24"/>
              </w:rPr>
              <w:t>Değişken</w:t>
              <w:tab/>
              <w:t>103</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3.2.4.2.</w:t>
            </w:r>
            <w:r>
              <w:rPr>
                <w:spacing w:val="-4"/>
                <w:sz w:val="24"/>
              </w:rPr>
              <w:t> </w:t>
            </w:r>
            <w:r>
              <w:rPr>
                <w:sz w:val="24"/>
              </w:rPr>
              <w:t>Bağımsız</w:t>
            </w:r>
            <w:r>
              <w:rPr>
                <w:spacing w:val="-3"/>
                <w:sz w:val="24"/>
              </w:rPr>
              <w:t> </w:t>
            </w:r>
            <w:r>
              <w:rPr>
                <w:sz w:val="24"/>
              </w:rPr>
              <w:t>Değişkenler</w:t>
              <w:tab/>
              <w:t>103</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3.2.4.3.</w:t>
            </w:r>
            <w:r>
              <w:rPr>
                <w:spacing w:val="-11"/>
                <w:sz w:val="24"/>
              </w:rPr>
              <w:t> </w:t>
            </w:r>
            <w:r>
              <w:rPr>
                <w:sz w:val="24"/>
              </w:rPr>
              <w:t>Kontrol</w:t>
            </w:r>
            <w:r>
              <w:rPr>
                <w:spacing w:val="-10"/>
                <w:sz w:val="24"/>
              </w:rPr>
              <w:t> </w:t>
            </w:r>
            <w:r>
              <w:rPr>
                <w:sz w:val="24"/>
              </w:rPr>
              <w:t>Değişkenleri</w:t>
              <w:tab/>
              <w:t>103</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3.2.5.</w:t>
            </w:r>
            <w:r>
              <w:rPr>
                <w:spacing w:val="-4"/>
                <w:sz w:val="24"/>
              </w:rPr>
              <w:t> </w:t>
            </w:r>
            <w:r>
              <w:rPr>
                <w:sz w:val="24"/>
              </w:rPr>
              <w:t>Model</w:t>
            </w:r>
            <w:r>
              <w:rPr>
                <w:spacing w:val="-2"/>
                <w:sz w:val="24"/>
              </w:rPr>
              <w:t> </w:t>
            </w:r>
            <w:r>
              <w:rPr>
                <w:sz w:val="24"/>
              </w:rPr>
              <w:t>Geliştirme</w:t>
              <w:tab/>
              <w:t>104</w:t>
            </w:r>
          </w:p>
        </w:tc>
      </w:tr>
      <w:tr>
        <w:trPr>
          <w:trHeight w:val="275" w:hRule="atLeast"/>
        </w:trPr>
        <w:tc>
          <w:tcPr>
            <w:tcW w:w="9241" w:type="dxa"/>
          </w:tcPr>
          <w:p>
            <w:pPr>
              <w:pStyle w:val="TableParagraph"/>
              <w:tabs>
                <w:tab w:pos="8838" w:val="right" w:leader="dot"/>
              </w:tabs>
              <w:spacing w:line="256" w:lineRule="exact"/>
              <w:ind w:left="0" w:right="200"/>
              <w:jc w:val="right"/>
              <w:rPr>
                <w:sz w:val="24"/>
              </w:rPr>
            </w:pPr>
            <w:r>
              <w:rPr>
                <w:sz w:val="24"/>
              </w:rPr>
              <w:t>3.3.</w:t>
            </w:r>
            <w:r>
              <w:rPr>
                <w:spacing w:val="-15"/>
                <w:sz w:val="24"/>
              </w:rPr>
              <w:t> </w:t>
            </w:r>
            <w:r>
              <w:rPr>
                <w:sz w:val="24"/>
              </w:rPr>
              <w:t>Bulgular</w:t>
              <w:tab/>
              <w:t>105</w:t>
            </w:r>
          </w:p>
        </w:tc>
      </w:tr>
      <w:tr>
        <w:trPr>
          <w:trHeight w:val="276" w:hRule="atLeast"/>
        </w:trPr>
        <w:tc>
          <w:tcPr>
            <w:tcW w:w="9241" w:type="dxa"/>
          </w:tcPr>
          <w:p>
            <w:pPr>
              <w:pStyle w:val="TableParagraph"/>
              <w:tabs>
                <w:tab w:pos="8833" w:val="right" w:leader="dot"/>
              </w:tabs>
              <w:spacing w:line="256" w:lineRule="exact"/>
              <w:ind w:left="0" w:right="205"/>
              <w:jc w:val="right"/>
              <w:rPr>
                <w:sz w:val="24"/>
              </w:rPr>
            </w:pPr>
            <w:r>
              <w:rPr>
                <w:sz w:val="24"/>
              </w:rPr>
              <w:t>3.4.</w:t>
            </w:r>
            <w:r>
              <w:rPr>
                <w:spacing w:val="-1"/>
                <w:sz w:val="24"/>
              </w:rPr>
              <w:t> </w:t>
            </w:r>
            <w:r>
              <w:rPr>
                <w:sz w:val="24"/>
              </w:rPr>
              <w:t>Tartışma</w:t>
              <w:tab/>
              <w:t>108</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3.4.1.</w:t>
            </w:r>
            <w:r>
              <w:rPr>
                <w:spacing w:val="-13"/>
                <w:sz w:val="24"/>
              </w:rPr>
              <w:t> </w:t>
            </w:r>
            <w:r>
              <w:rPr>
                <w:sz w:val="24"/>
              </w:rPr>
              <w:t>Teorik</w:t>
            </w:r>
            <w:r>
              <w:rPr>
                <w:spacing w:val="-13"/>
                <w:sz w:val="24"/>
              </w:rPr>
              <w:t> </w:t>
            </w:r>
            <w:r>
              <w:rPr>
                <w:sz w:val="24"/>
              </w:rPr>
              <w:t>Çıkarımlar</w:t>
              <w:tab/>
              <w:t>110</w:t>
            </w:r>
          </w:p>
        </w:tc>
      </w:tr>
      <w:tr>
        <w:trPr>
          <w:trHeight w:val="276" w:hRule="atLeast"/>
        </w:trPr>
        <w:tc>
          <w:tcPr>
            <w:tcW w:w="9241" w:type="dxa"/>
          </w:tcPr>
          <w:p>
            <w:pPr>
              <w:pStyle w:val="TableParagraph"/>
              <w:tabs>
                <w:tab w:pos="8533" w:val="right" w:leader="dot"/>
              </w:tabs>
              <w:spacing w:line="256" w:lineRule="exact"/>
              <w:ind w:left="0" w:right="198"/>
              <w:jc w:val="right"/>
              <w:rPr>
                <w:sz w:val="24"/>
              </w:rPr>
            </w:pPr>
            <w:r>
              <w:rPr>
                <w:sz w:val="24"/>
              </w:rPr>
              <w:t>3.4.2.</w:t>
            </w:r>
            <w:r>
              <w:rPr>
                <w:spacing w:val="-11"/>
                <w:sz w:val="24"/>
              </w:rPr>
              <w:t> </w:t>
            </w:r>
            <w:r>
              <w:rPr>
                <w:sz w:val="24"/>
              </w:rPr>
              <w:t>Yönetimsel</w:t>
            </w:r>
            <w:r>
              <w:rPr>
                <w:spacing w:val="-10"/>
                <w:sz w:val="24"/>
              </w:rPr>
              <w:t> </w:t>
            </w:r>
            <w:r>
              <w:rPr>
                <w:sz w:val="24"/>
              </w:rPr>
              <w:t>Çıkarımlar</w:t>
              <w:tab/>
              <w:t>111</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3.4.3.</w:t>
            </w:r>
            <w:r>
              <w:rPr>
                <w:spacing w:val="-4"/>
                <w:sz w:val="24"/>
              </w:rPr>
              <w:t> </w:t>
            </w:r>
            <w:r>
              <w:rPr>
                <w:sz w:val="24"/>
              </w:rPr>
              <w:t>Çalışmanın</w:t>
            </w:r>
            <w:r>
              <w:rPr>
                <w:spacing w:val="-3"/>
                <w:sz w:val="24"/>
              </w:rPr>
              <w:t> </w:t>
            </w:r>
            <w:r>
              <w:rPr>
                <w:sz w:val="24"/>
              </w:rPr>
              <w:t>Kısıtları</w:t>
              <w:tab/>
              <w:t>112</w:t>
            </w:r>
          </w:p>
        </w:tc>
      </w:tr>
      <w:tr>
        <w:trPr>
          <w:trHeight w:val="275" w:hRule="atLeast"/>
        </w:trPr>
        <w:tc>
          <w:tcPr>
            <w:tcW w:w="9241" w:type="dxa"/>
          </w:tcPr>
          <w:p>
            <w:pPr>
              <w:pStyle w:val="TableParagraph"/>
              <w:tabs>
                <w:tab w:pos="8533" w:val="right" w:leader="dot"/>
              </w:tabs>
              <w:spacing w:line="256" w:lineRule="exact"/>
              <w:ind w:left="0" w:right="198"/>
              <w:jc w:val="right"/>
              <w:rPr>
                <w:sz w:val="24"/>
              </w:rPr>
            </w:pPr>
            <w:r>
              <w:rPr>
                <w:sz w:val="24"/>
              </w:rPr>
              <w:t>3.4.4.</w:t>
            </w:r>
            <w:r>
              <w:rPr>
                <w:spacing w:val="-4"/>
                <w:sz w:val="24"/>
              </w:rPr>
              <w:t> </w:t>
            </w:r>
            <w:r>
              <w:rPr>
                <w:sz w:val="24"/>
              </w:rPr>
              <w:t>Gelecek</w:t>
            </w:r>
            <w:r>
              <w:rPr>
                <w:spacing w:val="-3"/>
                <w:sz w:val="24"/>
              </w:rPr>
              <w:t> </w:t>
            </w:r>
            <w:r>
              <w:rPr>
                <w:sz w:val="24"/>
              </w:rPr>
              <w:t>Çalışmalar</w:t>
              <w:tab/>
              <w:t>112</w:t>
            </w:r>
          </w:p>
        </w:tc>
      </w:tr>
      <w:tr>
        <w:trPr>
          <w:trHeight w:val="276" w:hRule="atLeast"/>
        </w:trPr>
        <w:tc>
          <w:tcPr>
            <w:tcW w:w="9241" w:type="dxa"/>
          </w:tcPr>
          <w:p>
            <w:pPr>
              <w:pStyle w:val="TableParagraph"/>
              <w:tabs>
                <w:tab w:pos="8840" w:val="right" w:leader="dot"/>
              </w:tabs>
              <w:spacing w:line="256" w:lineRule="exact"/>
              <w:ind w:left="0" w:right="198"/>
              <w:jc w:val="right"/>
              <w:rPr>
                <w:sz w:val="24"/>
              </w:rPr>
            </w:pPr>
            <w:r>
              <w:rPr>
                <w:sz w:val="24"/>
              </w:rPr>
              <w:t>SONUÇ</w:t>
              <w:tab/>
              <w:t>113</w:t>
            </w:r>
          </w:p>
        </w:tc>
      </w:tr>
      <w:tr>
        <w:trPr>
          <w:trHeight w:val="276" w:hRule="atLeast"/>
        </w:trPr>
        <w:tc>
          <w:tcPr>
            <w:tcW w:w="9241" w:type="dxa"/>
          </w:tcPr>
          <w:p>
            <w:pPr>
              <w:pStyle w:val="TableParagraph"/>
              <w:tabs>
                <w:tab w:pos="8840" w:val="right" w:leader="dot"/>
              </w:tabs>
              <w:spacing w:line="256" w:lineRule="exact"/>
              <w:ind w:left="0" w:right="198"/>
              <w:jc w:val="right"/>
              <w:rPr>
                <w:sz w:val="24"/>
              </w:rPr>
            </w:pPr>
            <w:r>
              <w:rPr>
                <w:sz w:val="24"/>
              </w:rPr>
              <w:t>KAYNAKLAR</w:t>
              <w:tab/>
              <w:t>119</w:t>
            </w:r>
          </w:p>
        </w:tc>
      </w:tr>
      <w:tr>
        <w:trPr>
          <w:trHeight w:val="275" w:hRule="atLeast"/>
        </w:trPr>
        <w:tc>
          <w:tcPr>
            <w:tcW w:w="9241" w:type="dxa"/>
          </w:tcPr>
          <w:p>
            <w:pPr>
              <w:pStyle w:val="TableParagraph"/>
              <w:tabs>
                <w:tab w:pos="8840" w:val="right" w:leader="dot"/>
              </w:tabs>
              <w:spacing w:line="256" w:lineRule="exact"/>
              <w:ind w:left="0" w:right="198"/>
              <w:jc w:val="right"/>
              <w:rPr>
                <w:sz w:val="24"/>
              </w:rPr>
            </w:pPr>
            <w:r>
              <w:rPr>
                <w:sz w:val="24"/>
              </w:rPr>
              <w:t>EKLER</w:t>
              <w:tab/>
              <w:t>144</w:t>
            </w:r>
          </w:p>
        </w:tc>
      </w:tr>
      <w:tr>
        <w:trPr>
          <w:trHeight w:val="270" w:hRule="atLeast"/>
        </w:trPr>
        <w:tc>
          <w:tcPr>
            <w:tcW w:w="9241" w:type="dxa"/>
          </w:tcPr>
          <w:p>
            <w:pPr>
              <w:pStyle w:val="TableParagraph"/>
              <w:tabs>
                <w:tab w:pos="8838" w:val="right" w:leader="dot"/>
              </w:tabs>
              <w:spacing w:line="251" w:lineRule="exact"/>
              <w:ind w:left="0" w:right="200"/>
              <w:jc w:val="right"/>
              <w:rPr>
                <w:sz w:val="24"/>
              </w:rPr>
            </w:pPr>
            <w:r>
              <w:rPr>
                <w:sz w:val="24"/>
              </w:rPr>
              <w:t>ÖZGEÇMİŞ</w:t>
              <w:tab/>
              <w:t>157</w:t>
            </w:r>
          </w:p>
        </w:tc>
      </w:tr>
    </w:tbl>
    <w:p>
      <w:pPr>
        <w:spacing w:after="0" w:line="251" w:lineRule="exact"/>
        <w:jc w:val="right"/>
        <w:rPr>
          <w:sz w:val="24"/>
        </w:rPr>
        <w:sectPr>
          <w:pgSz w:w="12240" w:h="15840"/>
          <w:pgMar w:header="718" w:footer="0" w:top="1300" w:bottom="280" w:left="1720" w:right="820"/>
        </w:sectPr>
      </w:pPr>
    </w:p>
    <w:p>
      <w:pPr>
        <w:pStyle w:val="Heading1"/>
        <w:spacing w:before="98"/>
        <w:ind w:left="563" w:right="323" w:firstLine="0"/>
        <w:jc w:val="center"/>
      </w:pPr>
      <w:r>
        <w:rPr/>
        <w:t>ŞEKİLLER DİZİNİ</w:t>
      </w:r>
    </w:p>
    <w:p>
      <w:pPr>
        <w:pStyle w:val="BodyText"/>
        <w:spacing w:before="10"/>
        <w:ind w:left="0"/>
        <w:jc w:val="left"/>
        <w:rPr>
          <w:b/>
          <w:sz w:val="23"/>
        </w:rPr>
      </w:pPr>
    </w:p>
    <w:tbl>
      <w:tblPr>
        <w:tblW w:w="0" w:type="auto"/>
        <w:jc w:val="lef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13"/>
        <w:gridCol w:w="711"/>
      </w:tblGrid>
      <w:tr>
        <w:trPr>
          <w:trHeight w:val="270" w:hRule="atLeast"/>
        </w:trPr>
        <w:tc>
          <w:tcPr>
            <w:tcW w:w="8213" w:type="dxa"/>
          </w:tcPr>
          <w:p>
            <w:pPr>
              <w:pStyle w:val="TableParagraph"/>
              <w:spacing w:line="251" w:lineRule="exact"/>
              <w:ind w:left="200"/>
              <w:rPr>
                <w:sz w:val="24"/>
              </w:rPr>
            </w:pPr>
            <w:r>
              <w:rPr>
                <w:sz w:val="24"/>
              </w:rPr>
              <w:t>Şekil 1: Geleneksel Tüketici Satın Alma Karar Süreci ………………………</w:t>
            </w:r>
          </w:p>
        </w:tc>
        <w:tc>
          <w:tcPr>
            <w:tcW w:w="711" w:type="dxa"/>
          </w:tcPr>
          <w:p>
            <w:pPr>
              <w:pStyle w:val="TableParagraph"/>
              <w:spacing w:line="251" w:lineRule="exact"/>
              <w:ind w:left="0" w:right="205"/>
              <w:jc w:val="right"/>
              <w:rPr>
                <w:sz w:val="24"/>
              </w:rPr>
            </w:pPr>
            <w:r>
              <w:rPr>
                <w:sz w:val="24"/>
              </w:rPr>
              <w:t>8</w:t>
            </w:r>
          </w:p>
        </w:tc>
      </w:tr>
      <w:tr>
        <w:trPr>
          <w:trHeight w:val="276" w:hRule="atLeast"/>
        </w:trPr>
        <w:tc>
          <w:tcPr>
            <w:tcW w:w="8213" w:type="dxa"/>
          </w:tcPr>
          <w:p>
            <w:pPr>
              <w:pStyle w:val="TableParagraph"/>
              <w:spacing w:line="256" w:lineRule="exact"/>
              <w:ind w:left="200"/>
              <w:rPr>
                <w:sz w:val="24"/>
              </w:rPr>
            </w:pPr>
            <w:r>
              <w:rPr>
                <w:sz w:val="24"/>
              </w:rPr>
              <w:t>Şekil 2: Online Tüketici Satın Alma Karar Süreci……………………………</w:t>
            </w:r>
          </w:p>
        </w:tc>
        <w:tc>
          <w:tcPr>
            <w:tcW w:w="711" w:type="dxa"/>
          </w:tcPr>
          <w:p>
            <w:pPr>
              <w:pStyle w:val="TableParagraph"/>
              <w:spacing w:line="256" w:lineRule="exact"/>
              <w:ind w:left="0" w:right="205"/>
              <w:jc w:val="right"/>
              <w:rPr>
                <w:sz w:val="24"/>
              </w:rPr>
            </w:pPr>
            <w:r>
              <w:rPr>
                <w:sz w:val="24"/>
              </w:rPr>
              <w:t>9</w:t>
            </w:r>
          </w:p>
        </w:tc>
      </w:tr>
      <w:tr>
        <w:trPr>
          <w:trHeight w:val="275" w:hRule="atLeast"/>
        </w:trPr>
        <w:tc>
          <w:tcPr>
            <w:tcW w:w="8213" w:type="dxa"/>
          </w:tcPr>
          <w:p>
            <w:pPr>
              <w:pStyle w:val="TableParagraph"/>
              <w:spacing w:line="256" w:lineRule="exact"/>
              <w:ind w:left="200"/>
              <w:rPr>
                <w:sz w:val="24"/>
              </w:rPr>
            </w:pPr>
            <w:r>
              <w:rPr>
                <w:sz w:val="24"/>
              </w:rPr>
              <w:t>Şekil 3: Tüketiciler Arası Organik Etki Modeli………………………………</w:t>
            </w:r>
          </w:p>
        </w:tc>
        <w:tc>
          <w:tcPr>
            <w:tcW w:w="711" w:type="dxa"/>
          </w:tcPr>
          <w:p>
            <w:pPr>
              <w:pStyle w:val="TableParagraph"/>
              <w:spacing w:line="256" w:lineRule="exact"/>
              <w:ind w:left="0" w:right="199"/>
              <w:jc w:val="right"/>
              <w:rPr>
                <w:sz w:val="24"/>
              </w:rPr>
            </w:pPr>
            <w:r>
              <w:rPr>
                <w:sz w:val="24"/>
              </w:rPr>
              <w:t>19</w:t>
            </w:r>
          </w:p>
        </w:tc>
      </w:tr>
      <w:tr>
        <w:trPr>
          <w:trHeight w:val="275" w:hRule="atLeast"/>
        </w:trPr>
        <w:tc>
          <w:tcPr>
            <w:tcW w:w="8213" w:type="dxa"/>
          </w:tcPr>
          <w:p>
            <w:pPr>
              <w:pStyle w:val="TableParagraph"/>
              <w:spacing w:line="256" w:lineRule="exact"/>
              <w:ind w:left="200"/>
              <w:rPr>
                <w:sz w:val="24"/>
              </w:rPr>
            </w:pPr>
            <w:r>
              <w:rPr>
                <w:sz w:val="24"/>
              </w:rPr>
              <w:t>Şekil 4: Doğrusal Pazarlamacı Etkisi Modeli…………………………………</w:t>
            </w:r>
          </w:p>
        </w:tc>
        <w:tc>
          <w:tcPr>
            <w:tcW w:w="711" w:type="dxa"/>
          </w:tcPr>
          <w:p>
            <w:pPr>
              <w:pStyle w:val="TableParagraph"/>
              <w:spacing w:line="256" w:lineRule="exact"/>
              <w:ind w:left="0" w:right="199"/>
              <w:jc w:val="right"/>
              <w:rPr>
                <w:sz w:val="24"/>
              </w:rPr>
            </w:pPr>
            <w:r>
              <w:rPr>
                <w:sz w:val="24"/>
              </w:rPr>
              <w:t>20</w:t>
            </w:r>
          </w:p>
        </w:tc>
      </w:tr>
      <w:tr>
        <w:trPr>
          <w:trHeight w:val="275" w:hRule="atLeast"/>
        </w:trPr>
        <w:tc>
          <w:tcPr>
            <w:tcW w:w="8213" w:type="dxa"/>
          </w:tcPr>
          <w:p>
            <w:pPr>
              <w:pStyle w:val="TableParagraph"/>
              <w:spacing w:line="256" w:lineRule="exact"/>
              <w:ind w:left="200"/>
              <w:rPr>
                <w:sz w:val="24"/>
              </w:rPr>
            </w:pPr>
            <w:r>
              <w:rPr>
                <w:spacing w:val="5"/>
                <w:sz w:val="24"/>
              </w:rPr>
              <w:t>Şekil </w:t>
            </w:r>
            <w:r>
              <w:rPr>
                <w:spacing w:val="3"/>
                <w:sz w:val="24"/>
              </w:rPr>
              <w:t>5: Ağ </w:t>
            </w:r>
            <w:r>
              <w:rPr>
                <w:spacing w:val="5"/>
                <w:sz w:val="24"/>
              </w:rPr>
              <w:t>Ortak Üretim</w:t>
            </w:r>
            <w:r>
              <w:rPr>
                <w:spacing w:val="62"/>
                <w:sz w:val="24"/>
              </w:rPr>
              <w:t> </w:t>
            </w:r>
            <w:r>
              <w:rPr>
                <w:spacing w:val="6"/>
                <w:sz w:val="24"/>
              </w:rPr>
              <w:t>Modeli……………………………………………...</w:t>
            </w:r>
          </w:p>
        </w:tc>
        <w:tc>
          <w:tcPr>
            <w:tcW w:w="711" w:type="dxa"/>
          </w:tcPr>
          <w:p>
            <w:pPr>
              <w:pStyle w:val="TableParagraph"/>
              <w:spacing w:line="256" w:lineRule="exact"/>
              <w:ind w:left="0" w:right="199"/>
              <w:jc w:val="right"/>
              <w:rPr>
                <w:sz w:val="24"/>
              </w:rPr>
            </w:pPr>
            <w:r>
              <w:rPr>
                <w:sz w:val="24"/>
              </w:rPr>
              <w:t>21</w:t>
            </w:r>
          </w:p>
        </w:tc>
      </w:tr>
      <w:tr>
        <w:trPr>
          <w:trHeight w:val="828" w:hRule="atLeast"/>
        </w:trPr>
        <w:tc>
          <w:tcPr>
            <w:tcW w:w="8213" w:type="dxa"/>
          </w:tcPr>
          <w:p>
            <w:pPr>
              <w:pStyle w:val="TableParagraph"/>
              <w:ind w:left="1080" w:hanging="881"/>
              <w:rPr>
                <w:sz w:val="24"/>
              </w:rPr>
            </w:pPr>
            <w:r>
              <w:rPr>
                <w:spacing w:val="5"/>
                <w:sz w:val="24"/>
              </w:rPr>
              <w:t>Şekil </w:t>
            </w:r>
            <w:r>
              <w:rPr>
                <w:spacing w:val="3"/>
                <w:sz w:val="24"/>
              </w:rPr>
              <w:t>6: </w:t>
            </w:r>
            <w:r>
              <w:rPr>
                <w:spacing w:val="5"/>
                <w:sz w:val="24"/>
              </w:rPr>
              <w:t>Elektronik Ağızdan Ağıza İletişimin Etkisini Pazar Düzeyinde İnceleyen Makale Sayısının Yıllara </w:t>
            </w:r>
            <w:r>
              <w:rPr>
                <w:spacing w:val="4"/>
                <w:sz w:val="24"/>
              </w:rPr>
              <w:t>Göre</w:t>
            </w:r>
            <w:r>
              <w:rPr>
                <w:spacing w:val="60"/>
                <w:sz w:val="24"/>
              </w:rPr>
              <w:t> </w:t>
            </w:r>
            <w:r>
              <w:rPr>
                <w:spacing w:val="5"/>
                <w:sz w:val="24"/>
              </w:rPr>
              <w:t>Dağılımı</w:t>
            </w:r>
          </w:p>
          <w:p>
            <w:pPr>
              <w:pStyle w:val="TableParagraph"/>
              <w:spacing w:line="261" w:lineRule="exact"/>
              <w:ind w:left="1052"/>
              <w:rPr>
                <w:sz w:val="24"/>
              </w:rPr>
            </w:pPr>
            <w:r>
              <w:rPr>
                <w:spacing w:val="4"/>
                <w:sz w:val="24"/>
              </w:rPr>
              <w:t>(Web </w:t>
            </w:r>
            <w:r>
              <w:rPr>
                <w:spacing w:val="3"/>
                <w:sz w:val="24"/>
              </w:rPr>
              <w:t>of </w:t>
            </w:r>
            <w:r>
              <w:rPr>
                <w:spacing w:val="5"/>
                <w:sz w:val="24"/>
              </w:rPr>
              <w:t>Science </w:t>
            </w:r>
            <w:r>
              <w:rPr>
                <w:spacing w:val="4"/>
                <w:sz w:val="24"/>
              </w:rPr>
              <w:t>veri</w:t>
            </w:r>
            <w:r>
              <w:rPr>
                <w:spacing w:val="57"/>
                <w:sz w:val="24"/>
              </w:rPr>
              <w:t> </w:t>
            </w:r>
            <w:r>
              <w:rPr>
                <w:spacing w:val="6"/>
                <w:sz w:val="24"/>
              </w:rPr>
              <w:t>tabanı)………………………………………….</w:t>
            </w:r>
          </w:p>
        </w:tc>
        <w:tc>
          <w:tcPr>
            <w:tcW w:w="711" w:type="dxa"/>
          </w:tcPr>
          <w:p>
            <w:pPr>
              <w:pStyle w:val="TableParagraph"/>
              <w:ind w:left="0"/>
              <w:rPr>
                <w:b/>
                <w:sz w:val="26"/>
              </w:rPr>
            </w:pPr>
          </w:p>
          <w:p>
            <w:pPr>
              <w:pStyle w:val="TableParagraph"/>
              <w:spacing w:before="6"/>
              <w:ind w:left="0"/>
              <w:rPr>
                <w:b/>
                <w:sz w:val="21"/>
              </w:rPr>
            </w:pPr>
          </w:p>
          <w:p>
            <w:pPr>
              <w:pStyle w:val="TableParagraph"/>
              <w:spacing w:line="261" w:lineRule="exact"/>
              <w:ind w:left="0" w:right="199"/>
              <w:jc w:val="right"/>
              <w:rPr>
                <w:sz w:val="24"/>
              </w:rPr>
            </w:pPr>
            <w:r>
              <w:rPr>
                <w:sz w:val="24"/>
              </w:rPr>
              <w:t>43</w:t>
            </w:r>
          </w:p>
        </w:tc>
      </w:tr>
      <w:tr>
        <w:trPr>
          <w:trHeight w:val="275" w:hRule="atLeast"/>
        </w:trPr>
        <w:tc>
          <w:tcPr>
            <w:tcW w:w="8213" w:type="dxa"/>
          </w:tcPr>
          <w:p>
            <w:pPr>
              <w:pStyle w:val="TableParagraph"/>
              <w:spacing w:line="256" w:lineRule="exact"/>
              <w:ind w:left="200"/>
              <w:rPr>
                <w:sz w:val="24"/>
              </w:rPr>
            </w:pPr>
            <w:r>
              <w:rPr>
                <w:sz w:val="24"/>
              </w:rPr>
              <w:t>Şekil 7: Amazon.com ana sayfasının ilk hali………………………………….</w:t>
            </w:r>
          </w:p>
        </w:tc>
        <w:tc>
          <w:tcPr>
            <w:tcW w:w="711" w:type="dxa"/>
          </w:tcPr>
          <w:p>
            <w:pPr>
              <w:pStyle w:val="TableParagraph"/>
              <w:spacing w:line="256" w:lineRule="exact"/>
              <w:ind w:left="0" w:right="199"/>
              <w:jc w:val="right"/>
              <w:rPr>
                <w:sz w:val="24"/>
              </w:rPr>
            </w:pPr>
            <w:r>
              <w:rPr>
                <w:sz w:val="24"/>
              </w:rPr>
              <w:t>48</w:t>
            </w:r>
          </w:p>
        </w:tc>
      </w:tr>
      <w:tr>
        <w:trPr>
          <w:trHeight w:val="275" w:hRule="atLeast"/>
        </w:trPr>
        <w:tc>
          <w:tcPr>
            <w:tcW w:w="8213" w:type="dxa"/>
          </w:tcPr>
          <w:p>
            <w:pPr>
              <w:pStyle w:val="TableParagraph"/>
              <w:spacing w:line="256" w:lineRule="exact"/>
              <w:ind w:left="200"/>
              <w:rPr>
                <w:sz w:val="24"/>
              </w:rPr>
            </w:pPr>
            <w:r>
              <w:rPr>
                <w:sz w:val="24"/>
              </w:rPr>
              <w:t>Şekil 8: Amazon.com’dan Örnek Yorum Sayfası……………………………..</w:t>
            </w:r>
          </w:p>
        </w:tc>
        <w:tc>
          <w:tcPr>
            <w:tcW w:w="711" w:type="dxa"/>
          </w:tcPr>
          <w:p>
            <w:pPr>
              <w:pStyle w:val="TableParagraph"/>
              <w:spacing w:line="256" w:lineRule="exact"/>
              <w:ind w:left="0" w:right="199"/>
              <w:jc w:val="right"/>
              <w:rPr>
                <w:sz w:val="24"/>
              </w:rPr>
            </w:pPr>
            <w:r>
              <w:rPr>
                <w:sz w:val="24"/>
              </w:rPr>
              <w:t>50</w:t>
            </w:r>
          </w:p>
        </w:tc>
      </w:tr>
      <w:tr>
        <w:trPr>
          <w:trHeight w:val="276" w:hRule="atLeast"/>
        </w:trPr>
        <w:tc>
          <w:tcPr>
            <w:tcW w:w="8213" w:type="dxa"/>
          </w:tcPr>
          <w:p>
            <w:pPr>
              <w:pStyle w:val="TableParagraph"/>
              <w:spacing w:line="256" w:lineRule="exact"/>
              <w:ind w:left="200"/>
              <w:rPr>
                <w:sz w:val="24"/>
              </w:rPr>
            </w:pPr>
            <w:r>
              <w:rPr>
                <w:sz w:val="24"/>
              </w:rPr>
              <w:t>Şekil 9: Amazon.com’dan Örnek Profil Sayfası………………………………</w:t>
            </w:r>
          </w:p>
        </w:tc>
        <w:tc>
          <w:tcPr>
            <w:tcW w:w="711" w:type="dxa"/>
          </w:tcPr>
          <w:p>
            <w:pPr>
              <w:pStyle w:val="TableParagraph"/>
              <w:spacing w:line="256" w:lineRule="exact"/>
              <w:ind w:left="0" w:right="199"/>
              <w:jc w:val="right"/>
              <w:rPr>
                <w:sz w:val="24"/>
              </w:rPr>
            </w:pPr>
            <w:r>
              <w:rPr>
                <w:sz w:val="24"/>
              </w:rPr>
              <w:t>51</w:t>
            </w:r>
          </w:p>
        </w:tc>
      </w:tr>
      <w:tr>
        <w:trPr>
          <w:trHeight w:val="276" w:hRule="atLeast"/>
        </w:trPr>
        <w:tc>
          <w:tcPr>
            <w:tcW w:w="8213" w:type="dxa"/>
          </w:tcPr>
          <w:p>
            <w:pPr>
              <w:pStyle w:val="TableParagraph"/>
              <w:spacing w:line="256" w:lineRule="exact"/>
              <w:ind w:left="200"/>
              <w:rPr>
                <w:sz w:val="24"/>
              </w:rPr>
            </w:pPr>
            <w:r>
              <w:rPr>
                <w:sz w:val="24"/>
              </w:rPr>
              <w:t>Şekil 10: Amazon.com’daki bir ürün sayfasından toplanan bilgiler…………</w:t>
            </w:r>
          </w:p>
        </w:tc>
        <w:tc>
          <w:tcPr>
            <w:tcW w:w="711" w:type="dxa"/>
          </w:tcPr>
          <w:p>
            <w:pPr>
              <w:pStyle w:val="TableParagraph"/>
              <w:spacing w:line="256" w:lineRule="exact"/>
              <w:ind w:left="0" w:right="199"/>
              <w:jc w:val="right"/>
              <w:rPr>
                <w:sz w:val="24"/>
              </w:rPr>
            </w:pPr>
            <w:r>
              <w:rPr>
                <w:sz w:val="24"/>
              </w:rPr>
              <w:t>65</w:t>
            </w:r>
          </w:p>
        </w:tc>
      </w:tr>
      <w:tr>
        <w:trPr>
          <w:trHeight w:val="275" w:hRule="atLeast"/>
        </w:trPr>
        <w:tc>
          <w:tcPr>
            <w:tcW w:w="8213" w:type="dxa"/>
          </w:tcPr>
          <w:p>
            <w:pPr>
              <w:pStyle w:val="TableParagraph"/>
              <w:spacing w:line="256" w:lineRule="exact"/>
              <w:ind w:left="200"/>
              <w:rPr>
                <w:sz w:val="24"/>
              </w:rPr>
            </w:pPr>
            <w:r>
              <w:rPr>
                <w:spacing w:val="5"/>
                <w:sz w:val="24"/>
              </w:rPr>
              <w:t>Şekil </w:t>
            </w:r>
            <w:r>
              <w:rPr>
                <w:spacing w:val="4"/>
                <w:sz w:val="24"/>
              </w:rPr>
              <w:t>11: </w:t>
            </w:r>
            <w:r>
              <w:rPr>
                <w:spacing w:val="5"/>
                <w:sz w:val="24"/>
              </w:rPr>
              <w:t>Araştırma modelinin bütüncül</w:t>
            </w:r>
            <w:r>
              <w:rPr>
                <w:spacing w:val="63"/>
                <w:sz w:val="24"/>
              </w:rPr>
              <w:t> </w:t>
            </w:r>
            <w:r>
              <w:rPr>
                <w:spacing w:val="6"/>
                <w:sz w:val="24"/>
              </w:rPr>
              <w:t>çerçevesi……………………………</w:t>
            </w:r>
          </w:p>
        </w:tc>
        <w:tc>
          <w:tcPr>
            <w:tcW w:w="711" w:type="dxa"/>
          </w:tcPr>
          <w:p>
            <w:pPr>
              <w:pStyle w:val="TableParagraph"/>
              <w:spacing w:line="256" w:lineRule="exact"/>
              <w:ind w:left="0" w:right="199"/>
              <w:jc w:val="right"/>
              <w:rPr>
                <w:sz w:val="24"/>
              </w:rPr>
            </w:pPr>
            <w:r>
              <w:rPr>
                <w:sz w:val="24"/>
              </w:rPr>
              <w:t>71</w:t>
            </w:r>
          </w:p>
        </w:tc>
      </w:tr>
      <w:tr>
        <w:trPr>
          <w:trHeight w:val="276" w:hRule="atLeast"/>
        </w:trPr>
        <w:tc>
          <w:tcPr>
            <w:tcW w:w="8213" w:type="dxa"/>
          </w:tcPr>
          <w:p>
            <w:pPr>
              <w:pStyle w:val="TableParagraph"/>
              <w:spacing w:line="256" w:lineRule="exact"/>
              <w:ind w:left="200"/>
              <w:rPr>
                <w:sz w:val="24"/>
              </w:rPr>
            </w:pPr>
            <w:r>
              <w:rPr>
                <w:spacing w:val="5"/>
                <w:sz w:val="24"/>
              </w:rPr>
              <w:t>Şekil </w:t>
            </w:r>
            <w:r>
              <w:rPr>
                <w:spacing w:val="4"/>
                <w:sz w:val="24"/>
              </w:rPr>
              <w:t>12: </w:t>
            </w:r>
            <w:r>
              <w:rPr>
                <w:spacing w:val="5"/>
                <w:sz w:val="24"/>
              </w:rPr>
              <w:t>Etsy.com </w:t>
            </w:r>
            <w:r>
              <w:rPr>
                <w:spacing w:val="4"/>
                <w:sz w:val="24"/>
              </w:rPr>
              <w:t>ana </w:t>
            </w:r>
            <w:r>
              <w:rPr>
                <w:spacing w:val="5"/>
                <w:sz w:val="24"/>
              </w:rPr>
              <w:t>sayfasının </w:t>
            </w:r>
            <w:r>
              <w:rPr>
                <w:spacing w:val="4"/>
                <w:sz w:val="24"/>
              </w:rPr>
              <w:t>ilk</w:t>
            </w:r>
            <w:r>
              <w:rPr>
                <w:spacing w:val="65"/>
                <w:sz w:val="24"/>
              </w:rPr>
              <w:t> </w:t>
            </w:r>
            <w:r>
              <w:rPr>
                <w:spacing w:val="6"/>
                <w:sz w:val="24"/>
              </w:rPr>
              <w:t>hali…………………………………….</w:t>
            </w:r>
          </w:p>
        </w:tc>
        <w:tc>
          <w:tcPr>
            <w:tcW w:w="711" w:type="dxa"/>
          </w:tcPr>
          <w:p>
            <w:pPr>
              <w:pStyle w:val="TableParagraph"/>
              <w:spacing w:line="256" w:lineRule="exact"/>
              <w:ind w:left="0" w:right="199"/>
              <w:jc w:val="right"/>
              <w:rPr>
                <w:sz w:val="24"/>
              </w:rPr>
            </w:pPr>
            <w:r>
              <w:rPr>
                <w:sz w:val="24"/>
              </w:rPr>
              <w:t>92</w:t>
            </w:r>
          </w:p>
        </w:tc>
      </w:tr>
      <w:tr>
        <w:trPr>
          <w:trHeight w:val="276" w:hRule="atLeast"/>
        </w:trPr>
        <w:tc>
          <w:tcPr>
            <w:tcW w:w="8213" w:type="dxa"/>
          </w:tcPr>
          <w:p>
            <w:pPr>
              <w:pStyle w:val="TableParagraph"/>
              <w:spacing w:line="256" w:lineRule="exact"/>
              <w:ind w:left="200"/>
              <w:rPr>
                <w:sz w:val="24"/>
              </w:rPr>
            </w:pPr>
            <w:r>
              <w:rPr>
                <w:spacing w:val="5"/>
                <w:sz w:val="24"/>
              </w:rPr>
              <w:t>Şekil </w:t>
            </w:r>
            <w:r>
              <w:rPr>
                <w:spacing w:val="4"/>
                <w:sz w:val="24"/>
              </w:rPr>
              <w:t>13: </w:t>
            </w:r>
            <w:r>
              <w:rPr>
                <w:spacing w:val="5"/>
                <w:sz w:val="24"/>
              </w:rPr>
              <w:t>Etsy.com </w:t>
            </w:r>
            <w:r>
              <w:rPr>
                <w:spacing w:val="4"/>
                <w:sz w:val="24"/>
              </w:rPr>
              <w:t>örnek yorum</w:t>
            </w:r>
            <w:r>
              <w:rPr>
                <w:spacing w:val="61"/>
                <w:sz w:val="24"/>
              </w:rPr>
              <w:t> </w:t>
            </w:r>
            <w:r>
              <w:rPr>
                <w:spacing w:val="6"/>
                <w:sz w:val="24"/>
              </w:rPr>
              <w:t>sayfası………………………………………</w:t>
            </w:r>
          </w:p>
        </w:tc>
        <w:tc>
          <w:tcPr>
            <w:tcW w:w="711" w:type="dxa"/>
          </w:tcPr>
          <w:p>
            <w:pPr>
              <w:pStyle w:val="TableParagraph"/>
              <w:spacing w:line="256" w:lineRule="exact"/>
              <w:ind w:left="0" w:right="199"/>
              <w:jc w:val="right"/>
              <w:rPr>
                <w:sz w:val="24"/>
              </w:rPr>
            </w:pPr>
            <w:r>
              <w:rPr>
                <w:sz w:val="24"/>
              </w:rPr>
              <w:t>95</w:t>
            </w:r>
          </w:p>
        </w:tc>
      </w:tr>
      <w:tr>
        <w:trPr>
          <w:trHeight w:val="275" w:hRule="atLeast"/>
        </w:trPr>
        <w:tc>
          <w:tcPr>
            <w:tcW w:w="8213" w:type="dxa"/>
          </w:tcPr>
          <w:p>
            <w:pPr>
              <w:pStyle w:val="TableParagraph"/>
              <w:spacing w:line="256" w:lineRule="exact"/>
              <w:ind w:left="200"/>
              <w:rPr>
                <w:sz w:val="24"/>
              </w:rPr>
            </w:pPr>
            <w:r>
              <w:rPr>
                <w:sz w:val="24"/>
              </w:rPr>
              <w:t>Şekil 14: Etsy.com’daki bir satıcı sayfasından toplanan bilgiler…………….</w:t>
            </w:r>
          </w:p>
        </w:tc>
        <w:tc>
          <w:tcPr>
            <w:tcW w:w="711" w:type="dxa"/>
          </w:tcPr>
          <w:p>
            <w:pPr>
              <w:pStyle w:val="TableParagraph"/>
              <w:spacing w:line="256" w:lineRule="exact"/>
              <w:ind w:left="0" w:right="199"/>
              <w:jc w:val="right"/>
              <w:rPr>
                <w:sz w:val="24"/>
              </w:rPr>
            </w:pPr>
            <w:r>
              <w:rPr>
                <w:sz w:val="24"/>
              </w:rPr>
              <w:t>101</w:t>
            </w:r>
          </w:p>
        </w:tc>
      </w:tr>
      <w:tr>
        <w:trPr>
          <w:trHeight w:val="546" w:hRule="atLeast"/>
        </w:trPr>
        <w:tc>
          <w:tcPr>
            <w:tcW w:w="8213" w:type="dxa"/>
          </w:tcPr>
          <w:p>
            <w:pPr>
              <w:pStyle w:val="TableParagraph"/>
              <w:spacing w:line="271" w:lineRule="exact"/>
              <w:ind w:left="200"/>
              <w:rPr>
                <w:sz w:val="24"/>
              </w:rPr>
            </w:pPr>
            <w:r>
              <w:rPr>
                <w:sz w:val="24"/>
              </w:rPr>
              <w:t>Şekil 15: Etsy.com ortalama yorum puanlarının veri toplama</w:t>
            </w:r>
          </w:p>
          <w:p>
            <w:pPr>
              <w:pStyle w:val="TableParagraph"/>
              <w:spacing w:line="256" w:lineRule="exact"/>
              <w:ind w:left="1193"/>
              <w:rPr>
                <w:sz w:val="24"/>
              </w:rPr>
            </w:pPr>
            <w:r>
              <w:rPr>
                <w:sz w:val="24"/>
              </w:rPr>
              <w:t>sürecindeki değişimi………………………………………………….</w:t>
            </w:r>
          </w:p>
        </w:tc>
        <w:tc>
          <w:tcPr>
            <w:tcW w:w="711" w:type="dxa"/>
          </w:tcPr>
          <w:p>
            <w:pPr>
              <w:pStyle w:val="TableParagraph"/>
              <w:spacing w:before="6"/>
              <w:ind w:left="0"/>
              <w:rPr>
                <w:b/>
                <w:sz w:val="23"/>
              </w:rPr>
            </w:pPr>
          </w:p>
          <w:p>
            <w:pPr>
              <w:pStyle w:val="TableParagraph"/>
              <w:spacing w:line="256" w:lineRule="exact"/>
              <w:ind w:left="0" w:right="199"/>
              <w:jc w:val="right"/>
              <w:rPr>
                <w:sz w:val="24"/>
              </w:rPr>
            </w:pPr>
            <w:r>
              <w:rPr>
                <w:sz w:val="24"/>
              </w:rPr>
              <w:t>107</w:t>
            </w:r>
          </w:p>
        </w:tc>
      </w:tr>
    </w:tbl>
    <w:p>
      <w:pPr>
        <w:spacing w:after="0" w:line="256" w:lineRule="exact"/>
        <w:jc w:val="right"/>
        <w:rPr>
          <w:sz w:val="24"/>
        </w:rPr>
        <w:sectPr>
          <w:pgSz w:w="12240" w:h="15840"/>
          <w:pgMar w:header="718" w:footer="0" w:top="1300" w:bottom="280" w:left="1720" w:right="820"/>
        </w:sectPr>
      </w:pPr>
    </w:p>
    <w:p>
      <w:pPr>
        <w:spacing w:before="100"/>
        <w:ind w:left="563" w:right="315" w:firstLine="0"/>
        <w:jc w:val="center"/>
        <w:rPr>
          <w:b/>
          <w:sz w:val="22"/>
        </w:rPr>
      </w:pPr>
      <w:r>
        <w:rPr>
          <w:b/>
          <w:sz w:val="22"/>
        </w:rPr>
        <w:t>TABLOLAR DİZİNİ</w:t>
      </w:r>
    </w:p>
    <w:p>
      <w:pPr>
        <w:pStyle w:val="BodyText"/>
        <w:spacing w:before="7"/>
        <w:ind w:left="0"/>
        <w:jc w:val="left"/>
        <w:rPr>
          <w:b/>
          <w:sz w:val="23"/>
        </w:rPr>
      </w:pPr>
    </w:p>
    <w:tbl>
      <w:tblPr>
        <w:tblW w:w="0" w:type="auto"/>
        <w:jc w:val="lef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59"/>
        <w:gridCol w:w="782"/>
      </w:tblGrid>
      <w:tr>
        <w:trPr>
          <w:trHeight w:val="546" w:hRule="atLeast"/>
        </w:trPr>
        <w:tc>
          <w:tcPr>
            <w:tcW w:w="8459" w:type="dxa"/>
          </w:tcPr>
          <w:p>
            <w:pPr>
              <w:pStyle w:val="TableParagraph"/>
              <w:spacing w:line="266" w:lineRule="exact"/>
              <w:ind w:left="200"/>
              <w:rPr>
                <w:sz w:val="24"/>
              </w:rPr>
            </w:pPr>
            <w:r>
              <w:rPr>
                <w:sz w:val="24"/>
              </w:rPr>
              <w:t>Tablo 1: Literatürde Tanımlanmış Ağızdan Ağıza İletişim Davranışı</w:t>
            </w:r>
          </w:p>
          <w:p>
            <w:pPr>
              <w:pStyle w:val="TableParagraph"/>
              <w:spacing w:line="261" w:lineRule="exact"/>
              <w:ind w:left="1080"/>
              <w:rPr>
                <w:sz w:val="24"/>
              </w:rPr>
            </w:pPr>
            <w:r>
              <w:rPr>
                <w:sz w:val="24"/>
              </w:rPr>
              <w:t>Güdüleri…………………………………………………………………….</w:t>
            </w:r>
          </w:p>
        </w:tc>
        <w:tc>
          <w:tcPr>
            <w:tcW w:w="782" w:type="dxa"/>
          </w:tcPr>
          <w:p>
            <w:pPr>
              <w:pStyle w:val="TableParagraph"/>
              <w:spacing w:before="1"/>
              <w:ind w:left="0"/>
              <w:rPr>
                <w:b/>
                <w:sz w:val="23"/>
              </w:rPr>
            </w:pPr>
          </w:p>
          <w:p>
            <w:pPr>
              <w:pStyle w:val="TableParagraph"/>
              <w:spacing w:line="261" w:lineRule="exact"/>
              <w:ind w:left="201" w:right="60"/>
              <w:jc w:val="center"/>
              <w:rPr>
                <w:sz w:val="24"/>
              </w:rPr>
            </w:pPr>
            <w:r>
              <w:rPr>
                <w:sz w:val="24"/>
              </w:rPr>
              <w:t>23</w:t>
            </w:r>
          </w:p>
        </w:tc>
      </w:tr>
      <w:tr>
        <w:trPr>
          <w:trHeight w:val="551" w:hRule="atLeast"/>
        </w:trPr>
        <w:tc>
          <w:tcPr>
            <w:tcW w:w="8459" w:type="dxa"/>
          </w:tcPr>
          <w:p>
            <w:pPr>
              <w:pStyle w:val="TableParagraph"/>
              <w:spacing w:line="271" w:lineRule="exact"/>
              <w:ind w:left="231"/>
              <w:rPr>
                <w:sz w:val="24"/>
              </w:rPr>
            </w:pPr>
            <w:r>
              <w:rPr>
                <w:sz w:val="24"/>
              </w:rPr>
              <w:t>Tablo 2: Elektronik ve Geleneksel Ağızdan Ağıza İletişim Arasındaki</w:t>
            </w:r>
          </w:p>
          <w:p>
            <w:pPr>
              <w:pStyle w:val="TableParagraph"/>
              <w:spacing w:line="261" w:lineRule="exact"/>
              <w:ind w:left="1080"/>
              <w:rPr>
                <w:sz w:val="24"/>
              </w:rPr>
            </w:pPr>
            <w:r>
              <w:rPr>
                <w:sz w:val="24"/>
              </w:rPr>
              <w:t>Farklılıklar………………………………………………………………….</w:t>
            </w:r>
          </w:p>
        </w:tc>
        <w:tc>
          <w:tcPr>
            <w:tcW w:w="782" w:type="dxa"/>
          </w:tcPr>
          <w:p>
            <w:pPr>
              <w:pStyle w:val="TableParagraph"/>
              <w:spacing w:before="6"/>
              <w:ind w:left="0"/>
              <w:rPr>
                <w:b/>
                <w:sz w:val="23"/>
              </w:rPr>
            </w:pPr>
          </w:p>
          <w:p>
            <w:pPr>
              <w:pStyle w:val="TableParagraph"/>
              <w:spacing w:line="261" w:lineRule="exact"/>
              <w:ind w:left="201" w:right="60"/>
              <w:jc w:val="center"/>
              <w:rPr>
                <w:sz w:val="24"/>
              </w:rPr>
            </w:pPr>
            <w:r>
              <w:rPr>
                <w:sz w:val="24"/>
              </w:rPr>
              <w:t>36</w:t>
            </w:r>
          </w:p>
        </w:tc>
      </w:tr>
      <w:tr>
        <w:trPr>
          <w:trHeight w:val="828" w:hRule="atLeast"/>
        </w:trPr>
        <w:tc>
          <w:tcPr>
            <w:tcW w:w="8459" w:type="dxa"/>
          </w:tcPr>
          <w:p>
            <w:pPr>
              <w:pStyle w:val="TableParagraph"/>
              <w:spacing w:line="271" w:lineRule="exact"/>
              <w:ind w:left="200"/>
              <w:rPr>
                <w:sz w:val="24"/>
              </w:rPr>
            </w:pPr>
            <w:r>
              <w:rPr>
                <w:sz w:val="24"/>
              </w:rPr>
              <w:t>Tablo 3: Elektronik Ağızdan Ağıza İletişimin Etkisini Pazar Düzeyinde İnceleyen</w:t>
            </w:r>
          </w:p>
          <w:p>
            <w:pPr>
              <w:pStyle w:val="TableParagraph"/>
              <w:spacing w:line="270" w:lineRule="atLeast"/>
              <w:ind w:left="1080" w:right="212"/>
              <w:rPr>
                <w:sz w:val="24"/>
              </w:rPr>
            </w:pPr>
            <w:r>
              <w:rPr>
                <w:sz w:val="24"/>
              </w:rPr>
              <w:t>Makalelerin Dergilere Göre Dağılımı (Web of Science veri tabanı)………………………………………………………………………</w:t>
            </w:r>
          </w:p>
        </w:tc>
        <w:tc>
          <w:tcPr>
            <w:tcW w:w="782" w:type="dxa"/>
          </w:tcPr>
          <w:p>
            <w:pPr>
              <w:pStyle w:val="TableParagraph"/>
              <w:ind w:left="0"/>
              <w:rPr>
                <w:b/>
                <w:sz w:val="26"/>
              </w:rPr>
            </w:pPr>
          </w:p>
          <w:p>
            <w:pPr>
              <w:pStyle w:val="TableParagraph"/>
              <w:spacing w:before="6"/>
              <w:ind w:left="0"/>
              <w:rPr>
                <w:b/>
                <w:sz w:val="21"/>
              </w:rPr>
            </w:pPr>
          </w:p>
          <w:p>
            <w:pPr>
              <w:pStyle w:val="TableParagraph"/>
              <w:spacing w:line="261" w:lineRule="exact"/>
              <w:ind w:left="201" w:right="60"/>
              <w:jc w:val="center"/>
              <w:rPr>
                <w:sz w:val="24"/>
              </w:rPr>
            </w:pPr>
            <w:r>
              <w:rPr>
                <w:sz w:val="24"/>
              </w:rPr>
              <w:t>43</w:t>
            </w:r>
          </w:p>
        </w:tc>
      </w:tr>
      <w:tr>
        <w:trPr>
          <w:trHeight w:val="274" w:hRule="atLeast"/>
        </w:trPr>
        <w:tc>
          <w:tcPr>
            <w:tcW w:w="8459" w:type="dxa"/>
          </w:tcPr>
          <w:p>
            <w:pPr>
              <w:pStyle w:val="TableParagraph"/>
              <w:spacing w:line="255" w:lineRule="exact"/>
              <w:ind w:left="200"/>
              <w:rPr>
                <w:sz w:val="24"/>
              </w:rPr>
            </w:pPr>
            <w:r>
              <w:rPr>
                <w:sz w:val="24"/>
              </w:rPr>
              <w:t>Tablo 4: Amazon’daki ürün yorumlarını analiz eden çalışmalar……………………</w:t>
            </w:r>
          </w:p>
        </w:tc>
        <w:tc>
          <w:tcPr>
            <w:tcW w:w="782" w:type="dxa"/>
          </w:tcPr>
          <w:p>
            <w:pPr>
              <w:pStyle w:val="TableParagraph"/>
              <w:spacing w:line="255" w:lineRule="exact"/>
              <w:ind w:left="201" w:right="60"/>
              <w:jc w:val="center"/>
              <w:rPr>
                <w:sz w:val="24"/>
              </w:rPr>
            </w:pPr>
            <w:r>
              <w:rPr>
                <w:sz w:val="24"/>
              </w:rPr>
              <w:t>52</w:t>
            </w:r>
          </w:p>
        </w:tc>
      </w:tr>
      <w:tr>
        <w:trPr>
          <w:trHeight w:val="274" w:hRule="atLeast"/>
        </w:trPr>
        <w:tc>
          <w:tcPr>
            <w:tcW w:w="8459" w:type="dxa"/>
          </w:tcPr>
          <w:p>
            <w:pPr>
              <w:pStyle w:val="TableParagraph"/>
              <w:spacing w:line="255" w:lineRule="exact"/>
              <w:ind w:left="200"/>
              <w:rPr>
                <w:sz w:val="24"/>
              </w:rPr>
            </w:pPr>
            <w:r>
              <w:rPr>
                <w:sz w:val="24"/>
              </w:rPr>
              <w:t>Tablo 5: Amazon verilerinin tanımlayıcı istatistikleri………………………………</w:t>
            </w:r>
          </w:p>
        </w:tc>
        <w:tc>
          <w:tcPr>
            <w:tcW w:w="782" w:type="dxa"/>
          </w:tcPr>
          <w:p>
            <w:pPr>
              <w:pStyle w:val="TableParagraph"/>
              <w:spacing w:line="255" w:lineRule="exact"/>
              <w:ind w:left="201" w:right="60"/>
              <w:jc w:val="center"/>
              <w:rPr>
                <w:sz w:val="24"/>
              </w:rPr>
            </w:pPr>
            <w:r>
              <w:rPr>
                <w:sz w:val="24"/>
              </w:rPr>
              <w:t>67</w:t>
            </w:r>
          </w:p>
        </w:tc>
      </w:tr>
      <w:tr>
        <w:trPr>
          <w:trHeight w:val="275" w:hRule="atLeast"/>
        </w:trPr>
        <w:tc>
          <w:tcPr>
            <w:tcW w:w="8459" w:type="dxa"/>
          </w:tcPr>
          <w:p>
            <w:pPr>
              <w:pStyle w:val="TableParagraph"/>
              <w:spacing w:line="256" w:lineRule="exact"/>
              <w:ind w:left="200"/>
              <w:rPr>
                <w:sz w:val="24"/>
              </w:rPr>
            </w:pPr>
            <w:r>
              <w:rPr>
                <w:sz w:val="24"/>
              </w:rPr>
              <w:t>Tablo 6: Değişkenlerin belirlenmesine referans olan literatürdeki örnek çalışmalar..</w:t>
            </w:r>
          </w:p>
        </w:tc>
        <w:tc>
          <w:tcPr>
            <w:tcW w:w="782" w:type="dxa"/>
          </w:tcPr>
          <w:p>
            <w:pPr>
              <w:pStyle w:val="TableParagraph"/>
              <w:spacing w:line="256" w:lineRule="exact"/>
              <w:ind w:left="201" w:right="60"/>
              <w:jc w:val="center"/>
              <w:rPr>
                <w:sz w:val="24"/>
              </w:rPr>
            </w:pPr>
            <w:r>
              <w:rPr>
                <w:sz w:val="24"/>
              </w:rPr>
              <w:t>68</w:t>
            </w:r>
          </w:p>
        </w:tc>
      </w:tr>
      <w:tr>
        <w:trPr>
          <w:trHeight w:val="275" w:hRule="atLeast"/>
        </w:trPr>
        <w:tc>
          <w:tcPr>
            <w:tcW w:w="8459" w:type="dxa"/>
          </w:tcPr>
          <w:p>
            <w:pPr>
              <w:pStyle w:val="TableParagraph"/>
              <w:spacing w:line="256" w:lineRule="exact"/>
              <w:ind w:left="200"/>
              <w:rPr>
                <w:sz w:val="24"/>
              </w:rPr>
            </w:pPr>
            <w:r>
              <w:rPr>
                <w:sz w:val="24"/>
              </w:rPr>
              <w:t>Tablo 7: Değişkenler ve açıklamaları………………………………………………..</w:t>
            </w:r>
          </w:p>
        </w:tc>
        <w:tc>
          <w:tcPr>
            <w:tcW w:w="782" w:type="dxa"/>
          </w:tcPr>
          <w:p>
            <w:pPr>
              <w:pStyle w:val="TableParagraph"/>
              <w:spacing w:line="256" w:lineRule="exact"/>
              <w:ind w:left="201" w:right="60"/>
              <w:jc w:val="center"/>
              <w:rPr>
                <w:sz w:val="24"/>
              </w:rPr>
            </w:pPr>
            <w:r>
              <w:rPr>
                <w:sz w:val="24"/>
              </w:rPr>
              <w:t>69</w:t>
            </w:r>
          </w:p>
        </w:tc>
      </w:tr>
      <w:tr>
        <w:trPr>
          <w:trHeight w:val="552" w:hRule="atLeast"/>
        </w:trPr>
        <w:tc>
          <w:tcPr>
            <w:tcW w:w="8459" w:type="dxa"/>
          </w:tcPr>
          <w:p>
            <w:pPr>
              <w:pStyle w:val="TableParagraph"/>
              <w:spacing w:line="271" w:lineRule="exact"/>
              <w:ind w:left="200"/>
              <w:rPr>
                <w:sz w:val="24"/>
              </w:rPr>
            </w:pPr>
            <w:r>
              <w:rPr>
                <w:sz w:val="24"/>
              </w:rPr>
              <w:t>Tablo 8: Amazon.com Uygulaması için Fisher Tipi Panel Birim Kök Testi</w:t>
            </w:r>
          </w:p>
          <w:p>
            <w:pPr>
              <w:pStyle w:val="TableParagraph"/>
              <w:spacing w:line="261" w:lineRule="exact"/>
              <w:ind w:left="1080"/>
              <w:rPr>
                <w:sz w:val="24"/>
              </w:rPr>
            </w:pPr>
            <w:r>
              <w:rPr>
                <w:sz w:val="24"/>
              </w:rPr>
              <w:t>Sonuçları…………………………………………………………………...</w:t>
            </w:r>
          </w:p>
        </w:tc>
        <w:tc>
          <w:tcPr>
            <w:tcW w:w="782" w:type="dxa"/>
          </w:tcPr>
          <w:p>
            <w:pPr>
              <w:pStyle w:val="TableParagraph"/>
              <w:spacing w:before="7"/>
              <w:ind w:left="0"/>
              <w:rPr>
                <w:b/>
                <w:sz w:val="23"/>
              </w:rPr>
            </w:pPr>
          </w:p>
          <w:p>
            <w:pPr>
              <w:pStyle w:val="TableParagraph"/>
              <w:spacing w:line="261" w:lineRule="exact"/>
              <w:ind w:left="201" w:right="60"/>
              <w:jc w:val="center"/>
              <w:rPr>
                <w:sz w:val="24"/>
              </w:rPr>
            </w:pPr>
            <w:r>
              <w:rPr>
                <w:sz w:val="24"/>
              </w:rPr>
              <w:t>77</w:t>
            </w:r>
          </w:p>
        </w:tc>
      </w:tr>
      <w:tr>
        <w:trPr>
          <w:trHeight w:val="276" w:hRule="atLeast"/>
        </w:trPr>
        <w:tc>
          <w:tcPr>
            <w:tcW w:w="8459" w:type="dxa"/>
          </w:tcPr>
          <w:p>
            <w:pPr>
              <w:pStyle w:val="TableParagraph"/>
              <w:spacing w:line="256" w:lineRule="exact"/>
              <w:ind w:left="200"/>
              <w:rPr>
                <w:sz w:val="24"/>
              </w:rPr>
            </w:pPr>
            <w:r>
              <w:rPr>
                <w:sz w:val="24"/>
              </w:rPr>
              <w:t>Tablo 9: Denklem (6) ve Denklem (7) Sistem GMM Tahminleri…………………...</w:t>
            </w:r>
          </w:p>
        </w:tc>
        <w:tc>
          <w:tcPr>
            <w:tcW w:w="782" w:type="dxa"/>
          </w:tcPr>
          <w:p>
            <w:pPr>
              <w:pStyle w:val="TableParagraph"/>
              <w:spacing w:line="256" w:lineRule="exact"/>
              <w:ind w:left="201" w:right="60"/>
              <w:jc w:val="center"/>
              <w:rPr>
                <w:sz w:val="24"/>
              </w:rPr>
            </w:pPr>
            <w:r>
              <w:rPr>
                <w:sz w:val="24"/>
              </w:rPr>
              <w:t>78</w:t>
            </w:r>
          </w:p>
        </w:tc>
      </w:tr>
      <w:tr>
        <w:trPr>
          <w:trHeight w:val="275" w:hRule="atLeast"/>
        </w:trPr>
        <w:tc>
          <w:tcPr>
            <w:tcW w:w="8459" w:type="dxa"/>
          </w:tcPr>
          <w:p>
            <w:pPr>
              <w:pStyle w:val="TableParagraph"/>
              <w:spacing w:line="256" w:lineRule="exact"/>
              <w:ind w:left="200"/>
              <w:rPr>
                <w:sz w:val="24"/>
              </w:rPr>
            </w:pPr>
            <w:r>
              <w:rPr>
                <w:sz w:val="24"/>
              </w:rPr>
              <w:t>Tablo 10: Denklem (8) ve Denklem (9) Sistem GMM Tahminleri………………….</w:t>
            </w:r>
          </w:p>
        </w:tc>
        <w:tc>
          <w:tcPr>
            <w:tcW w:w="782" w:type="dxa"/>
          </w:tcPr>
          <w:p>
            <w:pPr>
              <w:pStyle w:val="TableParagraph"/>
              <w:spacing w:line="256" w:lineRule="exact"/>
              <w:ind w:left="201" w:right="60"/>
              <w:jc w:val="center"/>
              <w:rPr>
                <w:sz w:val="24"/>
              </w:rPr>
            </w:pPr>
            <w:r>
              <w:rPr>
                <w:sz w:val="24"/>
              </w:rPr>
              <w:t>80</w:t>
            </w:r>
          </w:p>
        </w:tc>
      </w:tr>
      <w:tr>
        <w:trPr>
          <w:trHeight w:val="552" w:hRule="atLeast"/>
        </w:trPr>
        <w:tc>
          <w:tcPr>
            <w:tcW w:w="8459" w:type="dxa"/>
          </w:tcPr>
          <w:p>
            <w:pPr>
              <w:pStyle w:val="TableParagraph"/>
              <w:spacing w:line="271" w:lineRule="exact"/>
              <w:ind w:left="200"/>
              <w:rPr>
                <w:sz w:val="24"/>
              </w:rPr>
            </w:pPr>
            <w:r>
              <w:rPr>
                <w:sz w:val="24"/>
              </w:rPr>
              <w:t>Tablo 11: Ürün kategorilerinde bağımsız değişkenler ile satışlar arasındaki</w:t>
            </w:r>
          </w:p>
          <w:p>
            <w:pPr>
              <w:pStyle w:val="TableParagraph"/>
              <w:spacing w:line="261" w:lineRule="exact"/>
              <w:ind w:left="1222"/>
              <w:rPr>
                <w:sz w:val="24"/>
              </w:rPr>
            </w:pPr>
            <w:r>
              <w:rPr>
                <w:sz w:val="24"/>
              </w:rPr>
              <w:t>ilişkilerin özeti……………………………………………………………</w:t>
            </w:r>
          </w:p>
        </w:tc>
        <w:tc>
          <w:tcPr>
            <w:tcW w:w="782" w:type="dxa"/>
          </w:tcPr>
          <w:p>
            <w:pPr>
              <w:pStyle w:val="TableParagraph"/>
              <w:spacing w:before="6"/>
              <w:ind w:left="0"/>
              <w:rPr>
                <w:b/>
                <w:sz w:val="23"/>
              </w:rPr>
            </w:pPr>
          </w:p>
          <w:p>
            <w:pPr>
              <w:pStyle w:val="TableParagraph"/>
              <w:spacing w:line="261" w:lineRule="exact"/>
              <w:ind w:left="201" w:right="60"/>
              <w:jc w:val="center"/>
              <w:rPr>
                <w:sz w:val="24"/>
              </w:rPr>
            </w:pPr>
            <w:r>
              <w:rPr>
                <w:sz w:val="24"/>
              </w:rPr>
              <w:t>81</w:t>
            </w:r>
          </w:p>
        </w:tc>
      </w:tr>
      <w:tr>
        <w:trPr>
          <w:trHeight w:val="552" w:hRule="atLeast"/>
        </w:trPr>
        <w:tc>
          <w:tcPr>
            <w:tcW w:w="8459" w:type="dxa"/>
          </w:tcPr>
          <w:p>
            <w:pPr>
              <w:pStyle w:val="TableParagraph"/>
              <w:spacing w:line="271" w:lineRule="exact"/>
              <w:ind w:left="200"/>
              <w:rPr>
                <w:sz w:val="24"/>
              </w:rPr>
            </w:pPr>
            <w:r>
              <w:rPr>
                <w:sz w:val="24"/>
              </w:rPr>
              <w:t>Tablo 12: Hacim ve Değerlik Değişkenlerinin Etkisinin Ürün Kategorileri</w:t>
            </w:r>
            <w:r>
              <w:rPr>
                <w:spacing w:val="-23"/>
                <w:sz w:val="24"/>
              </w:rPr>
              <w:t> </w:t>
            </w:r>
            <w:r>
              <w:rPr>
                <w:sz w:val="24"/>
              </w:rPr>
              <w:t>Arasında</w:t>
            </w:r>
          </w:p>
          <w:p>
            <w:pPr>
              <w:pStyle w:val="TableParagraph"/>
              <w:spacing w:line="261" w:lineRule="exact"/>
              <w:ind w:left="1222"/>
              <w:rPr>
                <w:sz w:val="24"/>
              </w:rPr>
            </w:pPr>
            <w:r>
              <w:rPr>
                <w:sz w:val="24"/>
              </w:rPr>
              <w:t>Kıyaslanması……………………………………………………………...</w:t>
            </w:r>
          </w:p>
        </w:tc>
        <w:tc>
          <w:tcPr>
            <w:tcW w:w="782" w:type="dxa"/>
          </w:tcPr>
          <w:p>
            <w:pPr>
              <w:pStyle w:val="TableParagraph"/>
              <w:spacing w:before="6"/>
              <w:ind w:left="0"/>
              <w:rPr>
                <w:b/>
                <w:sz w:val="23"/>
              </w:rPr>
            </w:pPr>
          </w:p>
          <w:p>
            <w:pPr>
              <w:pStyle w:val="TableParagraph"/>
              <w:spacing w:line="261" w:lineRule="exact"/>
              <w:ind w:left="201" w:right="60"/>
              <w:jc w:val="center"/>
              <w:rPr>
                <w:sz w:val="24"/>
              </w:rPr>
            </w:pPr>
            <w:r>
              <w:rPr>
                <w:sz w:val="24"/>
              </w:rPr>
              <w:t>82</w:t>
            </w:r>
          </w:p>
        </w:tc>
      </w:tr>
      <w:tr>
        <w:trPr>
          <w:trHeight w:val="275" w:hRule="atLeast"/>
        </w:trPr>
        <w:tc>
          <w:tcPr>
            <w:tcW w:w="8459" w:type="dxa"/>
          </w:tcPr>
          <w:p>
            <w:pPr>
              <w:pStyle w:val="TableParagraph"/>
              <w:spacing w:line="256" w:lineRule="exact"/>
              <w:ind w:left="200"/>
              <w:rPr>
                <w:sz w:val="24"/>
              </w:rPr>
            </w:pPr>
            <w:r>
              <w:rPr>
                <w:sz w:val="24"/>
              </w:rPr>
              <w:t>Tablo 13: Hipotez testleri sonuçları ………………………………………………..</w:t>
            </w:r>
          </w:p>
        </w:tc>
        <w:tc>
          <w:tcPr>
            <w:tcW w:w="782" w:type="dxa"/>
          </w:tcPr>
          <w:p>
            <w:pPr>
              <w:pStyle w:val="TableParagraph"/>
              <w:spacing w:line="256" w:lineRule="exact"/>
              <w:ind w:left="201" w:right="60"/>
              <w:jc w:val="center"/>
              <w:rPr>
                <w:sz w:val="24"/>
              </w:rPr>
            </w:pPr>
            <w:r>
              <w:rPr>
                <w:sz w:val="24"/>
              </w:rPr>
              <w:t>83</w:t>
            </w:r>
          </w:p>
        </w:tc>
      </w:tr>
      <w:tr>
        <w:trPr>
          <w:trHeight w:val="276" w:hRule="atLeast"/>
        </w:trPr>
        <w:tc>
          <w:tcPr>
            <w:tcW w:w="8459" w:type="dxa"/>
          </w:tcPr>
          <w:p>
            <w:pPr>
              <w:pStyle w:val="TableParagraph"/>
              <w:spacing w:line="256" w:lineRule="exact"/>
              <w:ind w:left="200"/>
              <w:rPr>
                <w:sz w:val="24"/>
              </w:rPr>
            </w:pPr>
            <w:r>
              <w:rPr>
                <w:sz w:val="24"/>
              </w:rPr>
              <w:t>Tablo 14: Etsy verilerinin tanımlayıcı istatistikleri………………………………….</w:t>
            </w:r>
          </w:p>
        </w:tc>
        <w:tc>
          <w:tcPr>
            <w:tcW w:w="782" w:type="dxa"/>
          </w:tcPr>
          <w:p>
            <w:pPr>
              <w:pStyle w:val="TableParagraph"/>
              <w:spacing w:line="256" w:lineRule="exact"/>
              <w:ind w:left="201" w:right="180"/>
              <w:jc w:val="center"/>
              <w:rPr>
                <w:sz w:val="24"/>
              </w:rPr>
            </w:pPr>
            <w:r>
              <w:rPr>
                <w:sz w:val="24"/>
              </w:rPr>
              <w:t>102</w:t>
            </w:r>
          </w:p>
        </w:tc>
      </w:tr>
      <w:tr>
        <w:trPr>
          <w:trHeight w:val="275" w:hRule="atLeast"/>
        </w:trPr>
        <w:tc>
          <w:tcPr>
            <w:tcW w:w="8459" w:type="dxa"/>
          </w:tcPr>
          <w:p>
            <w:pPr>
              <w:pStyle w:val="TableParagraph"/>
              <w:spacing w:line="256" w:lineRule="exact"/>
              <w:ind w:left="200"/>
              <w:rPr>
                <w:sz w:val="24"/>
              </w:rPr>
            </w:pPr>
            <w:r>
              <w:rPr>
                <w:sz w:val="24"/>
              </w:rPr>
              <w:t>Tablo 15: Değişkenler ve açıklamaları………………………………………………</w:t>
            </w:r>
          </w:p>
        </w:tc>
        <w:tc>
          <w:tcPr>
            <w:tcW w:w="782" w:type="dxa"/>
          </w:tcPr>
          <w:p>
            <w:pPr>
              <w:pStyle w:val="TableParagraph"/>
              <w:spacing w:line="256" w:lineRule="exact"/>
              <w:ind w:left="201" w:right="180"/>
              <w:jc w:val="center"/>
              <w:rPr>
                <w:sz w:val="24"/>
              </w:rPr>
            </w:pPr>
            <w:r>
              <w:rPr>
                <w:sz w:val="24"/>
              </w:rPr>
              <w:t>102</w:t>
            </w:r>
          </w:p>
        </w:tc>
      </w:tr>
      <w:tr>
        <w:trPr>
          <w:trHeight w:val="552" w:hRule="atLeast"/>
        </w:trPr>
        <w:tc>
          <w:tcPr>
            <w:tcW w:w="8459" w:type="dxa"/>
          </w:tcPr>
          <w:p>
            <w:pPr>
              <w:pStyle w:val="TableParagraph"/>
              <w:spacing w:line="271" w:lineRule="exact"/>
              <w:ind w:left="200"/>
              <w:rPr>
                <w:sz w:val="24"/>
              </w:rPr>
            </w:pPr>
            <w:r>
              <w:rPr>
                <w:sz w:val="24"/>
              </w:rPr>
              <w:t>Tablo 16: Etsy.com Uygulaması için Fisher Tipi Panel Birim Kök Testi</w:t>
            </w:r>
          </w:p>
          <w:p>
            <w:pPr>
              <w:pStyle w:val="TableParagraph"/>
              <w:spacing w:line="261" w:lineRule="exact"/>
              <w:ind w:left="1222"/>
              <w:rPr>
                <w:sz w:val="24"/>
              </w:rPr>
            </w:pPr>
            <w:r>
              <w:rPr>
                <w:sz w:val="24"/>
              </w:rPr>
              <w:t>Sonuçları………………………………………………………………….</w:t>
            </w:r>
          </w:p>
        </w:tc>
        <w:tc>
          <w:tcPr>
            <w:tcW w:w="782" w:type="dxa"/>
          </w:tcPr>
          <w:p>
            <w:pPr>
              <w:pStyle w:val="TableParagraph"/>
              <w:spacing w:before="6"/>
              <w:ind w:left="0"/>
              <w:rPr>
                <w:b/>
                <w:sz w:val="23"/>
              </w:rPr>
            </w:pPr>
          </w:p>
          <w:p>
            <w:pPr>
              <w:pStyle w:val="TableParagraph"/>
              <w:spacing w:line="261" w:lineRule="exact"/>
              <w:ind w:left="201" w:right="180"/>
              <w:jc w:val="center"/>
              <w:rPr>
                <w:sz w:val="24"/>
              </w:rPr>
            </w:pPr>
            <w:r>
              <w:rPr>
                <w:sz w:val="24"/>
              </w:rPr>
              <w:t>105</w:t>
            </w:r>
          </w:p>
        </w:tc>
      </w:tr>
      <w:tr>
        <w:trPr>
          <w:trHeight w:val="276" w:hRule="atLeast"/>
        </w:trPr>
        <w:tc>
          <w:tcPr>
            <w:tcW w:w="8459" w:type="dxa"/>
          </w:tcPr>
          <w:p>
            <w:pPr>
              <w:pStyle w:val="TableParagraph"/>
              <w:spacing w:line="256" w:lineRule="exact"/>
              <w:ind w:left="200"/>
              <w:rPr>
                <w:sz w:val="24"/>
              </w:rPr>
            </w:pPr>
            <w:r>
              <w:rPr>
                <w:sz w:val="24"/>
              </w:rPr>
              <w:t>Tablo 17: Denklem (3) ve Denklem (4) Sistem GMM Tahminleri…………………</w:t>
            </w:r>
          </w:p>
        </w:tc>
        <w:tc>
          <w:tcPr>
            <w:tcW w:w="782" w:type="dxa"/>
          </w:tcPr>
          <w:p>
            <w:pPr>
              <w:pStyle w:val="TableParagraph"/>
              <w:spacing w:line="256" w:lineRule="exact"/>
              <w:ind w:left="201" w:right="180"/>
              <w:jc w:val="center"/>
              <w:rPr>
                <w:sz w:val="24"/>
              </w:rPr>
            </w:pPr>
            <w:r>
              <w:rPr>
                <w:sz w:val="24"/>
              </w:rPr>
              <w:t>106</w:t>
            </w:r>
          </w:p>
        </w:tc>
      </w:tr>
      <w:tr>
        <w:trPr>
          <w:trHeight w:val="270" w:hRule="atLeast"/>
        </w:trPr>
        <w:tc>
          <w:tcPr>
            <w:tcW w:w="8459" w:type="dxa"/>
          </w:tcPr>
          <w:p>
            <w:pPr>
              <w:pStyle w:val="TableParagraph"/>
              <w:spacing w:line="251" w:lineRule="exact"/>
              <w:ind w:left="200"/>
              <w:rPr>
                <w:sz w:val="24"/>
              </w:rPr>
            </w:pPr>
            <w:r>
              <w:rPr>
                <w:sz w:val="24"/>
              </w:rPr>
              <w:t>Tablo 18: Hipotez testleri sonuçları…………………………………………………</w:t>
            </w:r>
          </w:p>
        </w:tc>
        <w:tc>
          <w:tcPr>
            <w:tcW w:w="782" w:type="dxa"/>
          </w:tcPr>
          <w:p>
            <w:pPr>
              <w:pStyle w:val="TableParagraph"/>
              <w:spacing w:line="251" w:lineRule="exact"/>
              <w:ind w:left="201" w:right="180"/>
              <w:jc w:val="center"/>
              <w:rPr>
                <w:sz w:val="24"/>
              </w:rPr>
            </w:pPr>
            <w:r>
              <w:rPr>
                <w:sz w:val="24"/>
              </w:rPr>
              <w:t>108</w:t>
            </w:r>
          </w:p>
        </w:tc>
      </w:tr>
    </w:tbl>
    <w:p>
      <w:pPr>
        <w:spacing w:after="0" w:line="251" w:lineRule="exact"/>
        <w:jc w:val="center"/>
        <w:rPr>
          <w:sz w:val="24"/>
        </w:rPr>
        <w:sectPr>
          <w:pgSz w:w="12240" w:h="15840"/>
          <w:pgMar w:header="718" w:footer="0" w:top="1300" w:bottom="280" w:left="1720" w:right="820"/>
        </w:sectPr>
      </w:pPr>
    </w:p>
    <w:p>
      <w:pPr>
        <w:pStyle w:val="Heading1"/>
        <w:spacing w:before="98"/>
        <w:ind w:left="563" w:right="324" w:firstLine="0"/>
        <w:jc w:val="center"/>
      </w:pPr>
      <w:r>
        <w:rPr/>
        <w:t>SİMGE VE KISALTMALAR DİZİNİ</w:t>
      </w:r>
    </w:p>
    <w:p>
      <w:pPr>
        <w:pStyle w:val="BodyText"/>
        <w:ind w:left="0"/>
        <w:jc w:val="left"/>
        <w:rPr>
          <w:b/>
          <w:sz w:val="22"/>
        </w:rPr>
      </w:pPr>
    </w:p>
    <w:tbl>
      <w:tblPr>
        <w:tblW w:w="0" w:type="auto"/>
        <w:jc w:val="left"/>
        <w:tblInd w:w="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8"/>
        <w:gridCol w:w="2064"/>
      </w:tblGrid>
      <w:tr>
        <w:trPr>
          <w:trHeight w:val="270" w:hRule="atLeast"/>
        </w:trPr>
        <w:tc>
          <w:tcPr>
            <w:tcW w:w="688" w:type="dxa"/>
          </w:tcPr>
          <w:p>
            <w:pPr>
              <w:pStyle w:val="TableParagraph"/>
              <w:spacing w:line="251" w:lineRule="exact"/>
              <w:ind w:left="200"/>
              <w:rPr>
                <w:sz w:val="24"/>
              </w:rPr>
            </w:pPr>
            <w:r>
              <w:rPr>
                <w:sz w:val="24"/>
              </w:rPr>
              <w:t>bk.</w:t>
            </w:r>
          </w:p>
        </w:tc>
        <w:tc>
          <w:tcPr>
            <w:tcW w:w="2064" w:type="dxa"/>
          </w:tcPr>
          <w:p>
            <w:pPr>
              <w:pStyle w:val="TableParagraph"/>
              <w:spacing w:line="251" w:lineRule="exact"/>
              <w:rPr>
                <w:sz w:val="24"/>
              </w:rPr>
            </w:pPr>
            <w:r>
              <w:rPr>
                <w:sz w:val="24"/>
              </w:rPr>
              <w:t>: bakınız</w:t>
            </w:r>
          </w:p>
        </w:tc>
      </w:tr>
      <w:tr>
        <w:trPr>
          <w:trHeight w:val="276" w:hRule="atLeast"/>
        </w:trPr>
        <w:tc>
          <w:tcPr>
            <w:tcW w:w="688" w:type="dxa"/>
          </w:tcPr>
          <w:p>
            <w:pPr>
              <w:pStyle w:val="TableParagraph"/>
              <w:spacing w:line="256" w:lineRule="exact"/>
              <w:ind w:left="200"/>
              <w:rPr>
                <w:sz w:val="24"/>
              </w:rPr>
            </w:pPr>
            <w:r>
              <w:rPr>
                <w:sz w:val="24"/>
              </w:rPr>
              <w:t>örn.</w:t>
            </w:r>
          </w:p>
        </w:tc>
        <w:tc>
          <w:tcPr>
            <w:tcW w:w="2064" w:type="dxa"/>
          </w:tcPr>
          <w:p>
            <w:pPr>
              <w:pStyle w:val="TableParagraph"/>
              <w:spacing w:line="256" w:lineRule="exact"/>
              <w:rPr>
                <w:sz w:val="24"/>
              </w:rPr>
            </w:pPr>
            <w:r>
              <w:rPr>
                <w:sz w:val="24"/>
              </w:rPr>
              <w:t>: örneğin</w:t>
            </w:r>
          </w:p>
        </w:tc>
      </w:tr>
      <w:tr>
        <w:trPr>
          <w:trHeight w:val="275" w:hRule="atLeast"/>
        </w:trPr>
        <w:tc>
          <w:tcPr>
            <w:tcW w:w="688" w:type="dxa"/>
          </w:tcPr>
          <w:p>
            <w:pPr>
              <w:pStyle w:val="TableParagraph"/>
              <w:spacing w:line="256" w:lineRule="exact"/>
              <w:ind w:left="200"/>
              <w:rPr>
                <w:sz w:val="24"/>
              </w:rPr>
            </w:pPr>
            <w:r>
              <w:rPr>
                <w:sz w:val="24"/>
              </w:rPr>
              <w:t>vb.</w:t>
            </w:r>
          </w:p>
        </w:tc>
        <w:tc>
          <w:tcPr>
            <w:tcW w:w="2064" w:type="dxa"/>
          </w:tcPr>
          <w:p>
            <w:pPr>
              <w:pStyle w:val="TableParagraph"/>
              <w:spacing w:line="256" w:lineRule="exact"/>
              <w:rPr>
                <w:sz w:val="24"/>
              </w:rPr>
            </w:pPr>
            <w:r>
              <w:rPr>
                <w:sz w:val="24"/>
              </w:rPr>
              <w:t>: ve benzerleri</w:t>
            </w:r>
          </w:p>
        </w:tc>
      </w:tr>
      <w:tr>
        <w:trPr>
          <w:trHeight w:val="276" w:hRule="atLeast"/>
        </w:trPr>
        <w:tc>
          <w:tcPr>
            <w:tcW w:w="688" w:type="dxa"/>
          </w:tcPr>
          <w:p>
            <w:pPr>
              <w:pStyle w:val="TableParagraph"/>
              <w:spacing w:line="256" w:lineRule="exact"/>
              <w:ind w:left="200"/>
              <w:rPr>
                <w:sz w:val="24"/>
              </w:rPr>
            </w:pPr>
            <w:r>
              <w:rPr>
                <w:sz w:val="24"/>
              </w:rPr>
              <w:t>vd.</w:t>
            </w:r>
          </w:p>
        </w:tc>
        <w:tc>
          <w:tcPr>
            <w:tcW w:w="2064" w:type="dxa"/>
          </w:tcPr>
          <w:p>
            <w:pPr>
              <w:pStyle w:val="TableParagraph"/>
              <w:spacing w:line="256" w:lineRule="exact"/>
              <w:rPr>
                <w:sz w:val="24"/>
              </w:rPr>
            </w:pPr>
            <w:r>
              <w:rPr>
                <w:sz w:val="24"/>
              </w:rPr>
              <w:t>: ve diğerleri</w:t>
            </w:r>
          </w:p>
        </w:tc>
      </w:tr>
      <w:tr>
        <w:trPr>
          <w:trHeight w:val="270" w:hRule="atLeast"/>
        </w:trPr>
        <w:tc>
          <w:tcPr>
            <w:tcW w:w="688" w:type="dxa"/>
          </w:tcPr>
          <w:p>
            <w:pPr>
              <w:pStyle w:val="TableParagraph"/>
              <w:spacing w:line="251" w:lineRule="exact"/>
              <w:ind w:left="200"/>
              <w:rPr>
                <w:sz w:val="24"/>
              </w:rPr>
            </w:pPr>
            <w:r>
              <w:rPr>
                <w:sz w:val="24"/>
              </w:rPr>
              <w:t>$</w:t>
            </w:r>
          </w:p>
        </w:tc>
        <w:tc>
          <w:tcPr>
            <w:tcW w:w="2064" w:type="dxa"/>
          </w:tcPr>
          <w:p>
            <w:pPr>
              <w:pStyle w:val="TableParagraph"/>
              <w:spacing w:line="251" w:lineRule="exact"/>
              <w:rPr>
                <w:sz w:val="24"/>
              </w:rPr>
            </w:pPr>
            <w:r>
              <w:rPr>
                <w:sz w:val="24"/>
              </w:rPr>
              <w:t>: Amerikan Doları</w:t>
            </w:r>
          </w:p>
        </w:tc>
      </w:tr>
    </w:tbl>
    <w:p>
      <w:pPr>
        <w:spacing w:after="0" w:line="251" w:lineRule="exact"/>
        <w:rPr>
          <w:sz w:val="24"/>
        </w:rPr>
        <w:sectPr>
          <w:pgSz w:w="12240" w:h="15840"/>
          <w:pgMar w:header="718" w:footer="0" w:top="1300" w:bottom="280" w:left="1720" w:right="820"/>
        </w:sectPr>
      </w:pPr>
    </w:p>
    <w:p>
      <w:pPr>
        <w:spacing w:before="100"/>
        <w:ind w:left="561" w:right="328" w:firstLine="0"/>
        <w:jc w:val="center"/>
        <w:rPr>
          <w:b/>
          <w:sz w:val="24"/>
        </w:rPr>
      </w:pPr>
      <w:r>
        <w:rPr>
          <w:b/>
          <w:sz w:val="24"/>
        </w:rPr>
        <w:t>GİRİŞ</w:t>
      </w:r>
    </w:p>
    <w:p>
      <w:pPr>
        <w:pStyle w:val="BodyText"/>
        <w:spacing w:before="9"/>
        <w:ind w:left="0"/>
        <w:jc w:val="left"/>
        <w:rPr>
          <w:b/>
          <w:sz w:val="32"/>
        </w:rPr>
      </w:pPr>
    </w:p>
    <w:p>
      <w:pPr>
        <w:pStyle w:val="BodyText"/>
        <w:spacing w:line="360" w:lineRule="auto"/>
        <w:ind w:right="309" w:firstLine="708"/>
      </w:pPr>
      <w:r>
        <w:rPr/>
        <w:t>Bilgi, insanoğlu için her zaman gıda ve barınma gibi temel gereksinimlerden birisi olmuştur.</w:t>
      </w:r>
      <w:r>
        <w:rPr>
          <w:spacing w:val="-5"/>
        </w:rPr>
        <w:t> </w:t>
      </w:r>
      <w:r>
        <w:rPr/>
        <w:t>Sosyal</w:t>
      </w:r>
      <w:r>
        <w:rPr>
          <w:spacing w:val="-6"/>
        </w:rPr>
        <w:t> </w:t>
      </w:r>
      <w:r>
        <w:rPr/>
        <w:t>bir</w:t>
      </w:r>
      <w:r>
        <w:rPr>
          <w:spacing w:val="-4"/>
        </w:rPr>
        <w:t> </w:t>
      </w:r>
      <w:r>
        <w:rPr/>
        <w:t>varlık</w:t>
      </w:r>
      <w:r>
        <w:rPr>
          <w:spacing w:val="-4"/>
        </w:rPr>
        <w:t> </w:t>
      </w:r>
      <w:r>
        <w:rPr/>
        <w:t>olan</w:t>
      </w:r>
      <w:r>
        <w:rPr>
          <w:spacing w:val="-4"/>
        </w:rPr>
        <w:t> </w:t>
      </w:r>
      <w:r>
        <w:rPr/>
        <w:t>insanın,</w:t>
      </w:r>
      <w:r>
        <w:rPr>
          <w:spacing w:val="-2"/>
        </w:rPr>
        <w:t> </w:t>
      </w:r>
      <w:r>
        <w:rPr/>
        <w:t>varlığını</w:t>
      </w:r>
      <w:r>
        <w:rPr>
          <w:spacing w:val="-6"/>
        </w:rPr>
        <w:t> </w:t>
      </w:r>
      <w:r>
        <w:rPr/>
        <w:t>sürdürmesi</w:t>
      </w:r>
      <w:r>
        <w:rPr>
          <w:spacing w:val="-4"/>
        </w:rPr>
        <w:t> </w:t>
      </w:r>
      <w:r>
        <w:rPr/>
        <w:t>ve</w:t>
      </w:r>
      <w:r>
        <w:rPr>
          <w:spacing w:val="-4"/>
        </w:rPr>
        <w:t> </w:t>
      </w:r>
      <w:r>
        <w:rPr/>
        <w:t>topluluklar</w:t>
      </w:r>
      <w:r>
        <w:rPr>
          <w:spacing w:val="-7"/>
        </w:rPr>
        <w:t> </w:t>
      </w:r>
      <w:r>
        <w:rPr/>
        <w:t>halinde</w:t>
      </w:r>
      <w:r>
        <w:rPr>
          <w:spacing w:val="-3"/>
        </w:rPr>
        <w:t> </w:t>
      </w:r>
      <w:r>
        <w:rPr/>
        <w:t>iş</w:t>
      </w:r>
      <w:r>
        <w:rPr>
          <w:spacing w:val="-3"/>
        </w:rPr>
        <w:t> </w:t>
      </w:r>
      <w:r>
        <w:rPr/>
        <w:t>birliği içinde hareket etmesi için topluluk içi bilgi akışı oldukça önemlidir. Tanıdıkların verdikleri bilgilere önem vermek, merak edilen konular hakkında tanıdıklara başvurmak ya da tanıdıkların bilmediği güncel bilgileri onlara iletmek insanoğlunun genlerinde bulunmaktadır. Bir insan için, çevresi ile bilgi alışverişi yapmak rutin bir faaliyettir. Alışverişi</w:t>
      </w:r>
      <w:r>
        <w:rPr>
          <w:spacing w:val="-12"/>
        </w:rPr>
        <w:t> </w:t>
      </w:r>
      <w:r>
        <w:rPr/>
        <w:t>yapılan</w:t>
      </w:r>
      <w:r>
        <w:rPr>
          <w:spacing w:val="-10"/>
        </w:rPr>
        <w:t> </w:t>
      </w:r>
      <w:r>
        <w:rPr/>
        <w:t>bilginin</w:t>
      </w:r>
      <w:r>
        <w:rPr>
          <w:spacing w:val="-11"/>
        </w:rPr>
        <w:t> </w:t>
      </w:r>
      <w:r>
        <w:rPr/>
        <w:t>bir</w:t>
      </w:r>
      <w:r>
        <w:rPr>
          <w:spacing w:val="-12"/>
        </w:rPr>
        <w:t> </w:t>
      </w:r>
      <w:r>
        <w:rPr/>
        <w:t>bölümü</w:t>
      </w:r>
      <w:r>
        <w:rPr>
          <w:spacing w:val="-11"/>
        </w:rPr>
        <w:t> </w:t>
      </w:r>
      <w:r>
        <w:rPr/>
        <w:t>de</w:t>
      </w:r>
      <w:r>
        <w:rPr>
          <w:spacing w:val="-12"/>
        </w:rPr>
        <w:t> </w:t>
      </w:r>
      <w:r>
        <w:rPr/>
        <w:t>tüketim</w:t>
      </w:r>
      <w:r>
        <w:rPr>
          <w:spacing w:val="-11"/>
        </w:rPr>
        <w:t> </w:t>
      </w:r>
      <w:r>
        <w:rPr/>
        <w:t>ile</w:t>
      </w:r>
      <w:r>
        <w:rPr>
          <w:spacing w:val="-12"/>
        </w:rPr>
        <w:t> </w:t>
      </w:r>
      <w:r>
        <w:rPr/>
        <w:t>ilgilidir.</w:t>
      </w:r>
      <w:r>
        <w:rPr>
          <w:spacing w:val="-12"/>
        </w:rPr>
        <w:t> </w:t>
      </w:r>
      <w:r>
        <w:rPr/>
        <w:t>Tüketim</w:t>
      </w:r>
      <w:r>
        <w:rPr>
          <w:spacing w:val="-12"/>
        </w:rPr>
        <w:t> </w:t>
      </w:r>
      <w:r>
        <w:rPr/>
        <w:t>ile</w:t>
      </w:r>
      <w:r>
        <w:rPr>
          <w:spacing w:val="-12"/>
        </w:rPr>
        <w:t> </w:t>
      </w:r>
      <w:r>
        <w:rPr/>
        <w:t>ilgili</w:t>
      </w:r>
      <w:r>
        <w:rPr>
          <w:spacing w:val="-7"/>
        </w:rPr>
        <w:t> </w:t>
      </w:r>
      <w:r>
        <w:rPr/>
        <w:t>bilgi</w:t>
      </w:r>
      <w:r>
        <w:rPr>
          <w:spacing w:val="-12"/>
        </w:rPr>
        <w:t> </w:t>
      </w:r>
      <w:r>
        <w:rPr/>
        <w:t>alışverişi ağızdan ağıza iletişim kapsamına girmektedir. Ağızdan ağıza iletişim bireye bilgi sağlayan bir</w:t>
      </w:r>
      <w:r>
        <w:rPr>
          <w:spacing w:val="-6"/>
        </w:rPr>
        <w:t> </w:t>
      </w:r>
      <w:r>
        <w:rPr/>
        <w:t>sosyal</w:t>
      </w:r>
      <w:r>
        <w:rPr>
          <w:spacing w:val="-6"/>
        </w:rPr>
        <w:t> </w:t>
      </w:r>
      <w:r>
        <w:rPr/>
        <w:t>iletişim</w:t>
      </w:r>
      <w:r>
        <w:rPr>
          <w:spacing w:val="-6"/>
        </w:rPr>
        <w:t> </w:t>
      </w:r>
      <w:r>
        <w:rPr/>
        <w:t>sürecidir</w:t>
      </w:r>
      <w:r>
        <w:rPr>
          <w:spacing w:val="-6"/>
        </w:rPr>
        <w:t> </w:t>
      </w:r>
      <w:r>
        <w:rPr/>
        <w:t>(Alexandrov</w:t>
      </w:r>
      <w:r>
        <w:rPr>
          <w:spacing w:val="-6"/>
        </w:rPr>
        <w:t> </w:t>
      </w:r>
      <w:r>
        <w:rPr/>
        <w:t>vd.,</w:t>
      </w:r>
      <w:r>
        <w:rPr>
          <w:spacing w:val="-5"/>
        </w:rPr>
        <w:t> </w:t>
      </w:r>
      <w:r>
        <w:rPr/>
        <w:t>2013)</w:t>
      </w:r>
      <w:r>
        <w:rPr>
          <w:spacing w:val="-4"/>
        </w:rPr>
        <w:t> </w:t>
      </w:r>
      <w:r>
        <w:rPr/>
        <w:t>ve</w:t>
      </w:r>
      <w:r>
        <w:rPr>
          <w:spacing w:val="-6"/>
        </w:rPr>
        <w:t> </w:t>
      </w:r>
      <w:r>
        <w:rPr/>
        <w:t>toplumsal</w:t>
      </w:r>
      <w:r>
        <w:rPr>
          <w:spacing w:val="-6"/>
        </w:rPr>
        <w:t> </w:t>
      </w:r>
      <w:r>
        <w:rPr/>
        <w:t>yaşamın</w:t>
      </w:r>
      <w:r>
        <w:rPr>
          <w:spacing w:val="-6"/>
        </w:rPr>
        <w:t> </w:t>
      </w:r>
      <w:r>
        <w:rPr/>
        <w:t>başlangıcından</w:t>
      </w:r>
      <w:r>
        <w:rPr>
          <w:spacing w:val="-5"/>
        </w:rPr>
        <w:t> </w:t>
      </w:r>
      <w:r>
        <w:rPr/>
        <w:t>bu yana insanoğlunun gündelik hayatının bir parçasıdır (Godes ve Mayzlin, 2004). Hangi arabanın alınacağı, hangi filmin izleneceği, hangi şarkıcının dinleneceği, hangi restoranda yemek yeneceği, tatilde nereye gidileceği, hangi otelde kalınacağı gibi tüketimle ilgili kararlarda, kararsızlığa çözüm bulmak için ilk başvuru kaynağı genellikle bilgi sahibi tanıdıklar olmuştur. Sosyal çevredeki diğer insanların sağladığı tüketim bilgileri ve tavsiyeler, firmaların ilettiği pazarlama mesajlarından daha güvenilir bulunmakta ve satın alma kararlarında daha fazla etkili olmaktadır (Day, 1971; Grewal vd., 2003; Hussain vd., 2019).</w:t>
      </w:r>
    </w:p>
    <w:p>
      <w:pPr>
        <w:pStyle w:val="BodyText"/>
        <w:spacing w:line="360" w:lineRule="auto" w:before="3"/>
        <w:ind w:right="307" w:firstLine="708"/>
      </w:pPr>
      <w:r>
        <w:rPr/>
        <w:t>Günümüzde dünya nüfusunun yaklaşık %60’ı tarafından kullanılan internet (Wearesocial, 2019), 1990’larda insanoğlunun hayatına girmeye başladığında, doğal olarak, iletişim biçimlerini de etkilemiştir. Tarih boyunca yakın çevreyle ve sözlü iletişimle sınırlı kalmış ağızdan ağıza iletişim, bilgi teknolojilerinin ve özellikle internetin gelişmesi </w:t>
      </w:r>
      <w:r>
        <w:rPr>
          <w:spacing w:val="3"/>
        </w:rPr>
        <w:t>ve </w:t>
      </w:r>
      <w:r>
        <w:rPr/>
        <w:t>yaygınlaşmasıyla</w:t>
      </w:r>
      <w:r>
        <w:rPr>
          <w:spacing w:val="-6"/>
        </w:rPr>
        <w:t> </w:t>
      </w:r>
      <w:r>
        <w:rPr/>
        <w:t>küresel</w:t>
      </w:r>
      <w:r>
        <w:rPr>
          <w:spacing w:val="-4"/>
        </w:rPr>
        <w:t> </w:t>
      </w:r>
      <w:r>
        <w:rPr/>
        <w:t>ölçekte</w:t>
      </w:r>
      <w:r>
        <w:rPr>
          <w:spacing w:val="-5"/>
        </w:rPr>
        <w:t> </w:t>
      </w:r>
      <w:r>
        <w:rPr/>
        <w:t>yazılı,</w:t>
      </w:r>
      <w:r>
        <w:rPr>
          <w:spacing w:val="-4"/>
        </w:rPr>
        <w:t> </w:t>
      </w:r>
      <w:r>
        <w:rPr/>
        <w:t>sözlü</w:t>
      </w:r>
      <w:r>
        <w:rPr>
          <w:spacing w:val="-4"/>
        </w:rPr>
        <w:t> </w:t>
      </w:r>
      <w:r>
        <w:rPr/>
        <w:t>ve</w:t>
      </w:r>
      <w:r>
        <w:rPr>
          <w:spacing w:val="-3"/>
        </w:rPr>
        <w:t> </w:t>
      </w:r>
      <w:r>
        <w:rPr/>
        <w:t>görsel</w:t>
      </w:r>
      <w:r>
        <w:rPr>
          <w:spacing w:val="-4"/>
        </w:rPr>
        <w:t> </w:t>
      </w:r>
      <w:r>
        <w:rPr/>
        <w:t>bir</w:t>
      </w:r>
      <w:r>
        <w:rPr>
          <w:spacing w:val="-5"/>
        </w:rPr>
        <w:t> </w:t>
      </w:r>
      <w:r>
        <w:rPr/>
        <w:t>iletişim</w:t>
      </w:r>
      <w:r>
        <w:rPr>
          <w:spacing w:val="-4"/>
        </w:rPr>
        <w:t> </w:t>
      </w:r>
      <w:r>
        <w:rPr/>
        <w:t>haline</w:t>
      </w:r>
      <w:r>
        <w:rPr>
          <w:spacing w:val="-6"/>
        </w:rPr>
        <w:t> </w:t>
      </w:r>
      <w:r>
        <w:rPr/>
        <w:t>gelmiştir.</w:t>
      </w:r>
      <w:r>
        <w:rPr>
          <w:spacing w:val="1"/>
        </w:rPr>
        <w:t> </w:t>
      </w:r>
      <w:r>
        <w:rPr/>
        <w:t>İnternet mecralarında gerçekleşen ağızdan ağıza iletişim, elektronik ağızdan ağıza iletişim olarak adlandırılmaktadır (Hennig‐Thurau vd., 2004). İnternetin Web 2.0 olarak </w:t>
      </w:r>
      <w:r>
        <w:rPr>
          <w:spacing w:val="-5"/>
        </w:rPr>
        <w:t>adlandırılan </w:t>
      </w:r>
      <w:r>
        <w:rPr/>
        <w:t>modern yapısına evrilmesiyle birlikte, tüketiciler bir araya gelerek geniş ağlar ve</w:t>
      </w:r>
      <w:r>
        <w:rPr>
          <w:spacing w:val="-43"/>
        </w:rPr>
        <w:t> </w:t>
      </w:r>
      <w:r>
        <w:rPr/>
        <w:t>topluluklar oluşturmaya ve bu topluluklarda elektronik ağızdan ağıza iletişim mesajları paylaşmaya başlamışlardır. Günümüz tüketicisi bir tüketim tavsiyesi almak istediğinde çeşitli internet mecralarında (forumlar, bloglar, vloglar, sosyal medya, e-ticaret sayfaları gibi) pek çok sayıda tüketiciden pek çok sayıda elektronik ağızdan ağıza iletişim mesajına erişebilmektedir. Geleneksel ağızdan ağıza iletişime nazaran, elektronik ağızdan ağıza</w:t>
      </w:r>
    </w:p>
    <w:p>
      <w:pPr>
        <w:spacing w:after="0" w:line="360" w:lineRule="auto"/>
        <w:sectPr>
          <w:headerReference w:type="default" r:id="rId8"/>
          <w:pgSz w:w="12240" w:h="15840"/>
          <w:pgMar w:header="718" w:footer="0" w:top="1300" w:bottom="280" w:left="1720" w:right="820"/>
          <w:pgNumType w:start="1"/>
        </w:sectPr>
      </w:pPr>
    </w:p>
    <w:p>
      <w:pPr>
        <w:pStyle w:val="BodyText"/>
        <w:spacing w:line="360" w:lineRule="auto" w:before="100"/>
        <w:ind w:right="314"/>
      </w:pPr>
      <w:r>
        <w:rPr/>
        <w:t>iletişim mesajları çok geniş kitlelere ulaşabilmekte ve bu nedenle aynı zaman dilimi içinde çok daha fazla kişi bir ürün, marka ya da firma hakkında konuşabilmektedir.</w:t>
      </w:r>
    </w:p>
    <w:p>
      <w:pPr>
        <w:pStyle w:val="BodyText"/>
        <w:spacing w:line="360" w:lineRule="auto" w:before="1"/>
        <w:ind w:right="310" w:firstLine="708"/>
      </w:pPr>
      <w:r>
        <w:rPr/>
        <w:t>Elektronik ağızdan ağıza iletişim, ürünlerin, markaların ve firmaların sınırlı bütçeyle başladıkları işlerinde kısa zamanda başarılı olmalarına yardımcı olabilmektedir. Örneğin, Amazon.com</w:t>
      </w:r>
      <w:r>
        <w:rPr>
          <w:spacing w:val="-8"/>
        </w:rPr>
        <w:t> </w:t>
      </w:r>
      <w:r>
        <w:rPr/>
        <w:t>1995’te</w:t>
      </w:r>
      <w:r>
        <w:rPr>
          <w:spacing w:val="-10"/>
        </w:rPr>
        <w:t> </w:t>
      </w:r>
      <w:r>
        <w:rPr/>
        <w:t>hayatına</w:t>
      </w:r>
      <w:r>
        <w:rPr>
          <w:spacing w:val="-10"/>
        </w:rPr>
        <w:t> </w:t>
      </w:r>
      <w:r>
        <w:rPr/>
        <w:t>başladığı</w:t>
      </w:r>
      <w:r>
        <w:rPr>
          <w:spacing w:val="-8"/>
        </w:rPr>
        <w:t> </w:t>
      </w:r>
      <w:r>
        <w:rPr/>
        <w:t>ilk</w:t>
      </w:r>
      <w:r>
        <w:rPr>
          <w:spacing w:val="-9"/>
        </w:rPr>
        <w:t> </w:t>
      </w:r>
      <w:r>
        <w:rPr/>
        <w:t>günden</w:t>
      </w:r>
      <w:r>
        <w:rPr>
          <w:spacing w:val="-9"/>
        </w:rPr>
        <w:t> </w:t>
      </w:r>
      <w:r>
        <w:rPr/>
        <w:t>itibaren</w:t>
      </w:r>
      <w:r>
        <w:rPr>
          <w:spacing w:val="-8"/>
        </w:rPr>
        <w:t> </w:t>
      </w:r>
      <w:r>
        <w:rPr/>
        <w:t>tüketici</w:t>
      </w:r>
      <w:r>
        <w:rPr>
          <w:spacing w:val="-9"/>
        </w:rPr>
        <w:t> </w:t>
      </w:r>
      <w:r>
        <w:rPr/>
        <w:t>yorumlarına</w:t>
      </w:r>
      <w:r>
        <w:rPr>
          <w:spacing w:val="-10"/>
        </w:rPr>
        <w:t> </w:t>
      </w:r>
      <w:r>
        <w:rPr/>
        <w:t>yer</w:t>
      </w:r>
      <w:r>
        <w:rPr>
          <w:spacing w:val="-9"/>
        </w:rPr>
        <w:t> </w:t>
      </w:r>
      <w:r>
        <w:rPr/>
        <w:t>vermiş, tüketicilerin yorumlarını yayınlayan ilk perakendeci olarak tarihe geçmiş ve bugünkü ticari konumunu bu özelliğinin sayesinde elde etmiştir (Stone, 2013: 42). Benzer şekilde, 60 bin $ bütçe</w:t>
      </w:r>
      <w:r>
        <w:rPr>
          <w:spacing w:val="-17"/>
        </w:rPr>
        <w:t> </w:t>
      </w:r>
      <w:r>
        <w:rPr/>
        <w:t>ile</w:t>
      </w:r>
      <w:r>
        <w:rPr>
          <w:spacing w:val="-17"/>
        </w:rPr>
        <w:t> </w:t>
      </w:r>
      <w:r>
        <w:rPr/>
        <w:t>çekilen</w:t>
      </w:r>
      <w:r>
        <w:rPr>
          <w:spacing w:val="-16"/>
        </w:rPr>
        <w:t> </w:t>
      </w:r>
      <w:r>
        <w:rPr/>
        <w:t>1999</w:t>
      </w:r>
      <w:r>
        <w:rPr>
          <w:spacing w:val="-16"/>
        </w:rPr>
        <w:t> </w:t>
      </w:r>
      <w:r>
        <w:rPr/>
        <w:t>yapımı</w:t>
      </w:r>
      <w:r>
        <w:rPr>
          <w:spacing w:val="-13"/>
        </w:rPr>
        <w:t> </w:t>
      </w:r>
      <w:r>
        <w:rPr>
          <w:i/>
        </w:rPr>
        <w:t>Blair</w:t>
      </w:r>
      <w:r>
        <w:rPr>
          <w:i/>
          <w:spacing w:val="-16"/>
        </w:rPr>
        <w:t> </w:t>
      </w:r>
      <w:r>
        <w:rPr>
          <w:i/>
        </w:rPr>
        <w:t>Cadısı</w:t>
      </w:r>
      <w:r>
        <w:rPr>
          <w:i/>
          <w:spacing w:val="-15"/>
        </w:rPr>
        <w:t> </w:t>
      </w:r>
      <w:r>
        <w:rPr>
          <w:i/>
        </w:rPr>
        <w:t>(The</w:t>
      </w:r>
      <w:r>
        <w:rPr>
          <w:i/>
          <w:spacing w:val="-17"/>
        </w:rPr>
        <w:t> </w:t>
      </w:r>
      <w:r>
        <w:rPr>
          <w:i/>
        </w:rPr>
        <w:t>Blair</w:t>
      </w:r>
      <w:r>
        <w:rPr>
          <w:i/>
          <w:spacing w:val="-15"/>
        </w:rPr>
        <w:t> </w:t>
      </w:r>
      <w:r>
        <w:rPr>
          <w:i/>
        </w:rPr>
        <w:t>Witch</w:t>
      </w:r>
      <w:r>
        <w:rPr>
          <w:i/>
          <w:spacing w:val="-16"/>
        </w:rPr>
        <w:t> </w:t>
      </w:r>
      <w:r>
        <w:rPr>
          <w:i/>
        </w:rPr>
        <w:t>Project)</w:t>
      </w:r>
      <w:r>
        <w:rPr>
          <w:i/>
          <w:spacing w:val="-15"/>
        </w:rPr>
        <w:t> </w:t>
      </w:r>
      <w:r>
        <w:rPr/>
        <w:t>filmi,</w:t>
      </w:r>
      <w:r>
        <w:rPr>
          <w:spacing w:val="-16"/>
        </w:rPr>
        <w:t> </w:t>
      </w:r>
      <w:r>
        <w:rPr/>
        <w:t>elektronik</w:t>
      </w:r>
      <w:r>
        <w:rPr>
          <w:spacing w:val="-15"/>
        </w:rPr>
        <w:t> </w:t>
      </w:r>
      <w:r>
        <w:rPr/>
        <w:t>ağızdan ağıza iletişim sayesinde dünya genelinde büyük ilgi çekmiş ve 248 milyon $ hasılat elde etmiştir</w:t>
      </w:r>
      <w:r>
        <w:rPr>
          <w:spacing w:val="-10"/>
        </w:rPr>
        <w:t> </w:t>
      </w:r>
      <w:r>
        <w:rPr/>
        <w:t>(Berger,</w:t>
      </w:r>
      <w:r>
        <w:rPr>
          <w:spacing w:val="-10"/>
        </w:rPr>
        <w:t> </w:t>
      </w:r>
      <w:r>
        <w:rPr/>
        <w:t>2013:</w:t>
      </w:r>
      <w:r>
        <w:rPr>
          <w:spacing w:val="-9"/>
        </w:rPr>
        <w:t> </w:t>
      </w:r>
      <w:r>
        <w:rPr/>
        <w:t>43).</w:t>
      </w:r>
      <w:r>
        <w:rPr>
          <w:spacing w:val="-9"/>
        </w:rPr>
        <w:t> </w:t>
      </w:r>
      <w:r>
        <w:rPr/>
        <w:t>Yine,</w:t>
      </w:r>
      <w:r>
        <w:rPr>
          <w:spacing w:val="-10"/>
        </w:rPr>
        <w:t> </w:t>
      </w:r>
      <w:r>
        <w:rPr/>
        <w:t>1994</w:t>
      </w:r>
      <w:r>
        <w:rPr>
          <w:spacing w:val="-10"/>
        </w:rPr>
        <w:t> </w:t>
      </w:r>
      <w:r>
        <w:rPr/>
        <w:t>yılında</w:t>
      </w:r>
      <w:r>
        <w:rPr>
          <w:spacing w:val="-9"/>
        </w:rPr>
        <w:t> </w:t>
      </w:r>
      <w:r>
        <w:rPr/>
        <w:t>kurulan,</w:t>
      </w:r>
      <w:r>
        <w:rPr>
          <w:spacing w:val="-10"/>
        </w:rPr>
        <w:t> </w:t>
      </w:r>
      <w:r>
        <w:rPr/>
        <w:t>Asus</w:t>
      </w:r>
      <w:r>
        <w:rPr>
          <w:spacing w:val="-10"/>
        </w:rPr>
        <w:t> </w:t>
      </w:r>
      <w:r>
        <w:rPr/>
        <w:t>marka</w:t>
      </w:r>
      <w:r>
        <w:rPr>
          <w:spacing w:val="-11"/>
        </w:rPr>
        <w:t> </w:t>
      </w:r>
      <w:r>
        <w:rPr/>
        <w:t>bilgisayar</w:t>
      </w:r>
      <w:r>
        <w:rPr>
          <w:spacing w:val="-10"/>
        </w:rPr>
        <w:t> </w:t>
      </w:r>
      <w:r>
        <w:rPr/>
        <w:t>anakartlarıyla tanınan Tayvanlı Asustek firması, çok büyük reklam ve tanıtım bütçeleri ayırmadan, elektronik ağızdan ağıza iletişimin satın alma kararlarındaki etkisinden faydalanarak, son</w:t>
      </w:r>
      <w:r>
        <w:rPr>
          <w:spacing w:val="-42"/>
        </w:rPr>
        <w:t> </w:t>
      </w:r>
      <w:r>
        <w:rPr/>
        <w:t>10 yıl içinde, Asus marka dizüstü ve tablet bilgisayarlarıyla dünyanın en büyük bilgisayar markalarından birisi haline gelmiştir (Simonson ve Rosen, 2015: 15). Bu örneklerdeki gibi başarılar,</w:t>
      </w:r>
      <w:r>
        <w:rPr>
          <w:spacing w:val="-12"/>
        </w:rPr>
        <w:t> </w:t>
      </w:r>
      <w:r>
        <w:rPr/>
        <w:t>firmaların</w:t>
      </w:r>
      <w:r>
        <w:rPr>
          <w:spacing w:val="-11"/>
        </w:rPr>
        <w:t> </w:t>
      </w:r>
      <w:r>
        <w:rPr/>
        <w:t>elektronik</w:t>
      </w:r>
      <w:r>
        <w:rPr>
          <w:spacing w:val="-11"/>
        </w:rPr>
        <w:t> </w:t>
      </w:r>
      <w:r>
        <w:rPr/>
        <w:t>ağızdan</w:t>
      </w:r>
      <w:r>
        <w:rPr>
          <w:spacing w:val="-11"/>
        </w:rPr>
        <w:t> </w:t>
      </w:r>
      <w:r>
        <w:rPr/>
        <w:t>ağıza</w:t>
      </w:r>
      <w:r>
        <w:rPr>
          <w:spacing w:val="-12"/>
        </w:rPr>
        <w:t> </w:t>
      </w:r>
      <w:r>
        <w:rPr/>
        <w:t>iletişim</w:t>
      </w:r>
      <w:r>
        <w:rPr>
          <w:spacing w:val="-10"/>
        </w:rPr>
        <w:t> </w:t>
      </w:r>
      <w:r>
        <w:rPr/>
        <w:t>süreçlerine</w:t>
      </w:r>
      <w:r>
        <w:rPr>
          <w:spacing w:val="-10"/>
        </w:rPr>
        <w:t> </w:t>
      </w:r>
      <w:r>
        <w:rPr/>
        <w:t>dahil</w:t>
      </w:r>
      <w:r>
        <w:rPr>
          <w:spacing w:val="-10"/>
        </w:rPr>
        <w:t> </w:t>
      </w:r>
      <w:r>
        <w:rPr/>
        <w:t>olmaya</w:t>
      </w:r>
      <w:r>
        <w:rPr>
          <w:spacing w:val="-12"/>
        </w:rPr>
        <w:t> </w:t>
      </w:r>
      <w:r>
        <w:rPr/>
        <w:t>çalışmalarına, tüketicilerle çeşitli mecralarda (sosyal medya gibi) etkileşim artırma çabalarına girmelerine ve tüketicileri kendileri, ürünleri veya markaları hakkında konuşmaya teşvik etmelerine yol açmıştır.</w:t>
      </w:r>
    </w:p>
    <w:p>
      <w:pPr>
        <w:pStyle w:val="BodyText"/>
        <w:spacing w:line="360" w:lineRule="auto" w:before="1"/>
        <w:ind w:right="308" w:firstLine="708"/>
      </w:pPr>
      <w:r>
        <w:rPr/>
        <w:t>Tüketiciler için yeni bir iletişim biçimi olarak ortaya çıkan ve firmaların performanslarını da etkileyen elektronik ağızdan ağıza iletişim, araştırmacıların da kısa sürede ilgisini çekmiştir. İnternetin ve e-ticaretin yaygınlaşmasına paralel olarak, ilk defa 2000 yılında bir araştırmaya konu olan elektronik ağızdan ağıza iletişimle ilgili her yıl daha fazla araştırma yayınlanmaktadır (Özbük ve Aksoy, 2017). Bu araştırmaları, bireysel ve pazar düzey analiz yapan araştırmalar olmak üzere iki ana grupta toplamak mümkündür. Bireysel düzey analiz yapan araştırmalar, elektronik ağızdan ağıza iletişim mesajlarının tüketici satın alma karar sürecini nasıl etkilediğini açıklamaya çalışmaktadır (Lee ve Lee, 2009).</w:t>
      </w:r>
      <w:r>
        <w:rPr>
          <w:spacing w:val="-7"/>
        </w:rPr>
        <w:t> </w:t>
      </w:r>
      <w:r>
        <w:rPr/>
        <w:t>Tüketici</w:t>
      </w:r>
      <w:r>
        <w:rPr>
          <w:spacing w:val="-7"/>
        </w:rPr>
        <w:t> </w:t>
      </w:r>
      <w:r>
        <w:rPr/>
        <w:t>yorumlarının</w:t>
      </w:r>
      <w:r>
        <w:rPr>
          <w:spacing w:val="-6"/>
        </w:rPr>
        <w:t> </w:t>
      </w:r>
      <w:r>
        <w:rPr/>
        <w:t>içerik</w:t>
      </w:r>
      <w:r>
        <w:rPr>
          <w:spacing w:val="-8"/>
        </w:rPr>
        <w:t> </w:t>
      </w:r>
      <w:r>
        <w:rPr/>
        <w:t>analizleri</w:t>
      </w:r>
      <w:r>
        <w:rPr>
          <w:spacing w:val="-3"/>
        </w:rPr>
        <w:t> </w:t>
      </w:r>
      <w:r>
        <w:rPr/>
        <w:t>(örn.</w:t>
      </w:r>
      <w:r>
        <w:rPr>
          <w:spacing w:val="-3"/>
        </w:rPr>
        <w:t> </w:t>
      </w:r>
      <w:r>
        <w:rPr/>
        <w:t>Goldberg</w:t>
      </w:r>
      <w:r>
        <w:rPr>
          <w:spacing w:val="-8"/>
        </w:rPr>
        <w:t> </w:t>
      </w:r>
      <w:r>
        <w:rPr/>
        <w:t>ve</w:t>
      </w:r>
      <w:r>
        <w:rPr>
          <w:spacing w:val="-7"/>
        </w:rPr>
        <w:t> </w:t>
      </w:r>
      <w:r>
        <w:rPr/>
        <w:t>Abrahams,</w:t>
      </w:r>
      <w:r>
        <w:rPr>
          <w:spacing w:val="-4"/>
        </w:rPr>
        <w:t> </w:t>
      </w:r>
      <w:r>
        <w:rPr/>
        <w:t>2018;</w:t>
      </w:r>
      <w:r>
        <w:rPr>
          <w:spacing w:val="-6"/>
        </w:rPr>
        <w:t> </w:t>
      </w:r>
      <w:r>
        <w:rPr/>
        <w:t>Wang</w:t>
      </w:r>
      <w:r>
        <w:rPr>
          <w:spacing w:val="-7"/>
        </w:rPr>
        <w:t> </w:t>
      </w:r>
      <w:r>
        <w:rPr/>
        <w:t>vd., 2019) ve faydalılığı üzerine yapılan analizler (örn. Lu vd., 2018; Ren ve Hong, 2019) literatürde</w:t>
      </w:r>
      <w:r>
        <w:rPr>
          <w:spacing w:val="-13"/>
        </w:rPr>
        <w:t> </w:t>
      </w:r>
      <w:r>
        <w:rPr/>
        <w:t>sıkça</w:t>
      </w:r>
      <w:r>
        <w:rPr>
          <w:spacing w:val="-13"/>
        </w:rPr>
        <w:t> </w:t>
      </w:r>
      <w:r>
        <w:rPr/>
        <w:t>karşılaşılan</w:t>
      </w:r>
      <w:r>
        <w:rPr>
          <w:spacing w:val="-12"/>
        </w:rPr>
        <w:t> </w:t>
      </w:r>
      <w:r>
        <w:rPr/>
        <w:t>bireysel</w:t>
      </w:r>
      <w:r>
        <w:rPr>
          <w:spacing w:val="-12"/>
        </w:rPr>
        <w:t> </w:t>
      </w:r>
      <w:r>
        <w:rPr/>
        <w:t>düzey</w:t>
      </w:r>
      <w:r>
        <w:rPr>
          <w:spacing w:val="-12"/>
        </w:rPr>
        <w:t> </w:t>
      </w:r>
      <w:r>
        <w:rPr/>
        <w:t>analiz</w:t>
      </w:r>
      <w:r>
        <w:rPr>
          <w:spacing w:val="-8"/>
        </w:rPr>
        <w:t> </w:t>
      </w:r>
      <w:r>
        <w:rPr/>
        <w:t>araştırmalarıdır.</w:t>
      </w:r>
      <w:r>
        <w:rPr>
          <w:spacing w:val="-13"/>
        </w:rPr>
        <w:t> </w:t>
      </w:r>
      <w:r>
        <w:rPr/>
        <w:t>Pazar</w:t>
      </w:r>
      <w:r>
        <w:rPr>
          <w:spacing w:val="-13"/>
        </w:rPr>
        <w:t> </w:t>
      </w:r>
      <w:r>
        <w:rPr/>
        <w:t>düzeyi</w:t>
      </w:r>
      <w:r>
        <w:rPr>
          <w:spacing w:val="-12"/>
        </w:rPr>
        <w:t> </w:t>
      </w:r>
      <w:r>
        <w:rPr/>
        <w:t>analiz</w:t>
      </w:r>
      <w:r>
        <w:rPr>
          <w:spacing w:val="-12"/>
        </w:rPr>
        <w:t> </w:t>
      </w:r>
      <w:r>
        <w:rPr/>
        <w:t>yapan araştırmalar</w:t>
      </w:r>
      <w:r>
        <w:rPr>
          <w:spacing w:val="22"/>
        </w:rPr>
        <w:t> </w:t>
      </w:r>
      <w:r>
        <w:rPr/>
        <w:t>ise,</w:t>
      </w:r>
      <w:r>
        <w:rPr>
          <w:spacing w:val="24"/>
        </w:rPr>
        <w:t> </w:t>
      </w:r>
      <w:r>
        <w:rPr/>
        <w:t>talebi</w:t>
      </w:r>
      <w:r>
        <w:rPr>
          <w:spacing w:val="24"/>
        </w:rPr>
        <w:t> </w:t>
      </w:r>
      <w:r>
        <w:rPr/>
        <w:t>yansıtan</w:t>
      </w:r>
      <w:r>
        <w:rPr>
          <w:spacing w:val="26"/>
        </w:rPr>
        <w:t> </w:t>
      </w:r>
      <w:r>
        <w:rPr/>
        <w:t>ürün</w:t>
      </w:r>
      <w:r>
        <w:rPr>
          <w:spacing w:val="23"/>
        </w:rPr>
        <w:t> </w:t>
      </w:r>
      <w:r>
        <w:rPr/>
        <w:t>satışları,</w:t>
      </w:r>
      <w:r>
        <w:rPr>
          <w:spacing w:val="24"/>
        </w:rPr>
        <w:t> </w:t>
      </w:r>
      <w:r>
        <w:rPr/>
        <w:t>gişe</w:t>
      </w:r>
      <w:r>
        <w:rPr>
          <w:spacing w:val="23"/>
        </w:rPr>
        <w:t> </w:t>
      </w:r>
      <w:r>
        <w:rPr/>
        <w:t>hasılatları,</w:t>
      </w:r>
      <w:r>
        <w:rPr>
          <w:spacing w:val="23"/>
        </w:rPr>
        <w:t> </w:t>
      </w:r>
      <w:r>
        <w:rPr/>
        <w:t>indirilme</w:t>
      </w:r>
      <w:r>
        <w:rPr>
          <w:spacing w:val="25"/>
        </w:rPr>
        <w:t> </w:t>
      </w:r>
      <w:r>
        <w:rPr/>
        <w:t>(download)</w:t>
      </w:r>
      <w:r>
        <w:rPr>
          <w:spacing w:val="22"/>
        </w:rPr>
        <w:t> </w:t>
      </w:r>
      <w:r>
        <w:rPr/>
        <w:t>sayısı</w:t>
      </w:r>
    </w:p>
    <w:p>
      <w:pPr>
        <w:spacing w:after="0" w:line="360" w:lineRule="auto"/>
        <w:sectPr>
          <w:pgSz w:w="12240" w:h="15840"/>
          <w:pgMar w:header="718" w:footer="0" w:top="1300" w:bottom="280" w:left="1720" w:right="820"/>
        </w:sectPr>
      </w:pPr>
    </w:p>
    <w:p>
      <w:pPr>
        <w:pStyle w:val="BodyText"/>
        <w:spacing w:line="360" w:lineRule="auto" w:before="100"/>
        <w:jc w:val="left"/>
      </w:pPr>
      <w:r>
        <w:rPr/>
        <w:t>gibi pazar düzeyi parametrelerine odaklanmaktadır (örn. Suryadi ve Kim, 2018; Hashim vd., 2019).</w:t>
      </w:r>
    </w:p>
    <w:p>
      <w:pPr>
        <w:pStyle w:val="BodyText"/>
        <w:spacing w:line="360" w:lineRule="auto" w:before="1"/>
        <w:ind w:right="309" w:firstLine="708"/>
      </w:pPr>
      <w:r>
        <w:rPr/>
        <w:t>Pazar düzeyi araştırmalarda, genellikle, elektronik ağızdan ağıza iletişimin hacim (volume)</w:t>
      </w:r>
      <w:r>
        <w:rPr>
          <w:spacing w:val="-16"/>
        </w:rPr>
        <w:t> </w:t>
      </w:r>
      <w:r>
        <w:rPr/>
        <w:t>ve</w:t>
      </w:r>
      <w:r>
        <w:rPr>
          <w:spacing w:val="-15"/>
        </w:rPr>
        <w:t> </w:t>
      </w:r>
      <w:r>
        <w:rPr/>
        <w:t>değerlik</w:t>
      </w:r>
      <w:r>
        <w:rPr>
          <w:spacing w:val="-13"/>
        </w:rPr>
        <w:t> </w:t>
      </w:r>
      <w:r>
        <w:rPr/>
        <w:t>(valence)</w:t>
      </w:r>
      <w:r>
        <w:rPr>
          <w:spacing w:val="-15"/>
        </w:rPr>
        <w:t> </w:t>
      </w:r>
      <w:r>
        <w:rPr/>
        <w:t>özelliklerine</w:t>
      </w:r>
      <w:r>
        <w:rPr>
          <w:spacing w:val="-15"/>
        </w:rPr>
        <w:t> </w:t>
      </w:r>
      <w:r>
        <w:rPr/>
        <w:t>odaklanılmaktadır.</w:t>
      </w:r>
      <w:r>
        <w:rPr>
          <w:spacing w:val="-13"/>
        </w:rPr>
        <w:t> </w:t>
      </w:r>
      <w:r>
        <w:rPr/>
        <w:t>Hacim,</w:t>
      </w:r>
      <w:r>
        <w:rPr>
          <w:spacing w:val="-14"/>
        </w:rPr>
        <w:t> </w:t>
      </w:r>
      <w:r>
        <w:rPr/>
        <w:t>tüketici</w:t>
      </w:r>
      <w:r>
        <w:rPr>
          <w:spacing w:val="-14"/>
        </w:rPr>
        <w:t> </w:t>
      </w:r>
      <w:r>
        <w:rPr/>
        <w:t>yorumlarının sayısı gibi elektronik ağızdan ağıza iletişim mesajlarının miktarını ifade etmektedir. Hacim ne</w:t>
      </w:r>
      <w:r>
        <w:rPr>
          <w:spacing w:val="-7"/>
        </w:rPr>
        <w:t> </w:t>
      </w:r>
      <w:r>
        <w:rPr/>
        <w:t>kadar</w:t>
      </w:r>
      <w:r>
        <w:rPr>
          <w:spacing w:val="-7"/>
        </w:rPr>
        <w:t> </w:t>
      </w:r>
      <w:r>
        <w:rPr/>
        <w:t>büyükse</w:t>
      </w:r>
      <w:r>
        <w:rPr>
          <w:spacing w:val="-6"/>
        </w:rPr>
        <w:t> </w:t>
      </w:r>
      <w:r>
        <w:rPr/>
        <w:t>tüketicilerin</w:t>
      </w:r>
      <w:r>
        <w:rPr>
          <w:spacing w:val="-6"/>
        </w:rPr>
        <w:t> </w:t>
      </w:r>
      <w:r>
        <w:rPr/>
        <w:t>ürün</w:t>
      </w:r>
      <w:r>
        <w:rPr>
          <w:spacing w:val="-7"/>
        </w:rPr>
        <w:t> </w:t>
      </w:r>
      <w:r>
        <w:rPr/>
        <w:t>hakkında</w:t>
      </w:r>
      <w:r>
        <w:rPr>
          <w:spacing w:val="-6"/>
        </w:rPr>
        <w:t> </w:t>
      </w:r>
      <w:r>
        <w:rPr/>
        <w:t>bir</w:t>
      </w:r>
      <w:r>
        <w:rPr>
          <w:spacing w:val="-4"/>
        </w:rPr>
        <w:t> </w:t>
      </w:r>
      <w:r>
        <w:rPr/>
        <w:t>şeyler</w:t>
      </w:r>
      <w:r>
        <w:rPr>
          <w:spacing w:val="-7"/>
        </w:rPr>
        <w:t> </w:t>
      </w:r>
      <w:r>
        <w:rPr/>
        <w:t>duyması,</w:t>
      </w:r>
      <w:r>
        <w:rPr>
          <w:spacing w:val="-6"/>
        </w:rPr>
        <w:t> </w:t>
      </w:r>
      <w:r>
        <w:rPr/>
        <w:t>farkındalıklarının</w:t>
      </w:r>
      <w:r>
        <w:rPr>
          <w:spacing w:val="-6"/>
        </w:rPr>
        <w:t> </w:t>
      </w:r>
      <w:r>
        <w:rPr/>
        <w:t>oluşması ve artması ve ürüne talep göstermeleri olasılığı da o kadar büyüktür (Chen vd., 2004). Bu nedenle, literatürde, tüketici yorumlarının sayısının fazla olmasıyla ürün satışları arasında pozitif ilişki olduğu varsayılmaktadır. Literatürdeki çalışmaların çoğunluğu bu varsayımı doğrulamakla</w:t>
      </w:r>
      <w:r>
        <w:rPr>
          <w:spacing w:val="-7"/>
        </w:rPr>
        <w:t> </w:t>
      </w:r>
      <w:r>
        <w:rPr/>
        <w:t>birlikte</w:t>
      </w:r>
      <w:r>
        <w:rPr>
          <w:spacing w:val="-6"/>
        </w:rPr>
        <w:t> </w:t>
      </w:r>
      <w:r>
        <w:rPr/>
        <w:t>(örn.</w:t>
      </w:r>
      <w:r>
        <w:rPr>
          <w:spacing w:val="-5"/>
        </w:rPr>
        <w:t> </w:t>
      </w:r>
      <w:r>
        <w:rPr/>
        <w:t>Fink</w:t>
      </w:r>
      <w:r>
        <w:rPr>
          <w:spacing w:val="-5"/>
        </w:rPr>
        <w:t> </w:t>
      </w:r>
      <w:r>
        <w:rPr/>
        <w:t>vd.,</w:t>
      </w:r>
      <w:r>
        <w:rPr>
          <w:spacing w:val="-6"/>
        </w:rPr>
        <w:t> </w:t>
      </w:r>
      <w:r>
        <w:rPr/>
        <w:t>2018;</w:t>
      </w:r>
      <w:r>
        <w:rPr>
          <w:spacing w:val="-5"/>
        </w:rPr>
        <w:t> </w:t>
      </w:r>
      <w:r>
        <w:rPr/>
        <w:t>Bao</w:t>
      </w:r>
      <w:r>
        <w:rPr>
          <w:spacing w:val="-6"/>
        </w:rPr>
        <w:t> </w:t>
      </w:r>
      <w:r>
        <w:rPr/>
        <w:t>vd.,</w:t>
      </w:r>
      <w:r>
        <w:rPr>
          <w:spacing w:val="-5"/>
        </w:rPr>
        <w:t> </w:t>
      </w:r>
      <w:r>
        <w:rPr/>
        <w:t>2019),</w:t>
      </w:r>
      <w:r>
        <w:rPr>
          <w:spacing w:val="-6"/>
        </w:rPr>
        <w:t> </w:t>
      </w:r>
      <w:r>
        <w:rPr/>
        <w:t>az</w:t>
      </w:r>
      <w:r>
        <w:rPr>
          <w:spacing w:val="-6"/>
        </w:rPr>
        <w:t> </w:t>
      </w:r>
      <w:r>
        <w:rPr/>
        <w:t>sayıdaki</w:t>
      </w:r>
      <w:r>
        <w:rPr>
          <w:spacing w:val="-5"/>
        </w:rPr>
        <w:t> </w:t>
      </w:r>
      <w:r>
        <w:rPr/>
        <w:t>çalışma</w:t>
      </w:r>
      <w:r>
        <w:rPr>
          <w:spacing w:val="-7"/>
        </w:rPr>
        <w:t> </w:t>
      </w:r>
      <w:r>
        <w:rPr/>
        <w:t>bu</w:t>
      </w:r>
      <w:r>
        <w:rPr>
          <w:spacing w:val="-5"/>
        </w:rPr>
        <w:t> </w:t>
      </w:r>
      <w:r>
        <w:rPr/>
        <w:t>varsayımı desteklememektedir (örn. Hu vd., 2011; Gopinath vd.,</w:t>
      </w:r>
      <w:r>
        <w:rPr>
          <w:spacing w:val="2"/>
        </w:rPr>
        <w:t> </w:t>
      </w:r>
      <w:r>
        <w:rPr/>
        <w:t>2014).</w:t>
      </w:r>
    </w:p>
    <w:p>
      <w:pPr>
        <w:pStyle w:val="BodyText"/>
        <w:spacing w:line="360" w:lineRule="auto"/>
        <w:ind w:right="309" w:firstLine="708"/>
      </w:pPr>
      <w:r>
        <w:rPr/>
        <w:t>Değerlik ise, tüketici yorumlarının içeriğinin olumlu, olumsuz ya da nötr olması, tüketicilerin beğenilerini yansıtan değerlendirme puanları, bu puanların dağılımı ve ortalaması gibi öğeleri kapsamaktadır. Pazar düzeyi analiz yapan araştırmaların çoğu değerlik ölçütü olarak sadece değerlendirme puanlarının ortalamasını kullanmakta ve ortalamanın ürün satışları ile ilişkili olduğunu varsaymaktadır. Bu varsayımı destekleyen çalışmalar olmakla birlikte (örn. Li ve Shimizu, 2018; Bao vd., 2019), değerlik ile satış miktarı arasında ilişki tespit edememiş çalışmalar da mevcuttur (örn. Bharadwaj vd., 2017; Cao vd., 2018). Puan ortalamasının yanı sıra tüketici yorumlarının içeriğini de analizlerinde kullanan çalışmalar bulunmaktadır. Literatürde, olumlu yorumların satışları olumlu etkilediği, olumsuz yorumların da satışları olumsuz etkilediği varsayılmaktadır (Moen vd., 2017). Bu varsayım doğrultusunda, olumlu yorumların (örn. Cui vd., 2012; Suryadi ve</w:t>
      </w:r>
      <w:r>
        <w:rPr>
          <w:spacing w:val="-34"/>
        </w:rPr>
        <w:t> </w:t>
      </w:r>
      <w:r>
        <w:rPr/>
        <w:t>Kim, 2018) ve olumsuz yorumların (örn. Jabr ve Zheng, 2014; Suryadi ve Kim, 2018) etkisini onaylayan çalışmalar bulunmaktadır. Godes ve Mayzlin (2004) çalışmalarında, olumlu ve olumsuz yorumların ikisinin de satışlar üzerinde etkisi olmadığı sonucuna ulaşmışlardır. Yorumlar içerik olarak uç noktalarda olabileceği gibi hem olumlu hem de olumsuz içerik barındırarak orta noktada da olabilmektedir. Nötr yorum olarak adlandırılan bu yorumlar araştırmalarda genellikle göz ardı edilmektedir. Fakat, az sayıda da olsa nötr yorumlar ile satışlar arasında ilişki olduğunu tespit etmiş çalışmalar mevcuttur (örn. Sonnier vd., 2011; Tang vd.,</w:t>
      </w:r>
      <w:r>
        <w:rPr>
          <w:spacing w:val="-1"/>
        </w:rPr>
        <w:t> </w:t>
      </w:r>
      <w:r>
        <w:rPr/>
        <w:t>2014).</w:t>
      </w:r>
    </w:p>
    <w:p>
      <w:pPr>
        <w:spacing w:after="0" w:line="360" w:lineRule="auto"/>
        <w:sectPr>
          <w:pgSz w:w="12240" w:h="15840"/>
          <w:pgMar w:header="718" w:footer="0" w:top="1300" w:bottom="280" w:left="1720" w:right="820"/>
        </w:sectPr>
      </w:pPr>
    </w:p>
    <w:p>
      <w:pPr>
        <w:pStyle w:val="BodyText"/>
        <w:spacing w:line="360" w:lineRule="auto" w:before="100"/>
        <w:ind w:right="308" w:firstLine="708"/>
        <w:jc w:val="right"/>
      </w:pPr>
      <w:r>
        <w:rPr/>
        <w:t>Tüketicilerin</w:t>
      </w:r>
      <w:r>
        <w:rPr>
          <w:spacing w:val="15"/>
        </w:rPr>
        <w:t> </w:t>
      </w:r>
      <w:r>
        <w:rPr/>
        <w:t>alışveriş</w:t>
      </w:r>
      <w:r>
        <w:rPr>
          <w:spacing w:val="15"/>
        </w:rPr>
        <w:t> </w:t>
      </w:r>
      <w:r>
        <w:rPr/>
        <w:t>sürecinde</w:t>
      </w:r>
      <w:r>
        <w:rPr>
          <w:spacing w:val="16"/>
        </w:rPr>
        <w:t> </w:t>
      </w:r>
      <w:r>
        <w:rPr/>
        <w:t>aradıkları</w:t>
      </w:r>
      <w:r>
        <w:rPr>
          <w:spacing w:val="15"/>
        </w:rPr>
        <w:t> </w:t>
      </w:r>
      <w:r>
        <w:rPr/>
        <w:t>bilgi</w:t>
      </w:r>
      <w:r>
        <w:rPr>
          <w:spacing w:val="16"/>
        </w:rPr>
        <w:t> </w:t>
      </w:r>
      <w:r>
        <w:rPr/>
        <w:t>düzeyi</w:t>
      </w:r>
      <w:r>
        <w:rPr>
          <w:spacing w:val="17"/>
        </w:rPr>
        <w:t> </w:t>
      </w:r>
      <w:r>
        <w:rPr/>
        <w:t>ürün</w:t>
      </w:r>
      <w:r>
        <w:rPr>
          <w:spacing w:val="15"/>
        </w:rPr>
        <w:t> </w:t>
      </w:r>
      <w:r>
        <w:rPr/>
        <w:t>özelliklerine</w:t>
      </w:r>
      <w:r>
        <w:rPr>
          <w:spacing w:val="15"/>
        </w:rPr>
        <w:t> </w:t>
      </w:r>
      <w:r>
        <w:rPr/>
        <w:t>göre farklılık</w:t>
      </w:r>
      <w:r>
        <w:rPr>
          <w:spacing w:val="-14"/>
        </w:rPr>
        <w:t> </w:t>
      </w:r>
      <w:r>
        <w:rPr/>
        <w:t>göstermekte</w:t>
      </w:r>
      <w:r>
        <w:rPr>
          <w:spacing w:val="-12"/>
        </w:rPr>
        <w:t> </w:t>
      </w:r>
      <w:r>
        <w:rPr/>
        <w:t>ve</w:t>
      </w:r>
      <w:r>
        <w:rPr>
          <w:spacing w:val="-14"/>
        </w:rPr>
        <w:t> </w:t>
      </w:r>
      <w:r>
        <w:rPr/>
        <w:t>bu</w:t>
      </w:r>
      <w:r>
        <w:rPr>
          <w:spacing w:val="-13"/>
        </w:rPr>
        <w:t> </w:t>
      </w:r>
      <w:r>
        <w:rPr/>
        <w:t>nedenle</w:t>
      </w:r>
      <w:r>
        <w:rPr>
          <w:spacing w:val="-12"/>
        </w:rPr>
        <w:t> </w:t>
      </w:r>
      <w:r>
        <w:rPr/>
        <w:t>ürün</w:t>
      </w:r>
      <w:r>
        <w:rPr>
          <w:spacing w:val="-14"/>
        </w:rPr>
        <w:t> </w:t>
      </w:r>
      <w:r>
        <w:rPr/>
        <w:t>özellikleri</w:t>
      </w:r>
      <w:r>
        <w:rPr>
          <w:spacing w:val="-12"/>
        </w:rPr>
        <w:t> </w:t>
      </w:r>
      <w:r>
        <w:rPr/>
        <w:t>yorum</w:t>
      </w:r>
      <w:r>
        <w:rPr>
          <w:spacing w:val="-14"/>
        </w:rPr>
        <w:t> </w:t>
      </w:r>
      <w:r>
        <w:rPr/>
        <w:t>ile</w:t>
      </w:r>
      <w:r>
        <w:rPr>
          <w:spacing w:val="-11"/>
        </w:rPr>
        <w:t> </w:t>
      </w:r>
      <w:r>
        <w:rPr/>
        <w:t>satış</w:t>
      </w:r>
      <w:r>
        <w:rPr>
          <w:spacing w:val="-13"/>
        </w:rPr>
        <w:t> </w:t>
      </w:r>
      <w:r>
        <w:rPr/>
        <w:t>miktarı</w:t>
      </w:r>
      <w:r>
        <w:rPr>
          <w:spacing w:val="-12"/>
        </w:rPr>
        <w:t> </w:t>
      </w:r>
      <w:r>
        <w:rPr/>
        <w:t>arasındaki</w:t>
      </w:r>
      <w:r>
        <w:rPr>
          <w:spacing w:val="-13"/>
        </w:rPr>
        <w:t> </w:t>
      </w:r>
      <w:r>
        <w:rPr/>
        <w:t>ilişkide rol oynamaktadır (You vd., 2015). Hacim ve değerlik ile satışlar arasındaki</w:t>
      </w:r>
      <w:r>
        <w:rPr>
          <w:spacing w:val="-11"/>
        </w:rPr>
        <w:t> </w:t>
      </w:r>
      <w:r>
        <w:rPr/>
        <w:t>ilişkinin</w:t>
      </w:r>
      <w:r>
        <w:rPr>
          <w:spacing w:val="20"/>
        </w:rPr>
        <w:t> </w:t>
      </w:r>
      <w:r>
        <w:rPr/>
        <w:t>ürün kategorilerine göre farklılaşıp farklılaşmadığını araştıran araştırmalar</w:t>
      </w:r>
      <w:r>
        <w:rPr>
          <w:spacing w:val="-31"/>
        </w:rPr>
        <w:t> </w:t>
      </w:r>
      <w:r>
        <w:rPr/>
        <w:t>mevcuttur.</w:t>
      </w:r>
      <w:r>
        <w:rPr>
          <w:spacing w:val="25"/>
        </w:rPr>
        <w:t> </w:t>
      </w:r>
      <w:r>
        <w:rPr/>
        <w:t>Örneğin, Davis</w:t>
      </w:r>
      <w:r>
        <w:rPr>
          <w:spacing w:val="-7"/>
        </w:rPr>
        <w:t> </w:t>
      </w:r>
      <w:r>
        <w:rPr/>
        <w:t>ve</w:t>
      </w:r>
      <w:r>
        <w:rPr>
          <w:spacing w:val="-7"/>
        </w:rPr>
        <w:t> </w:t>
      </w:r>
      <w:r>
        <w:rPr/>
        <w:t>Khazanchi</w:t>
      </w:r>
      <w:r>
        <w:rPr>
          <w:spacing w:val="-6"/>
        </w:rPr>
        <w:t> </w:t>
      </w:r>
      <w:r>
        <w:rPr/>
        <w:t>(2008),</w:t>
      </w:r>
      <w:r>
        <w:rPr>
          <w:spacing w:val="-7"/>
        </w:rPr>
        <w:t> </w:t>
      </w:r>
      <w:r>
        <w:rPr/>
        <w:t>Ghose</w:t>
      </w:r>
      <w:r>
        <w:rPr>
          <w:spacing w:val="-8"/>
        </w:rPr>
        <w:t> </w:t>
      </w:r>
      <w:r>
        <w:rPr/>
        <w:t>ve</w:t>
      </w:r>
      <w:r>
        <w:rPr>
          <w:spacing w:val="-7"/>
        </w:rPr>
        <w:t> </w:t>
      </w:r>
      <w:r>
        <w:rPr/>
        <w:t>Ipeirotis</w:t>
      </w:r>
      <w:r>
        <w:rPr>
          <w:spacing w:val="-3"/>
        </w:rPr>
        <w:t> </w:t>
      </w:r>
      <w:r>
        <w:rPr/>
        <w:t>(2011)</w:t>
      </w:r>
      <w:r>
        <w:rPr>
          <w:spacing w:val="-7"/>
        </w:rPr>
        <w:t> </w:t>
      </w:r>
      <w:r>
        <w:rPr/>
        <w:t>ve</w:t>
      </w:r>
      <w:r>
        <w:rPr>
          <w:spacing w:val="-8"/>
        </w:rPr>
        <w:t> </w:t>
      </w:r>
      <w:r>
        <w:rPr/>
        <w:t>Li</w:t>
      </w:r>
      <w:r>
        <w:rPr>
          <w:spacing w:val="-6"/>
        </w:rPr>
        <w:t> </w:t>
      </w:r>
      <w:r>
        <w:rPr/>
        <w:t>vd.</w:t>
      </w:r>
      <w:r>
        <w:rPr>
          <w:spacing w:val="-6"/>
        </w:rPr>
        <w:t> </w:t>
      </w:r>
      <w:r>
        <w:rPr/>
        <w:t>(2016)</w:t>
      </w:r>
      <w:r>
        <w:rPr>
          <w:spacing w:val="-7"/>
        </w:rPr>
        <w:t> </w:t>
      </w:r>
      <w:r>
        <w:rPr/>
        <w:t>yorum</w:t>
      </w:r>
      <w:r>
        <w:rPr>
          <w:spacing w:val="-7"/>
        </w:rPr>
        <w:t> </w:t>
      </w:r>
      <w:r>
        <w:rPr/>
        <w:t>sayısının</w:t>
      </w:r>
      <w:r>
        <w:rPr>
          <w:spacing w:val="-7"/>
        </w:rPr>
        <w:t> </w:t>
      </w:r>
      <w:r>
        <w:rPr/>
        <w:t>satış miktarı</w:t>
      </w:r>
      <w:r>
        <w:rPr>
          <w:spacing w:val="-16"/>
        </w:rPr>
        <w:t> </w:t>
      </w:r>
      <w:r>
        <w:rPr/>
        <w:t>üzerine</w:t>
      </w:r>
      <w:r>
        <w:rPr>
          <w:spacing w:val="-16"/>
        </w:rPr>
        <w:t> </w:t>
      </w:r>
      <w:r>
        <w:rPr/>
        <w:t>etkisinin</w:t>
      </w:r>
      <w:r>
        <w:rPr>
          <w:spacing w:val="-17"/>
        </w:rPr>
        <w:t> </w:t>
      </w:r>
      <w:r>
        <w:rPr/>
        <w:t>ürün</w:t>
      </w:r>
      <w:r>
        <w:rPr>
          <w:spacing w:val="-18"/>
        </w:rPr>
        <w:t> </w:t>
      </w:r>
      <w:r>
        <w:rPr/>
        <w:t>kategorilerine</w:t>
      </w:r>
      <w:r>
        <w:rPr>
          <w:spacing w:val="-17"/>
        </w:rPr>
        <w:t> </w:t>
      </w:r>
      <w:r>
        <w:rPr/>
        <w:t>göre</w:t>
      </w:r>
      <w:r>
        <w:rPr>
          <w:spacing w:val="-18"/>
        </w:rPr>
        <w:t> </w:t>
      </w:r>
      <w:r>
        <w:rPr/>
        <w:t>farklılaştığını</w:t>
      </w:r>
      <w:r>
        <w:rPr>
          <w:spacing w:val="-16"/>
        </w:rPr>
        <w:t> </w:t>
      </w:r>
      <w:r>
        <w:rPr/>
        <w:t>bulmuşlardır.</w:t>
      </w:r>
      <w:r>
        <w:rPr>
          <w:spacing w:val="-13"/>
        </w:rPr>
        <w:t> </w:t>
      </w:r>
      <w:r>
        <w:rPr/>
        <w:t>Benzer</w:t>
      </w:r>
      <w:r>
        <w:rPr>
          <w:spacing w:val="-17"/>
        </w:rPr>
        <w:t> </w:t>
      </w:r>
      <w:r>
        <w:rPr/>
        <w:t>şekilde, değerlendirme puanlarının ortalamasının (örn. Cui vd., 2012; Moen vd., 2017),</w:t>
      </w:r>
      <w:r>
        <w:rPr>
          <w:spacing w:val="20"/>
        </w:rPr>
        <w:t> </w:t>
      </w:r>
      <w:r>
        <w:rPr/>
        <w:t>olumlu</w:t>
      </w:r>
      <w:r>
        <w:rPr>
          <w:spacing w:val="20"/>
        </w:rPr>
        <w:t> </w:t>
      </w:r>
      <w:r>
        <w:rPr/>
        <w:t>ve olumsuz yorumların (örn. Li ve Shimizu, 2018) ve nötr yorumların (Tang vd.,</w:t>
      </w:r>
      <w:r>
        <w:rPr>
          <w:spacing w:val="-11"/>
        </w:rPr>
        <w:t> </w:t>
      </w:r>
      <w:r>
        <w:rPr/>
        <w:t>2014)</w:t>
      </w:r>
      <w:r>
        <w:rPr>
          <w:spacing w:val="-1"/>
        </w:rPr>
        <w:t> </w:t>
      </w:r>
      <w:r>
        <w:rPr/>
        <w:t>satışlar</w:t>
      </w:r>
      <w:r>
        <w:rPr>
          <w:spacing w:val="-1"/>
        </w:rPr>
        <w:t> </w:t>
      </w:r>
      <w:r>
        <w:rPr/>
        <w:t>üzerine</w:t>
      </w:r>
      <w:r>
        <w:rPr>
          <w:spacing w:val="-8"/>
        </w:rPr>
        <w:t> </w:t>
      </w:r>
      <w:r>
        <w:rPr/>
        <w:t>etkisinin</w:t>
      </w:r>
      <w:r>
        <w:rPr>
          <w:spacing w:val="-10"/>
        </w:rPr>
        <w:t> </w:t>
      </w:r>
      <w:r>
        <w:rPr/>
        <w:t>ürün</w:t>
      </w:r>
      <w:r>
        <w:rPr>
          <w:spacing w:val="-10"/>
        </w:rPr>
        <w:t> </w:t>
      </w:r>
      <w:r>
        <w:rPr/>
        <w:t>kategorilerine</w:t>
      </w:r>
      <w:r>
        <w:rPr>
          <w:spacing w:val="-11"/>
        </w:rPr>
        <w:t> </w:t>
      </w:r>
      <w:r>
        <w:rPr/>
        <w:t>göre</w:t>
      </w:r>
      <w:r>
        <w:rPr>
          <w:spacing w:val="-11"/>
        </w:rPr>
        <w:t> </w:t>
      </w:r>
      <w:r>
        <w:rPr/>
        <w:t>farklılaştığını</w:t>
      </w:r>
      <w:r>
        <w:rPr>
          <w:spacing w:val="-9"/>
        </w:rPr>
        <w:t> </w:t>
      </w:r>
      <w:r>
        <w:rPr/>
        <w:t>tespit</w:t>
      </w:r>
      <w:r>
        <w:rPr>
          <w:spacing w:val="-6"/>
        </w:rPr>
        <w:t> </w:t>
      </w:r>
      <w:r>
        <w:rPr/>
        <w:t>etmiş</w:t>
      </w:r>
      <w:r>
        <w:rPr>
          <w:spacing w:val="-9"/>
        </w:rPr>
        <w:t> </w:t>
      </w:r>
      <w:r>
        <w:rPr/>
        <w:t>çalışmalar</w:t>
      </w:r>
      <w:r>
        <w:rPr>
          <w:spacing w:val="-10"/>
        </w:rPr>
        <w:t> </w:t>
      </w:r>
      <w:r>
        <w:rPr/>
        <w:t>da</w:t>
      </w:r>
      <w:r>
        <w:rPr>
          <w:spacing w:val="-10"/>
        </w:rPr>
        <w:t> </w:t>
      </w:r>
      <w:r>
        <w:rPr/>
        <w:t>mevcuttur. Yukarıda bahsedildiği gibi yorumların hacim ve değerlik özellikleri</w:t>
      </w:r>
      <w:r>
        <w:rPr>
          <w:spacing w:val="26"/>
        </w:rPr>
        <w:t> </w:t>
      </w:r>
      <w:r>
        <w:rPr/>
        <w:t>ile</w:t>
      </w:r>
      <w:r>
        <w:rPr>
          <w:spacing w:val="2"/>
        </w:rPr>
        <w:t> </w:t>
      </w:r>
      <w:r>
        <w:rPr/>
        <w:t>satışlar</w:t>
      </w:r>
      <w:r>
        <w:rPr>
          <w:spacing w:val="-1"/>
        </w:rPr>
        <w:t> </w:t>
      </w:r>
      <w:r>
        <w:rPr/>
        <w:t>arasındaki ilişkiyi irdeleyen ve bu ilişkiyi farklı ürün kategorileri</w:t>
      </w:r>
      <w:r>
        <w:rPr>
          <w:spacing w:val="55"/>
        </w:rPr>
        <w:t> </w:t>
      </w:r>
      <w:r>
        <w:rPr/>
        <w:t>arasında</w:t>
      </w:r>
      <w:r>
        <w:rPr>
          <w:spacing w:val="45"/>
        </w:rPr>
        <w:t> </w:t>
      </w:r>
      <w:r>
        <w:rPr/>
        <w:t>kıyaslayarak inceleyen çalışmalar mevcuttur. Ancak, literatürde, hacim ve tüm</w:t>
      </w:r>
      <w:r>
        <w:rPr>
          <w:spacing w:val="3"/>
        </w:rPr>
        <w:t> </w:t>
      </w:r>
      <w:r>
        <w:rPr/>
        <w:t>değerlik</w:t>
      </w:r>
      <w:r>
        <w:rPr>
          <w:spacing w:val="53"/>
        </w:rPr>
        <w:t> </w:t>
      </w:r>
      <w:r>
        <w:rPr/>
        <w:t>özelliklerini (yorum</w:t>
      </w:r>
      <w:r>
        <w:rPr>
          <w:spacing w:val="28"/>
        </w:rPr>
        <w:t> </w:t>
      </w:r>
      <w:r>
        <w:rPr/>
        <w:t>sayısı,</w:t>
      </w:r>
      <w:r>
        <w:rPr>
          <w:spacing w:val="27"/>
        </w:rPr>
        <w:t> </w:t>
      </w:r>
      <w:r>
        <w:rPr/>
        <w:t>ortalama</w:t>
      </w:r>
      <w:r>
        <w:rPr>
          <w:spacing w:val="26"/>
        </w:rPr>
        <w:t> </w:t>
      </w:r>
      <w:r>
        <w:rPr/>
        <w:t>puan,</w:t>
      </w:r>
      <w:r>
        <w:rPr>
          <w:spacing w:val="27"/>
        </w:rPr>
        <w:t> </w:t>
      </w:r>
      <w:r>
        <w:rPr/>
        <w:t>olumlu</w:t>
      </w:r>
      <w:r>
        <w:rPr>
          <w:spacing w:val="28"/>
        </w:rPr>
        <w:t> </w:t>
      </w:r>
      <w:r>
        <w:rPr/>
        <w:t>yorum,</w:t>
      </w:r>
      <w:r>
        <w:rPr>
          <w:spacing w:val="27"/>
        </w:rPr>
        <w:t> </w:t>
      </w:r>
      <w:r>
        <w:rPr/>
        <w:t>olumsuz</w:t>
      </w:r>
      <w:r>
        <w:rPr>
          <w:spacing w:val="27"/>
        </w:rPr>
        <w:t> </w:t>
      </w:r>
      <w:r>
        <w:rPr/>
        <w:t>yorum</w:t>
      </w:r>
      <w:r>
        <w:rPr>
          <w:spacing w:val="27"/>
        </w:rPr>
        <w:t> </w:t>
      </w:r>
      <w:r>
        <w:rPr/>
        <w:t>ve</w:t>
      </w:r>
      <w:r>
        <w:rPr>
          <w:spacing w:val="26"/>
        </w:rPr>
        <w:t> </w:t>
      </w:r>
      <w:r>
        <w:rPr/>
        <w:t>nötr</w:t>
      </w:r>
      <w:r>
        <w:rPr>
          <w:spacing w:val="27"/>
        </w:rPr>
        <w:t> </w:t>
      </w:r>
      <w:r>
        <w:rPr/>
        <w:t>yorum)</w:t>
      </w:r>
      <w:r>
        <w:rPr>
          <w:spacing w:val="26"/>
        </w:rPr>
        <w:t> </w:t>
      </w:r>
      <w:r>
        <w:rPr/>
        <w:t>birlikte</w:t>
      </w:r>
      <w:r>
        <w:rPr>
          <w:spacing w:val="28"/>
        </w:rPr>
        <w:t> </w:t>
      </w:r>
      <w:r>
        <w:rPr/>
        <w:t>ele alarak,</w:t>
      </w:r>
      <w:r>
        <w:rPr>
          <w:spacing w:val="-11"/>
        </w:rPr>
        <w:t> </w:t>
      </w:r>
      <w:r>
        <w:rPr/>
        <w:t>tüketici</w:t>
      </w:r>
      <w:r>
        <w:rPr>
          <w:spacing w:val="-10"/>
        </w:rPr>
        <w:t> </w:t>
      </w:r>
      <w:r>
        <w:rPr/>
        <w:t>yorumları</w:t>
      </w:r>
      <w:r>
        <w:rPr>
          <w:spacing w:val="-8"/>
        </w:rPr>
        <w:t> </w:t>
      </w:r>
      <w:r>
        <w:rPr/>
        <w:t>ile</w:t>
      </w:r>
      <w:r>
        <w:rPr>
          <w:spacing w:val="-11"/>
        </w:rPr>
        <w:t> </w:t>
      </w:r>
      <w:r>
        <w:rPr/>
        <w:t>ürün</w:t>
      </w:r>
      <w:r>
        <w:rPr>
          <w:spacing w:val="-10"/>
        </w:rPr>
        <w:t> </w:t>
      </w:r>
      <w:r>
        <w:rPr/>
        <w:t>satışları</w:t>
      </w:r>
      <w:r>
        <w:rPr>
          <w:spacing w:val="-9"/>
        </w:rPr>
        <w:t> </w:t>
      </w:r>
      <w:r>
        <w:rPr/>
        <w:t>arasındaki</w:t>
      </w:r>
      <w:r>
        <w:rPr>
          <w:spacing w:val="-11"/>
        </w:rPr>
        <w:t> </w:t>
      </w:r>
      <w:r>
        <w:rPr/>
        <w:t>ilişkiyi</w:t>
      </w:r>
      <w:r>
        <w:rPr>
          <w:spacing w:val="-9"/>
        </w:rPr>
        <w:t> </w:t>
      </w:r>
      <w:r>
        <w:rPr/>
        <w:t>ve</w:t>
      </w:r>
      <w:r>
        <w:rPr>
          <w:spacing w:val="-11"/>
        </w:rPr>
        <w:t> </w:t>
      </w:r>
      <w:r>
        <w:rPr/>
        <w:t>bu</w:t>
      </w:r>
      <w:r>
        <w:rPr>
          <w:spacing w:val="-13"/>
        </w:rPr>
        <w:t> </w:t>
      </w:r>
      <w:r>
        <w:rPr/>
        <w:t>ilişkinin</w:t>
      </w:r>
      <w:r>
        <w:rPr>
          <w:spacing w:val="-12"/>
        </w:rPr>
        <w:t> </w:t>
      </w:r>
      <w:r>
        <w:rPr/>
        <w:t>birden</w:t>
      </w:r>
      <w:r>
        <w:rPr>
          <w:spacing w:val="-10"/>
        </w:rPr>
        <w:t> </w:t>
      </w:r>
      <w:r>
        <w:rPr/>
        <w:t>fazla</w:t>
      </w:r>
      <w:r>
        <w:rPr>
          <w:spacing w:val="-10"/>
        </w:rPr>
        <w:t> </w:t>
      </w:r>
      <w:r>
        <w:rPr/>
        <w:t>ürün kategorisinde ne düzeyde farklılaştığını inceleyen bir çalışma ile</w:t>
      </w:r>
      <w:r>
        <w:rPr>
          <w:spacing w:val="-19"/>
        </w:rPr>
        <w:t> </w:t>
      </w:r>
      <w:r>
        <w:rPr/>
        <w:t>karşılaşılmamıştır.</w:t>
      </w:r>
      <w:r>
        <w:rPr>
          <w:spacing w:val="48"/>
        </w:rPr>
        <w:t> </w:t>
      </w:r>
      <w:r>
        <w:rPr/>
        <w:t>Bu kapsamda, çalışma ilk çalışma olmaya adaydır. Çalışmada iki</w:t>
      </w:r>
      <w:r>
        <w:rPr>
          <w:spacing w:val="-28"/>
        </w:rPr>
        <w:t> </w:t>
      </w:r>
      <w:r>
        <w:rPr/>
        <w:t>uygulama</w:t>
      </w:r>
      <w:r>
        <w:rPr>
          <w:spacing w:val="-5"/>
        </w:rPr>
        <w:t> </w:t>
      </w:r>
      <w:r>
        <w:rPr/>
        <w:t>gerçekleştirilmiştir. İlk</w:t>
      </w:r>
      <w:r>
        <w:rPr>
          <w:spacing w:val="15"/>
        </w:rPr>
        <w:t> </w:t>
      </w:r>
      <w:r>
        <w:rPr/>
        <w:t>uygulama</w:t>
      </w:r>
      <w:r>
        <w:rPr>
          <w:spacing w:val="12"/>
        </w:rPr>
        <w:t> </w:t>
      </w:r>
      <w:r>
        <w:rPr/>
        <w:t>bölümünde,</w:t>
      </w:r>
      <w:r>
        <w:rPr>
          <w:spacing w:val="13"/>
        </w:rPr>
        <w:t> </w:t>
      </w:r>
      <w:r>
        <w:rPr/>
        <w:t>hacim</w:t>
      </w:r>
      <w:r>
        <w:rPr>
          <w:spacing w:val="14"/>
        </w:rPr>
        <w:t> </w:t>
      </w:r>
      <w:r>
        <w:rPr/>
        <w:t>ve</w:t>
      </w:r>
      <w:r>
        <w:rPr>
          <w:spacing w:val="12"/>
        </w:rPr>
        <w:t> </w:t>
      </w:r>
      <w:r>
        <w:rPr/>
        <w:t>tüm</w:t>
      </w:r>
      <w:r>
        <w:rPr>
          <w:spacing w:val="13"/>
        </w:rPr>
        <w:t> </w:t>
      </w:r>
      <w:r>
        <w:rPr/>
        <w:t>değerlik</w:t>
      </w:r>
      <w:r>
        <w:rPr>
          <w:spacing w:val="16"/>
        </w:rPr>
        <w:t> </w:t>
      </w:r>
      <w:r>
        <w:rPr/>
        <w:t>özellikleri</w:t>
      </w:r>
      <w:r>
        <w:rPr>
          <w:spacing w:val="16"/>
        </w:rPr>
        <w:t> </w:t>
      </w:r>
      <w:r>
        <w:rPr/>
        <w:t>bağlamında</w:t>
      </w:r>
      <w:r>
        <w:rPr>
          <w:spacing w:val="14"/>
        </w:rPr>
        <w:t> </w:t>
      </w:r>
      <w:r>
        <w:rPr/>
        <w:t>tüketici</w:t>
      </w:r>
      <w:r>
        <w:rPr>
          <w:spacing w:val="14"/>
        </w:rPr>
        <w:t> </w:t>
      </w:r>
      <w:r>
        <w:rPr/>
        <w:t>yorumları ile ürün satışları arasındaki ilişki ve bu ilişkinin farklı ürün kategorilerinde</w:t>
      </w:r>
      <w:r>
        <w:rPr>
          <w:spacing w:val="22"/>
        </w:rPr>
        <w:t> </w:t>
      </w:r>
      <w:r>
        <w:rPr/>
        <w:t>farklılaşıp</w:t>
      </w:r>
    </w:p>
    <w:p>
      <w:pPr>
        <w:pStyle w:val="BodyText"/>
        <w:spacing w:before="2"/>
      </w:pPr>
      <w:r>
        <w:rPr/>
        <w:t>farklılaşmadığı incelenmiştir.</w:t>
      </w:r>
    </w:p>
    <w:p>
      <w:pPr>
        <w:pStyle w:val="BodyText"/>
        <w:spacing w:line="360" w:lineRule="auto" w:before="137"/>
        <w:ind w:right="309" w:firstLine="708"/>
      </w:pPr>
      <w:r>
        <w:rPr/>
        <w:t>Ayrıca, tüketiciler internetten alışveriş yaparken, bir ürünü satın alabilecekleri pek çok satıcıyla karşılaşmaktadır. Tüketiciler, satın alma süreçlerinde hangi satıcıdan alışveriş yapacakları kararını da vermek zorunda kalmaktadır. Tüketicinin satıcı tercihinde güven önemli bir unsurdur (Chang vd., 2020). Satıcıya güven oluşturabilmek adına, pek çok satıcının</w:t>
      </w:r>
      <w:r>
        <w:rPr>
          <w:spacing w:val="-13"/>
        </w:rPr>
        <w:t> </w:t>
      </w:r>
      <w:r>
        <w:rPr/>
        <w:t>bulunduğu</w:t>
      </w:r>
      <w:r>
        <w:rPr>
          <w:spacing w:val="-13"/>
        </w:rPr>
        <w:t> </w:t>
      </w:r>
      <w:r>
        <w:rPr/>
        <w:t>online</w:t>
      </w:r>
      <w:r>
        <w:rPr>
          <w:spacing w:val="-14"/>
        </w:rPr>
        <w:t> </w:t>
      </w:r>
      <w:r>
        <w:rPr/>
        <w:t>pazar</w:t>
      </w:r>
      <w:r>
        <w:rPr>
          <w:spacing w:val="-14"/>
        </w:rPr>
        <w:t> </w:t>
      </w:r>
      <w:r>
        <w:rPr/>
        <w:t>yerlerinde</w:t>
      </w:r>
      <w:r>
        <w:rPr>
          <w:spacing w:val="-11"/>
        </w:rPr>
        <w:t> </w:t>
      </w:r>
      <w:r>
        <w:rPr/>
        <w:t>satıcılar</w:t>
      </w:r>
      <w:r>
        <w:rPr>
          <w:spacing w:val="-14"/>
        </w:rPr>
        <w:t> </w:t>
      </w:r>
      <w:r>
        <w:rPr/>
        <w:t>için</w:t>
      </w:r>
      <w:r>
        <w:rPr>
          <w:spacing w:val="-13"/>
        </w:rPr>
        <w:t> </w:t>
      </w:r>
      <w:r>
        <w:rPr/>
        <w:t>yorum</w:t>
      </w:r>
      <w:r>
        <w:rPr>
          <w:spacing w:val="-14"/>
        </w:rPr>
        <w:t> </w:t>
      </w:r>
      <w:r>
        <w:rPr/>
        <w:t>ve</w:t>
      </w:r>
      <w:r>
        <w:rPr>
          <w:spacing w:val="-13"/>
        </w:rPr>
        <w:t> </w:t>
      </w:r>
      <w:r>
        <w:rPr/>
        <w:t>puanlama</w:t>
      </w:r>
      <w:r>
        <w:rPr>
          <w:spacing w:val="-12"/>
        </w:rPr>
        <w:t> </w:t>
      </w:r>
      <w:r>
        <w:rPr/>
        <w:t>yapılabilmesine imkan</w:t>
      </w:r>
      <w:r>
        <w:rPr>
          <w:spacing w:val="-14"/>
        </w:rPr>
        <w:t> </w:t>
      </w:r>
      <w:r>
        <w:rPr/>
        <w:t>sağlanmaktadır.</w:t>
      </w:r>
      <w:r>
        <w:rPr>
          <w:spacing w:val="-13"/>
        </w:rPr>
        <w:t> </w:t>
      </w:r>
      <w:r>
        <w:rPr/>
        <w:t>Yorumlar</w:t>
      </w:r>
      <w:r>
        <w:rPr>
          <w:spacing w:val="-15"/>
        </w:rPr>
        <w:t> </w:t>
      </w:r>
      <w:r>
        <w:rPr/>
        <w:t>sayesinde,</w:t>
      </w:r>
      <w:r>
        <w:rPr>
          <w:spacing w:val="-14"/>
        </w:rPr>
        <w:t> </w:t>
      </w:r>
      <w:r>
        <w:rPr/>
        <w:t>satıcının</w:t>
      </w:r>
      <w:r>
        <w:rPr>
          <w:spacing w:val="-13"/>
        </w:rPr>
        <w:t> </w:t>
      </w:r>
      <w:r>
        <w:rPr/>
        <w:t>doğru</w:t>
      </w:r>
      <w:r>
        <w:rPr>
          <w:spacing w:val="-14"/>
        </w:rPr>
        <w:t> </w:t>
      </w:r>
      <w:r>
        <w:rPr/>
        <w:t>ürünü</w:t>
      </w:r>
      <w:r>
        <w:rPr>
          <w:spacing w:val="-15"/>
        </w:rPr>
        <w:t> </w:t>
      </w:r>
      <w:r>
        <w:rPr/>
        <w:t>kargolayıp</w:t>
      </w:r>
      <w:r>
        <w:rPr>
          <w:spacing w:val="-11"/>
        </w:rPr>
        <w:t> </w:t>
      </w:r>
      <w:r>
        <w:rPr/>
        <w:t>kargolamadığı, kargolamaya gösterdiği özen ve müşteri ilişkileri gibi nitelikleri konusunda tüketici fikir sahibi olabilmektedir (Chong vd., 2018). Bu noktada, çok fazla yorum almış ve/veya hakkında olumlu yorumlar yapılmış satıcıların tüketicilerde daha fazla güven oluşturarak tercih edilmesi olasıdır. Dolayısıyla, satıcıya yapılan yorumların satıcıların satışlarını etkilemesi de olasıdır. Fakat bu önerme literatürde çok az ilgi çekmiştir. Ağızdan ağıza iletişim</w:t>
      </w:r>
      <w:r>
        <w:rPr>
          <w:spacing w:val="-9"/>
        </w:rPr>
        <w:t> </w:t>
      </w:r>
      <w:r>
        <w:rPr/>
        <w:t>literatürü</w:t>
      </w:r>
      <w:r>
        <w:rPr>
          <w:spacing w:val="-7"/>
        </w:rPr>
        <w:t> </w:t>
      </w:r>
      <w:r>
        <w:rPr/>
        <w:t>ürüne</w:t>
      </w:r>
      <w:r>
        <w:rPr>
          <w:spacing w:val="-9"/>
        </w:rPr>
        <w:t> </w:t>
      </w:r>
      <w:r>
        <w:rPr/>
        <w:t>yapılan</w:t>
      </w:r>
      <w:r>
        <w:rPr>
          <w:spacing w:val="-7"/>
        </w:rPr>
        <w:t> </w:t>
      </w:r>
      <w:r>
        <w:rPr/>
        <w:t>yorumlara</w:t>
      </w:r>
      <w:r>
        <w:rPr>
          <w:spacing w:val="-8"/>
        </w:rPr>
        <w:t> </w:t>
      </w:r>
      <w:r>
        <w:rPr/>
        <w:t>odaklanmıştır.</w:t>
      </w:r>
      <w:r>
        <w:rPr>
          <w:spacing w:val="-8"/>
        </w:rPr>
        <w:t> </w:t>
      </w:r>
      <w:r>
        <w:rPr/>
        <w:t>Satıcıya</w:t>
      </w:r>
      <w:r>
        <w:rPr>
          <w:spacing w:val="-7"/>
        </w:rPr>
        <w:t> </w:t>
      </w:r>
      <w:r>
        <w:rPr/>
        <w:t>yapılan</w:t>
      </w:r>
      <w:r>
        <w:rPr>
          <w:spacing w:val="-7"/>
        </w:rPr>
        <w:t> </w:t>
      </w:r>
      <w:r>
        <w:rPr/>
        <w:t>yorumların</w:t>
      </w:r>
      <w:r>
        <w:rPr>
          <w:spacing w:val="-6"/>
        </w:rPr>
        <w:t> </w:t>
      </w:r>
      <w:r>
        <w:rPr/>
        <w:t>hacmi</w:t>
      </w:r>
    </w:p>
    <w:p>
      <w:pPr>
        <w:spacing w:after="0" w:line="360" w:lineRule="auto"/>
        <w:sectPr>
          <w:pgSz w:w="12240" w:h="15840"/>
          <w:pgMar w:header="718" w:footer="0" w:top="1300" w:bottom="280" w:left="1720" w:right="820"/>
        </w:sectPr>
      </w:pPr>
    </w:p>
    <w:p>
      <w:pPr>
        <w:pStyle w:val="BodyText"/>
        <w:spacing w:line="360" w:lineRule="auto" w:before="100"/>
        <w:ind w:right="311"/>
      </w:pPr>
      <w:r>
        <w:rPr/>
        <w:t>ile satışlar arasındaki ilişkiyi inceleyen bir çalışma ile karşılaşılmamıştır. Öte yandan, satıcıya yapılan yorumların değerlik özellikleri ile satışlar arasındaki ilişkiyi inceleyen az sayıda da olsa çalışma mevcuttur (örn. Ye vd., 2013; Li vd., 2015). Bu sebeple, çalışmanın ikinci uygulama bölümünde, satıcılara yapılan yorumların hacim ve değerlik özellikleri ile satış</w:t>
      </w:r>
      <w:r>
        <w:rPr>
          <w:spacing w:val="-18"/>
        </w:rPr>
        <w:t> </w:t>
      </w:r>
      <w:r>
        <w:rPr/>
        <w:t>miktarları</w:t>
      </w:r>
      <w:r>
        <w:rPr>
          <w:spacing w:val="-17"/>
        </w:rPr>
        <w:t> </w:t>
      </w:r>
      <w:r>
        <w:rPr/>
        <w:t>arasındaki</w:t>
      </w:r>
      <w:r>
        <w:rPr>
          <w:spacing w:val="-15"/>
        </w:rPr>
        <w:t> </w:t>
      </w:r>
      <w:r>
        <w:rPr/>
        <w:t>ilişki</w:t>
      </w:r>
      <w:r>
        <w:rPr>
          <w:spacing w:val="-15"/>
        </w:rPr>
        <w:t> </w:t>
      </w:r>
      <w:r>
        <w:rPr/>
        <w:t>incelenmiştir.</w:t>
      </w:r>
      <w:r>
        <w:rPr>
          <w:spacing w:val="-16"/>
        </w:rPr>
        <w:t> </w:t>
      </w:r>
      <w:r>
        <w:rPr/>
        <w:t>Tezin,</w:t>
      </w:r>
      <w:r>
        <w:rPr>
          <w:spacing w:val="-18"/>
        </w:rPr>
        <w:t> </w:t>
      </w:r>
      <w:r>
        <w:rPr/>
        <w:t>ikinci</w:t>
      </w:r>
      <w:r>
        <w:rPr>
          <w:spacing w:val="-17"/>
        </w:rPr>
        <w:t> </w:t>
      </w:r>
      <w:r>
        <w:rPr/>
        <w:t>uygulama</w:t>
      </w:r>
      <w:r>
        <w:rPr>
          <w:spacing w:val="-18"/>
        </w:rPr>
        <w:t> </w:t>
      </w:r>
      <w:r>
        <w:rPr/>
        <w:t>bölümünün</w:t>
      </w:r>
      <w:r>
        <w:rPr>
          <w:spacing w:val="-17"/>
        </w:rPr>
        <w:t> </w:t>
      </w:r>
      <w:r>
        <w:rPr/>
        <w:t>de</w:t>
      </w:r>
      <w:r>
        <w:rPr>
          <w:spacing w:val="-19"/>
        </w:rPr>
        <w:t> </w:t>
      </w:r>
      <w:r>
        <w:rPr/>
        <w:t>alandaki ilklerden olarak literatüre katkı sağlayacağı</w:t>
      </w:r>
      <w:r>
        <w:rPr>
          <w:spacing w:val="-1"/>
        </w:rPr>
        <w:t> </w:t>
      </w:r>
      <w:r>
        <w:rPr/>
        <w:t>umulmaktadır.</w:t>
      </w:r>
    </w:p>
    <w:p>
      <w:pPr>
        <w:pStyle w:val="BodyText"/>
        <w:spacing w:line="360" w:lineRule="auto" w:before="1"/>
        <w:ind w:right="308" w:firstLine="708"/>
      </w:pPr>
      <w:r>
        <w:rPr/>
        <w:t>Çalışmamız</w:t>
      </w:r>
      <w:r>
        <w:rPr>
          <w:spacing w:val="-11"/>
        </w:rPr>
        <w:t> </w:t>
      </w:r>
      <w:r>
        <w:rPr/>
        <w:t>üç</w:t>
      </w:r>
      <w:r>
        <w:rPr>
          <w:spacing w:val="-13"/>
        </w:rPr>
        <w:t> </w:t>
      </w:r>
      <w:r>
        <w:rPr/>
        <w:t>bölümden</w:t>
      </w:r>
      <w:r>
        <w:rPr>
          <w:spacing w:val="-12"/>
        </w:rPr>
        <w:t> </w:t>
      </w:r>
      <w:r>
        <w:rPr/>
        <w:t>oluşmaktadır.</w:t>
      </w:r>
      <w:r>
        <w:rPr>
          <w:spacing w:val="-12"/>
        </w:rPr>
        <w:t> </w:t>
      </w:r>
      <w:r>
        <w:rPr/>
        <w:t>Birinci</w:t>
      </w:r>
      <w:r>
        <w:rPr>
          <w:spacing w:val="-10"/>
        </w:rPr>
        <w:t> </w:t>
      </w:r>
      <w:r>
        <w:rPr/>
        <w:t>bölümde,</w:t>
      </w:r>
      <w:r>
        <w:rPr>
          <w:spacing w:val="-12"/>
        </w:rPr>
        <w:t> </w:t>
      </w:r>
      <w:r>
        <w:rPr/>
        <w:t>ilgili</w:t>
      </w:r>
      <w:r>
        <w:rPr>
          <w:spacing w:val="-11"/>
        </w:rPr>
        <w:t> </w:t>
      </w:r>
      <w:r>
        <w:rPr/>
        <w:t>literatür</w:t>
      </w:r>
      <w:r>
        <w:rPr>
          <w:spacing w:val="-12"/>
        </w:rPr>
        <w:t> </w:t>
      </w:r>
      <w:r>
        <w:rPr/>
        <w:t>kavramsal</w:t>
      </w:r>
      <w:r>
        <w:rPr>
          <w:spacing w:val="-12"/>
        </w:rPr>
        <w:t> </w:t>
      </w:r>
      <w:r>
        <w:rPr/>
        <w:t>bir çerçeve içerisinde sunulmuştur. Online satın alma karar sürecinde elektronik ağızdan ağıza iletişimin rolüne, tarafların hangi güdülerle ağızdan ağıza iletişim sürecine dahil</w:t>
      </w:r>
      <w:r>
        <w:rPr>
          <w:spacing w:val="-25"/>
        </w:rPr>
        <w:t> </w:t>
      </w:r>
      <w:r>
        <w:rPr/>
        <w:t>olduklarına ve ağızdan ağıza iletişimin gücüne değinilmiştir. Elektronik ağızdan ağıza iletişim kavramı, elektronik ağızdan ağıza iletişimin özellikleri, geleneksel ağızdan ağıza iletişimden farklılıkları ve gerçekleştiği mecralar da bu bölümde değinilen konulardır. Birinci bölümde son olarak, elektronik ağızdan ağıza iletişimin literatürdeki yerini ortaya koymak için gerçekleştirilen literatür taramasına dair bulgular</w:t>
      </w:r>
      <w:r>
        <w:rPr>
          <w:spacing w:val="-2"/>
        </w:rPr>
        <w:t> </w:t>
      </w:r>
      <w:r>
        <w:rPr/>
        <w:t>sunulmuştur.</w:t>
      </w:r>
    </w:p>
    <w:p>
      <w:pPr>
        <w:pStyle w:val="BodyText"/>
        <w:spacing w:line="360" w:lineRule="auto" w:before="1"/>
        <w:ind w:right="309" w:firstLine="708"/>
      </w:pPr>
      <w:r>
        <w:rPr/>
        <w:t>Çalışmanın ikinci ve üçüncü bölümleri uygulama bölümleridir. İkinci bölümde, Amazon.com’dan toplanan panel veriyle birinci uygulama gerçekleştirilmiştir. Veri seti; örneklemdeki ürünlere ait satış sıralaması, toplam yorum sayısı, ortalama değerlendirme puanı, değerlendirme puanlarının yüzde dağılımı, satış fiyatı ve indirim oranı bilgilerinden oluşmaktadır. Elde edilen panel veri, genelleştirilmiş momentler yöntemi (Generalized Method of Moments-GMM) ile analiz edilmiştir. Bölümün son kısmında, analiz sonuçları tartışılmakta, bulgular ışığında ortaya konan teorik ve yönetimsel çıkarımlar aktarılmakta</w:t>
      </w:r>
      <w:r>
        <w:rPr>
          <w:spacing w:val="-35"/>
        </w:rPr>
        <w:t> </w:t>
      </w:r>
      <w:r>
        <w:rPr/>
        <w:t>ve çalışmanın kısıtları ve bu kısıtlardan yola çıkarak gelecek çalışmalara tavsiyeler sunulmaktadır.</w:t>
      </w:r>
    </w:p>
    <w:p>
      <w:pPr>
        <w:pStyle w:val="BodyText"/>
        <w:spacing w:line="360" w:lineRule="auto"/>
        <w:ind w:right="309" w:firstLine="708"/>
      </w:pPr>
      <w:r>
        <w:rPr/>
        <w:t>Üçüncü bölümde ise, Etsy.com’dan toplanan panel veri kullanılmıştır. Veri seti; örneklemdeki</w:t>
      </w:r>
      <w:r>
        <w:rPr>
          <w:spacing w:val="-14"/>
        </w:rPr>
        <w:t> </w:t>
      </w:r>
      <w:r>
        <w:rPr/>
        <w:t>her</w:t>
      </w:r>
      <w:r>
        <w:rPr>
          <w:spacing w:val="-14"/>
        </w:rPr>
        <w:t> </w:t>
      </w:r>
      <w:r>
        <w:rPr/>
        <w:t>bir</w:t>
      </w:r>
      <w:r>
        <w:rPr>
          <w:spacing w:val="-15"/>
        </w:rPr>
        <w:t> </w:t>
      </w:r>
      <w:r>
        <w:rPr/>
        <w:t>satıcı</w:t>
      </w:r>
      <w:r>
        <w:rPr>
          <w:spacing w:val="-13"/>
        </w:rPr>
        <w:t> </w:t>
      </w:r>
      <w:r>
        <w:rPr/>
        <w:t>için</w:t>
      </w:r>
      <w:r>
        <w:rPr>
          <w:spacing w:val="-14"/>
        </w:rPr>
        <w:t> </w:t>
      </w:r>
      <w:r>
        <w:rPr/>
        <w:t>satış</w:t>
      </w:r>
      <w:r>
        <w:rPr>
          <w:spacing w:val="-13"/>
        </w:rPr>
        <w:t> </w:t>
      </w:r>
      <w:r>
        <w:rPr/>
        <w:t>miktarı,</w:t>
      </w:r>
      <w:r>
        <w:rPr>
          <w:spacing w:val="-14"/>
        </w:rPr>
        <w:t> </w:t>
      </w:r>
      <w:r>
        <w:rPr/>
        <w:t>toplam</w:t>
      </w:r>
      <w:r>
        <w:rPr>
          <w:spacing w:val="-13"/>
        </w:rPr>
        <w:t> </w:t>
      </w:r>
      <w:r>
        <w:rPr/>
        <w:t>yorum</w:t>
      </w:r>
      <w:r>
        <w:rPr>
          <w:spacing w:val="-15"/>
        </w:rPr>
        <w:t> </w:t>
      </w:r>
      <w:r>
        <w:rPr/>
        <w:t>sayısı,</w:t>
      </w:r>
      <w:r>
        <w:rPr>
          <w:spacing w:val="-13"/>
        </w:rPr>
        <w:t> </w:t>
      </w:r>
      <w:r>
        <w:rPr/>
        <w:t>değerlendirme</w:t>
      </w:r>
      <w:r>
        <w:rPr>
          <w:spacing w:val="-15"/>
        </w:rPr>
        <w:t> </w:t>
      </w:r>
      <w:r>
        <w:rPr/>
        <w:t>puanlarının dağılımı, değerlendirme puanlarının ortalaması, favoriye eklenme sayısı ve satıştaki ürün sayısı bilgilerinden oluşmaktadır. Toplanan panel veri, genelleştirilmiş momentler yöntemi ile analiz edilmiştir. İkinci bölümün son kısmında olduğu gibi bu bölümün son kısmında da yapılan analizlerin sonuçları tartışılmakta, elde edilen bulgular ışığında ortaya konan teorik ve yönetimsel çıkarımlar aktarılmakta ve çalışmanın kısıtları ve bu kısıtlardan yola çıkarak gelecek çalışmalara tavsiyeler</w:t>
      </w:r>
      <w:r>
        <w:rPr>
          <w:spacing w:val="-2"/>
        </w:rPr>
        <w:t> </w:t>
      </w:r>
      <w:r>
        <w:rPr/>
        <w:t>sunulmaktadır.</w:t>
      </w:r>
    </w:p>
    <w:p>
      <w:pPr>
        <w:spacing w:after="0" w:line="360" w:lineRule="auto"/>
        <w:sectPr>
          <w:pgSz w:w="12240" w:h="15840"/>
          <w:pgMar w:header="718" w:footer="0" w:top="1300" w:bottom="280" w:left="1720" w:right="820"/>
        </w:sectPr>
      </w:pPr>
    </w:p>
    <w:p>
      <w:pPr>
        <w:pStyle w:val="BodyText"/>
        <w:spacing w:line="360" w:lineRule="auto" w:before="100"/>
        <w:ind w:right="309" w:firstLine="708"/>
      </w:pPr>
      <w:r>
        <w:rPr/>
        <w:t>Tezin sonuç bölümünde ise her iki uygulama bölümünün son kısımlarında tartışılan bulgular bütün olarak aktarılmış, gerçekleştirilen iki uygulama çerçevesinde tezin literatüre katkısı sunulmuş, bulgular ışığında yöneticiler için önerilerde bulunulmuş ve gelecekte gerçekleştirilecek benzer çalışmalar için tavsiyeler aktarılmıştır.</w:t>
      </w:r>
    </w:p>
    <w:p>
      <w:pPr>
        <w:spacing w:after="0" w:line="360" w:lineRule="auto"/>
        <w:sectPr>
          <w:pgSz w:w="12240" w:h="15840"/>
          <w:pgMar w:header="718" w:footer="0" w:top="1300" w:bottom="280" w:left="1720" w:right="820"/>
        </w:sectPr>
      </w:pPr>
    </w:p>
    <w:p>
      <w:pPr>
        <w:pStyle w:val="Heading1"/>
        <w:spacing w:line="360" w:lineRule="auto" w:before="100"/>
        <w:ind w:left="3563" w:right="3327" w:hanging="1"/>
        <w:jc w:val="center"/>
      </w:pPr>
      <w:r>
        <w:rPr/>
        <w:t>BİRİNCİ BÖLÜM KAVRAMSAL ÇERÇEVE</w:t>
      </w:r>
    </w:p>
    <w:p>
      <w:pPr>
        <w:pStyle w:val="BodyText"/>
        <w:spacing w:before="10"/>
        <w:ind w:left="0"/>
        <w:jc w:val="left"/>
        <w:rPr>
          <w:b/>
          <w:sz w:val="20"/>
        </w:rPr>
      </w:pPr>
    </w:p>
    <w:p>
      <w:pPr>
        <w:pStyle w:val="BodyText"/>
        <w:spacing w:line="360" w:lineRule="auto" w:before="1"/>
        <w:ind w:right="308" w:firstLine="708"/>
      </w:pPr>
      <w:r>
        <w:rPr/>
        <w:t>Online alışverişte tüketici yorumlarının etkisini irdelemeyi amaçlayan tezin bu bölümünde, kavramsal bir çerçeve sunulmaktadır. Bu bölümde sırasıyla, online satın alma karar sürecinde elektronik ağızdan ağıza iletişimin rolü, ağızdan ağıza iletişim teorisinin evrimi, ağızdan ağıza iletişimde rol oynayan güdüler, ağızdan ağıza iletişimin gücü, elektronik ağızdan ağıza iletişimin özellikleri, geleneksel ağızdan ağıza iletişimden farklılıkları ve gerçekleştiği mecralar kısaca açıklanmaktadır. Bölümün son kısmında ise, elektronik ağızdan ağıza iletişimin literatürdeki yeri ve önemi ortaya konulmaktadır.</w:t>
      </w:r>
    </w:p>
    <w:p>
      <w:pPr>
        <w:pStyle w:val="Heading1"/>
        <w:numPr>
          <w:ilvl w:val="1"/>
          <w:numId w:val="1"/>
        </w:numPr>
        <w:tabs>
          <w:tab w:pos="1677" w:val="left" w:leader="none"/>
        </w:tabs>
        <w:spacing w:line="240" w:lineRule="auto" w:before="160" w:after="0"/>
        <w:ind w:left="1676" w:right="0" w:hanging="421"/>
        <w:jc w:val="both"/>
      </w:pPr>
      <w:r>
        <w:rPr/>
        <w:t>Online Tüketici Satın Alma Karar</w:t>
      </w:r>
      <w:r>
        <w:rPr>
          <w:spacing w:val="-1"/>
        </w:rPr>
        <w:t> </w:t>
      </w:r>
      <w:r>
        <w:rPr/>
        <w:t>Süreci</w:t>
      </w:r>
    </w:p>
    <w:p>
      <w:pPr>
        <w:pStyle w:val="BodyText"/>
        <w:spacing w:line="360" w:lineRule="auto" w:before="137"/>
        <w:ind w:right="311" w:firstLine="708"/>
      </w:pPr>
      <w:r>
        <w:rPr/>
        <w:t>Genel olarak, tüketici satın alma kararlarını bilişsel, alışılmış ve duygusal olmak üzere üç grupta toplamak mümkündür. Rasyonel olan, üzerinde düşünülerek ve belirli aşamalardan</w:t>
      </w:r>
      <w:r>
        <w:rPr>
          <w:spacing w:val="-15"/>
        </w:rPr>
        <w:t> </w:t>
      </w:r>
      <w:r>
        <w:rPr/>
        <w:t>geçilerek</w:t>
      </w:r>
      <w:r>
        <w:rPr>
          <w:spacing w:val="-13"/>
        </w:rPr>
        <w:t> </w:t>
      </w:r>
      <w:r>
        <w:rPr/>
        <w:t>ulaşılan</w:t>
      </w:r>
      <w:r>
        <w:rPr>
          <w:spacing w:val="-16"/>
        </w:rPr>
        <w:t> </w:t>
      </w:r>
      <w:r>
        <w:rPr/>
        <w:t>satın</w:t>
      </w:r>
      <w:r>
        <w:rPr>
          <w:spacing w:val="-14"/>
        </w:rPr>
        <w:t> </w:t>
      </w:r>
      <w:r>
        <w:rPr/>
        <w:t>alma</w:t>
      </w:r>
      <w:r>
        <w:rPr>
          <w:spacing w:val="-16"/>
        </w:rPr>
        <w:t> </w:t>
      </w:r>
      <w:r>
        <w:rPr/>
        <w:t>kararları</w:t>
      </w:r>
      <w:r>
        <w:rPr>
          <w:spacing w:val="-13"/>
        </w:rPr>
        <w:t> </w:t>
      </w:r>
      <w:r>
        <w:rPr/>
        <w:t>bilişsel</w:t>
      </w:r>
      <w:r>
        <w:rPr>
          <w:spacing w:val="-17"/>
        </w:rPr>
        <w:t> </w:t>
      </w:r>
      <w:r>
        <w:rPr/>
        <w:t>kararlar</w:t>
      </w:r>
      <w:r>
        <w:rPr>
          <w:spacing w:val="-15"/>
        </w:rPr>
        <w:t> </w:t>
      </w:r>
      <w:r>
        <w:rPr/>
        <w:t>olarak</w:t>
      </w:r>
      <w:r>
        <w:rPr>
          <w:spacing w:val="-15"/>
        </w:rPr>
        <w:t> </w:t>
      </w:r>
      <w:r>
        <w:rPr/>
        <w:t>adlandırılmaktadır. Bilişsel bir çaba sarf edilmeden ve rutin olarak alınan satın alma kararları ise alışılmış kararlar kapsamına girmektedir. Son olarak, duygularla ve ani bir şekilde verilen satın alma kararları duygusal kararlar olarak sınıflandırılmaktadır (Solomon, 2018:</w:t>
      </w:r>
      <w:r>
        <w:rPr>
          <w:spacing w:val="-1"/>
        </w:rPr>
        <w:t> </w:t>
      </w:r>
      <w:r>
        <w:rPr/>
        <w:t>336).</w:t>
      </w:r>
    </w:p>
    <w:p>
      <w:pPr>
        <w:pStyle w:val="BodyText"/>
        <w:spacing w:line="360" w:lineRule="auto"/>
        <w:ind w:right="310" w:firstLine="708"/>
      </w:pPr>
      <w:r>
        <w:rPr/>
        <w:t>Araştırmacılar,</w:t>
      </w:r>
      <w:r>
        <w:rPr>
          <w:spacing w:val="-14"/>
        </w:rPr>
        <w:t> </w:t>
      </w:r>
      <w:r>
        <w:rPr/>
        <w:t>tüketici</w:t>
      </w:r>
      <w:r>
        <w:rPr>
          <w:spacing w:val="-12"/>
        </w:rPr>
        <w:t> </w:t>
      </w:r>
      <w:r>
        <w:rPr/>
        <w:t>satın</w:t>
      </w:r>
      <w:r>
        <w:rPr>
          <w:spacing w:val="-13"/>
        </w:rPr>
        <w:t> </w:t>
      </w:r>
      <w:r>
        <w:rPr/>
        <w:t>alma</w:t>
      </w:r>
      <w:r>
        <w:rPr>
          <w:spacing w:val="-13"/>
        </w:rPr>
        <w:t> </w:t>
      </w:r>
      <w:r>
        <w:rPr/>
        <w:t>kararına</w:t>
      </w:r>
      <w:r>
        <w:rPr>
          <w:spacing w:val="-11"/>
        </w:rPr>
        <w:t> </w:t>
      </w:r>
      <w:r>
        <w:rPr/>
        <w:t>rasyonel</w:t>
      </w:r>
      <w:r>
        <w:rPr>
          <w:spacing w:val="-13"/>
        </w:rPr>
        <w:t> </w:t>
      </w:r>
      <w:r>
        <w:rPr/>
        <w:t>bir</w:t>
      </w:r>
      <w:r>
        <w:rPr>
          <w:spacing w:val="-12"/>
        </w:rPr>
        <w:t> </w:t>
      </w:r>
      <w:r>
        <w:rPr/>
        <w:t>bakış</w:t>
      </w:r>
      <w:r>
        <w:rPr>
          <w:spacing w:val="-11"/>
        </w:rPr>
        <w:t> </w:t>
      </w:r>
      <w:r>
        <w:rPr/>
        <w:t>açısıyla</w:t>
      </w:r>
      <w:r>
        <w:rPr>
          <w:spacing w:val="-14"/>
        </w:rPr>
        <w:t> </w:t>
      </w:r>
      <w:r>
        <w:rPr/>
        <w:t>yaklaşmışlar</w:t>
      </w:r>
      <w:r>
        <w:rPr>
          <w:spacing w:val="-13"/>
        </w:rPr>
        <w:t> </w:t>
      </w:r>
      <w:r>
        <w:rPr/>
        <w:t>ve bilişsel, alışılmış ve duygusal satın alma kararları içerisinde daha çok bilişsel kararlara odaklanmışlardır. Bu bakış açısına göre, tüketiciler bir ürün ya da hizmet satın alırken olabildiğince fazla bilgi toplamakta, tüm alternatiflerin pozitif ve negatif yönlerini değerlendirmekte</w:t>
      </w:r>
      <w:r>
        <w:rPr>
          <w:spacing w:val="-15"/>
        </w:rPr>
        <w:t> </w:t>
      </w:r>
      <w:r>
        <w:rPr/>
        <w:t>ve</w:t>
      </w:r>
      <w:r>
        <w:rPr>
          <w:spacing w:val="-15"/>
        </w:rPr>
        <w:t> </w:t>
      </w:r>
      <w:r>
        <w:rPr/>
        <w:t>nihayetinde</w:t>
      </w:r>
      <w:r>
        <w:rPr>
          <w:spacing w:val="-15"/>
        </w:rPr>
        <w:t> </w:t>
      </w:r>
      <w:r>
        <w:rPr/>
        <w:t>en</w:t>
      </w:r>
      <w:r>
        <w:rPr>
          <w:spacing w:val="-14"/>
        </w:rPr>
        <w:t> </w:t>
      </w:r>
      <w:r>
        <w:rPr/>
        <w:t>rasyonel</w:t>
      </w:r>
      <w:r>
        <w:rPr>
          <w:spacing w:val="-14"/>
        </w:rPr>
        <w:t> </w:t>
      </w:r>
      <w:r>
        <w:rPr/>
        <w:t>kararı</w:t>
      </w:r>
      <w:r>
        <w:rPr>
          <w:spacing w:val="-12"/>
        </w:rPr>
        <w:t> </w:t>
      </w:r>
      <w:r>
        <w:rPr/>
        <w:t>vermektedir</w:t>
      </w:r>
      <w:r>
        <w:rPr>
          <w:spacing w:val="-15"/>
        </w:rPr>
        <w:t> </w:t>
      </w:r>
      <w:r>
        <w:rPr/>
        <w:t>(Jacoby</w:t>
      </w:r>
      <w:r>
        <w:rPr>
          <w:spacing w:val="-14"/>
        </w:rPr>
        <w:t> </w:t>
      </w:r>
      <w:r>
        <w:rPr/>
        <w:t>vd.,</w:t>
      </w:r>
      <w:r>
        <w:rPr>
          <w:spacing w:val="-14"/>
        </w:rPr>
        <w:t> </w:t>
      </w:r>
      <w:r>
        <w:rPr/>
        <w:t>1976;</w:t>
      </w:r>
      <w:r>
        <w:rPr>
          <w:spacing w:val="-14"/>
        </w:rPr>
        <w:t> </w:t>
      </w:r>
      <w:r>
        <w:rPr/>
        <w:t>Solomon, 2018: 339).</w:t>
      </w:r>
    </w:p>
    <w:p>
      <w:pPr>
        <w:pStyle w:val="BodyText"/>
        <w:spacing w:line="360" w:lineRule="auto" w:before="1"/>
        <w:ind w:right="309" w:firstLine="708"/>
      </w:pPr>
      <w:r>
        <w:rPr/>
        <w:t>1970'lerde bazı araştırmacılar, tüketici satın alma sürecini açıklamak için iki aşamalı bir karar modeli önermişlerdir (Yan vd., 2016). Önerilen bu modele göre; sürecin ilk aşamasında</w:t>
      </w:r>
      <w:r>
        <w:rPr>
          <w:spacing w:val="-10"/>
        </w:rPr>
        <w:t> </w:t>
      </w:r>
      <w:r>
        <w:rPr/>
        <w:t>bir</w:t>
      </w:r>
      <w:r>
        <w:rPr>
          <w:spacing w:val="-7"/>
        </w:rPr>
        <w:t> </w:t>
      </w:r>
      <w:r>
        <w:rPr/>
        <w:t>alternatifler</w:t>
      </w:r>
      <w:r>
        <w:rPr>
          <w:spacing w:val="-8"/>
        </w:rPr>
        <w:t> </w:t>
      </w:r>
      <w:r>
        <w:rPr/>
        <w:t>kümesi</w:t>
      </w:r>
      <w:r>
        <w:rPr>
          <w:spacing w:val="-8"/>
        </w:rPr>
        <w:t> </w:t>
      </w:r>
      <w:r>
        <w:rPr/>
        <w:t>oluşturulur,</w:t>
      </w:r>
      <w:r>
        <w:rPr>
          <w:spacing w:val="-9"/>
        </w:rPr>
        <w:t> </w:t>
      </w:r>
      <w:r>
        <w:rPr/>
        <w:t>ikinci</w:t>
      </w:r>
      <w:r>
        <w:rPr>
          <w:spacing w:val="-8"/>
        </w:rPr>
        <w:t> </w:t>
      </w:r>
      <w:r>
        <w:rPr/>
        <w:t>aşamada</w:t>
      </w:r>
      <w:r>
        <w:rPr>
          <w:spacing w:val="-10"/>
        </w:rPr>
        <w:t> </w:t>
      </w:r>
      <w:r>
        <w:rPr/>
        <w:t>ise,</w:t>
      </w:r>
      <w:r>
        <w:rPr>
          <w:spacing w:val="-9"/>
        </w:rPr>
        <w:t> </w:t>
      </w:r>
      <w:r>
        <w:rPr/>
        <w:t>bu</w:t>
      </w:r>
      <w:r>
        <w:rPr>
          <w:spacing w:val="-7"/>
        </w:rPr>
        <w:t> </w:t>
      </w:r>
      <w:r>
        <w:rPr/>
        <w:t>kümedeki</w:t>
      </w:r>
      <w:r>
        <w:rPr>
          <w:spacing w:val="-7"/>
        </w:rPr>
        <w:t> </w:t>
      </w:r>
      <w:r>
        <w:rPr/>
        <w:t>alternatifler kıyaslanarak satın alınacak nihai ürün seçilir (Sood vd., 2004; Moe 2006; Li vd., 2020). Örneğin, yeni bir bilgisayar almak isteyen tüketici internet üzerinden araştırmalar yaparak kriterlerini karşılayan marka ve modellerden oluşan bir alternatifler kümesi oluşturur. Sonrasında, bu kümedeki bilgisayarları değerlendirip birbirleriyle kıyaslar ve içlerinden en iyisini seçerek satın</w:t>
      </w:r>
      <w:r>
        <w:rPr>
          <w:spacing w:val="-1"/>
        </w:rPr>
        <w:t> </w:t>
      </w:r>
      <w:r>
        <w:rPr/>
        <w:t>alır.</w:t>
      </w:r>
    </w:p>
    <w:p>
      <w:pPr>
        <w:spacing w:after="0" w:line="360" w:lineRule="auto"/>
        <w:sectPr>
          <w:pgSz w:w="12240" w:h="15840"/>
          <w:pgMar w:header="718" w:footer="0" w:top="1300" w:bottom="280" w:left="1720" w:right="820"/>
        </w:sectPr>
      </w:pPr>
    </w:p>
    <w:p>
      <w:pPr>
        <w:pStyle w:val="BodyText"/>
        <w:spacing w:line="360" w:lineRule="auto" w:before="100"/>
        <w:ind w:right="309" w:firstLine="708"/>
      </w:pPr>
      <w:r>
        <w:rPr/>
        <w:t>Örnekte de görüldüğü üzere, iki aşamalı karar modeli, satın alma sürecinin sadece karar alma aşamasına odaklanmaktadır. Alternatifler belirlenmeden önce ve satın alma sonrası</w:t>
      </w:r>
      <w:r>
        <w:rPr>
          <w:spacing w:val="-5"/>
        </w:rPr>
        <w:t> </w:t>
      </w:r>
      <w:r>
        <w:rPr/>
        <w:t>tüketicinin</w:t>
      </w:r>
      <w:r>
        <w:rPr>
          <w:spacing w:val="-5"/>
        </w:rPr>
        <w:t> </w:t>
      </w:r>
      <w:r>
        <w:rPr/>
        <w:t>bilişsel</w:t>
      </w:r>
      <w:r>
        <w:rPr>
          <w:spacing w:val="-5"/>
        </w:rPr>
        <w:t> </w:t>
      </w:r>
      <w:r>
        <w:rPr/>
        <w:t>olarak</w:t>
      </w:r>
      <w:r>
        <w:rPr>
          <w:spacing w:val="-6"/>
        </w:rPr>
        <w:t> </w:t>
      </w:r>
      <w:r>
        <w:rPr/>
        <w:t>nasıl</w:t>
      </w:r>
      <w:r>
        <w:rPr>
          <w:spacing w:val="-5"/>
        </w:rPr>
        <w:t> </w:t>
      </w:r>
      <w:r>
        <w:rPr/>
        <w:t>bir</w:t>
      </w:r>
      <w:r>
        <w:rPr>
          <w:spacing w:val="-6"/>
        </w:rPr>
        <w:t> </w:t>
      </w:r>
      <w:r>
        <w:rPr/>
        <w:t>süreçten</w:t>
      </w:r>
      <w:r>
        <w:rPr>
          <w:spacing w:val="-4"/>
        </w:rPr>
        <w:t> </w:t>
      </w:r>
      <w:r>
        <w:rPr/>
        <w:t>geçtiğini</w:t>
      </w:r>
      <w:r>
        <w:rPr>
          <w:spacing w:val="-4"/>
        </w:rPr>
        <w:t> </w:t>
      </w:r>
      <w:r>
        <w:rPr/>
        <w:t>göz</w:t>
      </w:r>
      <w:r>
        <w:rPr>
          <w:spacing w:val="-7"/>
        </w:rPr>
        <w:t> </w:t>
      </w:r>
      <w:r>
        <w:rPr/>
        <w:t>ardı</w:t>
      </w:r>
      <w:r>
        <w:rPr>
          <w:spacing w:val="-6"/>
        </w:rPr>
        <w:t> </w:t>
      </w:r>
      <w:r>
        <w:rPr/>
        <w:t>etmektedir.</w:t>
      </w:r>
      <w:r>
        <w:rPr>
          <w:spacing w:val="-3"/>
        </w:rPr>
        <w:t> </w:t>
      </w:r>
      <w:r>
        <w:rPr/>
        <w:t>İki</w:t>
      </w:r>
      <w:r>
        <w:rPr>
          <w:spacing w:val="-5"/>
        </w:rPr>
        <w:t> </w:t>
      </w:r>
      <w:r>
        <w:rPr/>
        <w:t>aşamalı karar</w:t>
      </w:r>
      <w:r>
        <w:rPr>
          <w:spacing w:val="-13"/>
        </w:rPr>
        <w:t> </w:t>
      </w:r>
      <w:r>
        <w:rPr/>
        <w:t>modelinin</w:t>
      </w:r>
      <w:r>
        <w:rPr>
          <w:spacing w:val="-13"/>
        </w:rPr>
        <w:t> </w:t>
      </w:r>
      <w:r>
        <w:rPr/>
        <w:t>dikkate</w:t>
      </w:r>
      <w:r>
        <w:rPr>
          <w:spacing w:val="-12"/>
        </w:rPr>
        <w:t> </w:t>
      </w:r>
      <w:r>
        <w:rPr/>
        <w:t>almadığı</w:t>
      </w:r>
      <w:r>
        <w:rPr>
          <w:spacing w:val="-11"/>
        </w:rPr>
        <w:t> </w:t>
      </w:r>
      <w:r>
        <w:rPr/>
        <w:t>aşamaları</w:t>
      </w:r>
      <w:r>
        <w:rPr>
          <w:spacing w:val="-11"/>
        </w:rPr>
        <w:t> </w:t>
      </w:r>
      <w:r>
        <w:rPr/>
        <w:t>da</w:t>
      </w:r>
      <w:r>
        <w:rPr>
          <w:spacing w:val="-14"/>
        </w:rPr>
        <w:t> </w:t>
      </w:r>
      <w:r>
        <w:rPr/>
        <w:t>dikkate</w:t>
      </w:r>
      <w:r>
        <w:rPr>
          <w:spacing w:val="-14"/>
        </w:rPr>
        <w:t> </w:t>
      </w:r>
      <w:r>
        <w:rPr/>
        <w:t>alan</w:t>
      </w:r>
      <w:r>
        <w:rPr>
          <w:spacing w:val="-13"/>
        </w:rPr>
        <w:t> </w:t>
      </w:r>
      <w:r>
        <w:rPr/>
        <w:t>geleneksel</w:t>
      </w:r>
      <w:r>
        <w:rPr>
          <w:spacing w:val="-13"/>
        </w:rPr>
        <w:t> </w:t>
      </w:r>
      <w:r>
        <w:rPr/>
        <w:t>beş</w:t>
      </w:r>
      <w:r>
        <w:rPr>
          <w:spacing w:val="-11"/>
        </w:rPr>
        <w:t> </w:t>
      </w:r>
      <w:r>
        <w:rPr/>
        <w:t>aşamalı</w:t>
      </w:r>
      <w:r>
        <w:rPr>
          <w:spacing w:val="-13"/>
        </w:rPr>
        <w:t> </w:t>
      </w:r>
      <w:r>
        <w:rPr/>
        <w:t>satın</w:t>
      </w:r>
      <w:r>
        <w:rPr>
          <w:spacing w:val="-13"/>
        </w:rPr>
        <w:t> </w:t>
      </w:r>
      <w:r>
        <w:rPr/>
        <w:t>alma süreci modeli, ihtiyacın ortaya çıkmasından itibaren tüketicinin bilişsel olarak hangi aşamalardan geçtiğini açıklamaya çalışmaktadır (Schiffman ve Wisenblit, 2015: 369). İhtiyacın ortaya çıkması, bilgi arama, alternatiflerin değerlendirilmesi, satın alma kararı ve satın alma sonrası değerlendirme aşamalarından oluşan satın alma süreci (bk. Şekil 1) tüketicinin karşılaşabileceği tüm durumları kapsayan bütüncül bir modeldir (Kotler ve Armstrong, 2016: 183). Ancak, tüketici, her satın alma sürecinde beş aşamanın hepsini geçerek bilişsel süreci tam anlamıyla yaşamak zorunda değildir (Peter ve Olson, 2010:</w:t>
      </w:r>
      <w:r>
        <w:rPr>
          <w:spacing w:val="-40"/>
        </w:rPr>
        <w:t> </w:t>
      </w:r>
      <w:r>
        <w:rPr/>
        <w:t>161). Örneğin,</w:t>
      </w:r>
      <w:r>
        <w:rPr>
          <w:spacing w:val="-12"/>
        </w:rPr>
        <w:t> </w:t>
      </w:r>
      <w:r>
        <w:rPr/>
        <w:t>tüketici</w:t>
      </w:r>
      <w:r>
        <w:rPr>
          <w:spacing w:val="-12"/>
        </w:rPr>
        <w:t> </w:t>
      </w:r>
      <w:r>
        <w:rPr/>
        <w:t>diş</w:t>
      </w:r>
      <w:r>
        <w:rPr>
          <w:spacing w:val="-11"/>
        </w:rPr>
        <w:t> </w:t>
      </w:r>
      <w:r>
        <w:rPr/>
        <w:t>macunu</w:t>
      </w:r>
      <w:r>
        <w:rPr>
          <w:spacing w:val="-12"/>
        </w:rPr>
        <w:t> </w:t>
      </w:r>
      <w:r>
        <w:rPr/>
        <w:t>bittiğinde</w:t>
      </w:r>
      <w:r>
        <w:rPr>
          <w:spacing w:val="-13"/>
        </w:rPr>
        <w:t> </w:t>
      </w:r>
      <w:r>
        <w:rPr/>
        <w:t>her</w:t>
      </w:r>
      <w:r>
        <w:rPr>
          <w:spacing w:val="-12"/>
        </w:rPr>
        <w:t> </w:t>
      </w:r>
      <w:r>
        <w:rPr/>
        <w:t>zaman</w:t>
      </w:r>
      <w:r>
        <w:rPr>
          <w:spacing w:val="-12"/>
        </w:rPr>
        <w:t> </w:t>
      </w:r>
      <w:r>
        <w:rPr/>
        <w:t>kullandığı</w:t>
      </w:r>
      <w:r>
        <w:rPr>
          <w:spacing w:val="-11"/>
        </w:rPr>
        <w:t> </w:t>
      </w:r>
      <w:r>
        <w:rPr/>
        <w:t>markaya</w:t>
      </w:r>
      <w:r>
        <w:rPr>
          <w:spacing w:val="-13"/>
        </w:rPr>
        <w:t> </w:t>
      </w:r>
      <w:r>
        <w:rPr/>
        <w:t>yönelerek,</w:t>
      </w:r>
      <w:r>
        <w:rPr>
          <w:spacing w:val="-12"/>
        </w:rPr>
        <w:t> </w:t>
      </w:r>
      <w:r>
        <w:rPr/>
        <w:t>bilgi</w:t>
      </w:r>
      <w:r>
        <w:rPr>
          <w:spacing w:val="-11"/>
        </w:rPr>
        <w:t> </w:t>
      </w:r>
      <w:r>
        <w:rPr/>
        <w:t>arama ve alternatiflerin değerlendirilmesi aşamalarını atlayıp, doğrudan satın alma kararını verebilir. Yine, tüketici sosyal medyada zaman geçirirken, bildiği ancak daha önce herhangi bir ürününü almadığı bir spor markasının indirim kampanyasını görüp, bilgi arama ve alternatiflerin değerlendirilmesi aşamalarını hızlıca atlayıp markanın internet sayfasından beğendiği bir spor ayakkabıyı satın alma kararı</w:t>
      </w:r>
      <w:r>
        <w:rPr>
          <w:spacing w:val="-4"/>
        </w:rPr>
        <w:t> </w:t>
      </w:r>
      <w:r>
        <w:rPr/>
        <w:t>verebilir.</w:t>
      </w:r>
    </w:p>
    <w:p>
      <w:pPr>
        <w:pStyle w:val="BodyText"/>
        <w:ind w:left="0"/>
        <w:jc w:val="left"/>
        <w:rPr>
          <w:sz w:val="20"/>
        </w:rPr>
      </w:pPr>
    </w:p>
    <w:p>
      <w:pPr>
        <w:pStyle w:val="BodyText"/>
        <w:spacing w:before="4"/>
        <w:ind w:left="0"/>
        <w:jc w:val="left"/>
        <w:rPr>
          <w:sz w:val="26"/>
        </w:rPr>
      </w:pPr>
      <w:r>
        <w:rPr/>
        <w:pict>
          <v:group style="position:absolute;margin-left:113.239998pt;margin-top:17.11541pt;width:59.95pt;height:41.4pt;mso-position-horizontal-relative:page;mso-position-vertical-relative:paragraph;z-index:-15726592;mso-wrap-distance-left:0;mso-wrap-distance-right:0" coordorigin="2265,342" coordsize="1199,828">
            <v:shape style="position:absolute;left:2274;top:352;width:1179;height:808" coordorigin="2275,352" coordsize="1179,808" path="m2275,433l2281,402,2298,376,2324,359,2355,352,3372,352,3404,359,3429,376,3447,402,3453,433,3453,1079,3447,1110,3429,1136,3404,1153,3372,1160,2355,1160,2324,1153,2298,1136,2281,1110,2275,1079,2275,433xe" filled="false" stroked="true" strokeweight="1pt" strokecolor="#528bc1">
              <v:path arrowok="t"/>
              <v:stroke dashstyle="solid"/>
            </v:shape>
            <v:shape style="position:absolute;left:2264;top:342;width:1199;height:828" type="#_x0000_t202" filled="false" stroked="false">
              <v:textbox inset="0,0,0,0">
                <w:txbxContent>
                  <w:p>
                    <w:pPr>
                      <w:spacing w:line="216" w:lineRule="auto" w:before="99"/>
                      <w:ind w:left="231" w:right="230" w:firstLine="0"/>
                      <w:jc w:val="center"/>
                      <w:rPr>
                        <w:sz w:val="20"/>
                      </w:rPr>
                    </w:pPr>
                    <w:r>
                      <w:rPr>
                        <w:sz w:val="20"/>
                      </w:rPr>
                      <w:t>ihtiyacın ortaya çıkması</w:t>
                    </w:r>
                  </w:p>
                </w:txbxContent>
              </v:textbox>
              <w10:wrap type="none"/>
            </v:shape>
            <w10:wrap type="topAndBottom"/>
          </v:group>
        </w:pict>
      </w:r>
      <w:r>
        <w:rPr/>
        <w:drawing>
          <wp:anchor distT="0" distB="0" distL="0" distR="0" allowOverlap="1" layoutInCell="1" locked="0" behindDoc="0" simplePos="0" relativeHeight="5">
            <wp:simplePos x="0" y="0"/>
            <wp:positionH relativeFrom="page">
              <wp:posOffset>2267457</wp:posOffset>
            </wp:positionH>
            <wp:positionV relativeFrom="paragraph">
              <wp:posOffset>387164</wp:posOffset>
            </wp:positionV>
            <wp:extent cx="158677" cy="185737"/>
            <wp:effectExtent l="0" t="0" r="0" b="0"/>
            <wp:wrapTopAndBottom/>
            <wp:docPr id="1" name="image3.png"/>
            <wp:cNvGraphicFramePr>
              <a:graphicFrameLocks noChangeAspect="1"/>
            </wp:cNvGraphicFramePr>
            <a:graphic>
              <a:graphicData uri="http://schemas.openxmlformats.org/drawingml/2006/picture">
                <pic:pic>
                  <pic:nvPicPr>
                    <pic:cNvPr id="2" name="image3.png"/>
                    <pic:cNvPicPr/>
                  </pic:nvPicPr>
                  <pic:blipFill>
                    <a:blip r:embed="rId9" cstate="print"/>
                    <a:stretch>
                      <a:fillRect/>
                    </a:stretch>
                  </pic:blipFill>
                  <pic:spPr>
                    <a:xfrm>
                      <a:off x="0" y="0"/>
                      <a:ext cx="158677" cy="185737"/>
                    </a:xfrm>
                    <a:prstGeom prst="rect">
                      <a:avLst/>
                    </a:prstGeom>
                  </pic:spPr>
                </pic:pic>
              </a:graphicData>
            </a:graphic>
          </wp:anchor>
        </w:drawing>
      </w:r>
      <w:r>
        <w:rPr/>
        <w:pict>
          <v:group style="position:absolute;margin-left:195.710007pt;margin-top:17.11541pt;width:59.95pt;height:41.4pt;mso-position-horizontal-relative:page;mso-position-vertical-relative:paragraph;z-index:-15725056;mso-wrap-distance-left:0;mso-wrap-distance-right:0" coordorigin="3914,342" coordsize="1199,828">
            <v:shape style="position:absolute;left:3924;top:352;width:1179;height:808" coordorigin="3924,352" coordsize="1179,808" path="m3924,433l3931,402,3948,376,3974,359,4005,352,5022,352,5053,359,5079,376,5096,402,5103,433,5103,1079,5096,1110,5079,1136,5053,1153,5022,1160,4005,1160,3974,1153,3948,1136,3931,1110,3924,1079,3924,433xe" filled="false" stroked="true" strokeweight="1pt" strokecolor="#528bc1">
              <v:path arrowok="t"/>
              <v:stroke dashstyle="solid"/>
            </v:shape>
            <v:shape style="position:absolute;left:3914;top:342;width:1199;height:828" type="#_x0000_t202" filled="false" stroked="false">
              <v:textbox inset="0,0,0,0">
                <w:txbxContent>
                  <w:p>
                    <w:pPr>
                      <w:spacing w:line="240" w:lineRule="auto" w:before="0"/>
                      <w:rPr>
                        <w:sz w:val="25"/>
                      </w:rPr>
                    </w:pPr>
                  </w:p>
                  <w:p>
                    <w:pPr>
                      <w:spacing w:before="0"/>
                      <w:ind w:left="146" w:right="0" w:firstLine="0"/>
                      <w:jc w:val="left"/>
                      <w:rPr>
                        <w:sz w:val="20"/>
                      </w:rPr>
                    </w:pPr>
                    <w:r>
                      <w:rPr>
                        <w:sz w:val="20"/>
                      </w:rPr>
                      <w:t>bilgi arama</w:t>
                    </w:r>
                  </w:p>
                </w:txbxContent>
              </v:textbox>
              <w10:wrap type="none"/>
            </v:shape>
            <w10:wrap type="topAndBottom"/>
          </v:group>
        </w:pict>
      </w:r>
      <w:r>
        <w:rPr/>
        <w:drawing>
          <wp:anchor distT="0" distB="0" distL="0" distR="0" allowOverlap="1" layoutInCell="1" locked="0" behindDoc="0" simplePos="0" relativeHeight="8">
            <wp:simplePos x="0" y="0"/>
            <wp:positionH relativeFrom="page">
              <wp:posOffset>3314953</wp:posOffset>
            </wp:positionH>
            <wp:positionV relativeFrom="paragraph">
              <wp:posOffset>387164</wp:posOffset>
            </wp:positionV>
            <wp:extent cx="158677" cy="185737"/>
            <wp:effectExtent l="0" t="0" r="0" b="0"/>
            <wp:wrapTopAndBottom/>
            <wp:docPr id="3" name="image4.png"/>
            <wp:cNvGraphicFramePr>
              <a:graphicFrameLocks noChangeAspect="1"/>
            </wp:cNvGraphicFramePr>
            <a:graphic>
              <a:graphicData uri="http://schemas.openxmlformats.org/drawingml/2006/picture">
                <pic:pic>
                  <pic:nvPicPr>
                    <pic:cNvPr id="4" name="image4.png"/>
                    <pic:cNvPicPr/>
                  </pic:nvPicPr>
                  <pic:blipFill>
                    <a:blip r:embed="rId10" cstate="print"/>
                    <a:stretch>
                      <a:fillRect/>
                    </a:stretch>
                  </pic:blipFill>
                  <pic:spPr>
                    <a:xfrm>
                      <a:off x="0" y="0"/>
                      <a:ext cx="158677" cy="185737"/>
                    </a:xfrm>
                    <a:prstGeom prst="rect">
                      <a:avLst/>
                    </a:prstGeom>
                  </pic:spPr>
                </pic:pic>
              </a:graphicData>
            </a:graphic>
          </wp:anchor>
        </w:drawing>
      </w:r>
      <w:r>
        <w:rPr/>
        <w:pict>
          <v:group style="position:absolute;margin-left:278.190002pt;margin-top:17.11541pt;width:82.1pt;height:41.4pt;mso-position-horizontal-relative:page;mso-position-vertical-relative:paragraph;z-index:-15723520;mso-wrap-distance-left:0;mso-wrap-distance-right:0" coordorigin="5564,342" coordsize="1642,828">
            <v:shape style="position:absolute;left:5573;top:352;width:1622;height:808" coordorigin="5574,352" coordsize="1622,808" path="m5574,433l5580,402,5597,376,5623,359,5655,352,7115,352,7146,359,7172,376,7189,402,7196,433,7196,1079,7189,1110,7172,1136,7146,1153,7115,1160,5655,1160,5623,1153,5597,1136,5580,1110,5574,1079,5574,433xe" filled="false" stroked="true" strokeweight="1pt" strokecolor="#528bc1">
              <v:path arrowok="t"/>
              <v:stroke dashstyle="solid"/>
            </v:shape>
            <v:shape style="position:absolute;left:5563;top:342;width:1642;height:828" type="#_x0000_t202" filled="false" stroked="false">
              <v:textbox inset="0,0,0,0">
                <w:txbxContent>
                  <w:p>
                    <w:pPr>
                      <w:spacing w:line="240" w:lineRule="auto" w:before="7"/>
                      <w:rPr>
                        <w:sz w:val="17"/>
                      </w:rPr>
                    </w:pPr>
                  </w:p>
                  <w:p>
                    <w:pPr>
                      <w:spacing w:line="216" w:lineRule="auto" w:before="0"/>
                      <w:ind w:left="126" w:right="0" w:firstLine="153"/>
                      <w:jc w:val="left"/>
                      <w:rPr>
                        <w:sz w:val="20"/>
                      </w:rPr>
                    </w:pPr>
                    <w:r>
                      <w:rPr>
                        <w:sz w:val="20"/>
                      </w:rPr>
                      <w:t>alternatiflerin değerlendirilmesi</w:t>
                    </w:r>
                  </w:p>
                </w:txbxContent>
              </v:textbox>
              <w10:wrap type="none"/>
            </v:shape>
            <w10:wrap type="topAndBottom"/>
          </v:group>
        </w:pict>
      </w:r>
      <w:r>
        <w:rPr/>
        <w:drawing>
          <wp:anchor distT="0" distB="0" distL="0" distR="0" allowOverlap="1" layoutInCell="1" locked="0" behindDoc="0" simplePos="0" relativeHeight="11">
            <wp:simplePos x="0" y="0"/>
            <wp:positionH relativeFrom="page">
              <wp:posOffset>4644135</wp:posOffset>
            </wp:positionH>
            <wp:positionV relativeFrom="paragraph">
              <wp:posOffset>387164</wp:posOffset>
            </wp:positionV>
            <wp:extent cx="158677" cy="185737"/>
            <wp:effectExtent l="0" t="0" r="0" b="0"/>
            <wp:wrapTopAndBottom/>
            <wp:docPr id="5" name="image4.png"/>
            <wp:cNvGraphicFramePr>
              <a:graphicFrameLocks noChangeAspect="1"/>
            </wp:cNvGraphicFramePr>
            <a:graphic>
              <a:graphicData uri="http://schemas.openxmlformats.org/drawingml/2006/picture">
                <pic:pic>
                  <pic:nvPicPr>
                    <pic:cNvPr id="6" name="image4.png"/>
                    <pic:cNvPicPr/>
                  </pic:nvPicPr>
                  <pic:blipFill>
                    <a:blip r:embed="rId10" cstate="print"/>
                    <a:stretch>
                      <a:fillRect/>
                    </a:stretch>
                  </pic:blipFill>
                  <pic:spPr>
                    <a:xfrm>
                      <a:off x="0" y="0"/>
                      <a:ext cx="158677" cy="185737"/>
                    </a:xfrm>
                    <a:prstGeom prst="rect">
                      <a:avLst/>
                    </a:prstGeom>
                  </pic:spPr>
                </pic:pic>
              </a:graphicData>
            </a:graphic>
          </wp:anchor>
        </w:drawing>
      </w:r>
      <w:r>
        <w:rPr/>
        <w:pict>
          <v:group style="position:absolute;margin-left:382.850006pt;margin-top:17.11541pt;width:59.95pt;height:41.4pt;mso-position-horizontal-relative:page;mso-position-vertical-relative:paragraph;z-index:-15721984;mso-wrap-distance-left:0;mso-wrap-distance-right:0" coordorigin="7657,342" coordsize="1199,828">
            <v:shape style="position:absolute;left:7667;top:352;width:1179;height:808" coordorigin="7667,352" coordsize="1179,808" path="m7667,433l7673,402,7691,376,7716,359,7748,352,8765,352,8796,359,8822,376,8839,402,8845,433,8845,1079,8839,1110,8822,1136,8796,1153,8765,1160,7748,1160,7716,1153,7691,1136,7673,1110,7667,1079,7667,433xe" filled="false" stroked="true" strokeweight="1pt" strokecolor="#528bc1">
              <v:path arrowok="t"/>
              <v:stroke dashstyle="solid"/>
            </v:shape>
            <v:shape style="position:absolute;left:7657;top:342;width:1199;height:828" type="#_x0000_t202" filled="false" stroked="false">
              <v:textbox inset="0,0,0,0">
                <w:txbxContent>
                  <w:p>
                    <w:pPr>
                      <w:spacing w:line="240" w:lineRule="auto" w:before="7"/>
                      <w:rPr>
                        <w:sz w:val="17"/>
                      </w:rPr>
                    </w:pPr>
                  </w:p>
                  <w:p>
                    <w:pPr>
                      <w:spacing w:line="216" w:lineRule="auto" w:before="0"/>
                      <w:ind w:left="366" w:right="0" w:hanging="173"/>
                      <w:jc w:val="left"/>
                      <w:rPr>
                        <w:sz w:val="20"/>
                      </w:rPr>
                    </w:pPr>
                    <w:r>
                      <w:rPr>
                        <w:sz w:val="20"/>
                      </w:rPr>
                      <w:t>satın alma kararı</w:t>
                    </w:r>
                  </w:p>
                </w:txbxContent>
              </v:textbox>
              <w10:wrap type="none"/>
            </v:shape>
            <w10:wrap type="topAndBottom"/>
          </v:group>
        </w:pict>
      </w:r>
      <w:r>
        <w:rPr/>
        <w:drawing>
          <wp:anchor distT="0" distB="0" distL="0" distR="0" allowOverlap="1" layoutInCell="1" locked="0" behindDoc="0" simplePos="0" relativeHeight="14">
            <wp:simplePos x="0" y="0"/>
            <wp:positionH relativeFrom="page">
              <wp:posOffset>5691632</wp:posOffset>
            </wp:positionH>
            <wp:positionV relativeFrom="paragraph">
              <wp:posOffset>387164</wp:posOffset>
            </wp:positionV>
            <wp:extent cx="158677" cy="185737"/>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158677" cy="185737"/>
                    </a:xfrm>
                    <a:prstGeom prst="rect">
                      <a:avLst/>
                    </a:prstGeom>
                  </pic:spPr>
                </pic:pic>
              </a:graphicData>
            </a:graphic>
          </wp:anchor>
        </w:drawing>
      </w:r>
      <w:r>
        <w:rPr/>
        <w:pict>
          <v:group style="position:absolute;margin-left:465.329987pt;margin-top:17.11541pt;width:72.75pt;height:41.4pt;mso-position-horizontal-relative:page;mso-position-vertical-relative:paragraph;z-index:-15720448;mso-wrap-distance-left:0;mso-wrap-distance-right:0" coordorigin="9307,342" coordsize="1455,828">
            <v:shape style="position:absolute;left:9316;top:352;width:1435;height:808" coordorigin="9317,352" coordsize="1435,808" path="m9317,433l9323,402,9340,376,9366,359,9397,352,10671,352,10702,359,10728,376,10745,402,10751,433,10751,1079,10745,1110,10728,1136,10702,1153,10671,1160,9397,1160,9366,1153,9340,1136,9323,1110,9317,1079,9317,433xe" filled="false" stroked="true" strokeweight="1pt" strokecolor="#528bc1">
              <v:path arrowok="t"/>
              <v:stroke dashstyle="solid"/>
            </v:shape>
            <v:shape style="position:absolute;left:9306;top:342;width:1455;height:828" type="#_x0000_t202" filled="false" stroked="false">
              <v:textbox inset="0,0,0,0">
                <w:txbxContent>
                  <w:p>
                    <w:pPr>
                      <w:spacing w:line="216" w:lineRule="auto" w:before="99"/>
                      <w:ind w:left="153" w:right="150" w:firstLine="3"/>
                      <w:jc w:val="center"/>
                      <w:rPr>
                        <w:sz w:val="20"/>
                      </w:rPr>
                    </w:pPr>
                    <w:r>
                      <w:rPr>
                        <w:sz w:val="20"/>
                      </w:rPr>
                      <w:t>satın alma sonrası </w:t>
                    </w:r>
                    <w:r>
                      <w:rPr>
                        <w:spacing w:val="-1"/>
                        <w:sz w:val="20"/>
                      </w:rPr>
                      <w:t>değerlendirme</w:t>
                    </w:r>
                  </w:p>
                </w:txbxContent>
              </v:textbox>
              <w10:wrap type="none"/>
            </v:shape>
            <w10:wrap type="topAndBottom"/>
          </v:group>
        </w:pict>
      </w:r>
    </w:p>
    <w:p>
      <w:pPr>
        <w:pStyle w:val="BodyText"/>
        <w:spacing w:before="2"/>
        <w:ind w:left="0"/>
        <w:jc w:val="left"/>
        <w:rPr>
          <w:sz w:val="33"/>
        </w:rPr>
      </w:pPr>
    </w:p>
    <w:p>
      <w:pPr>
        <w:pStyle w:val="BodyText"/>
        <w:spacing w:before="1"/>
        <w:ind w:right="3829"/>
        <w:jc w:val="left"/>
      </w:pPr>
      <w:r>
        <w:rPr>
          <w:b/>
        </w:rPr>
        <w:t>Şekil 1: </w:t>
      </w:r>
      <w:r>
        <w:rPr/>
        <w:t>Geleneksel Tüketici Satın Alma Karar Süreci Kaynak: Kotler ve Armstrong, 2016: 183</w:t>
      </w:r>
    </w:p>
    <w:p>
      <w:pPr>
        <w:pStyle w:val="BodyText"/>
        <w:spacing w:before="9"/>
        <w:ind w:left="0"/>
        <w:jc w:val="left"/>
        <w:rPr>
          <w:sz w:val="20"/>
        </w:rPr>
      </w:pPr>
    </w:p>
    <w:p>
      <w:pPr>
        <w:pStyle w:val="BodyText"/>
        <w:spacing w:line="360" w:lineRule="auto" w:before="1"/>
        <w:ind w:right="308" w:firstLine="708"/>
      </w:pPr>
      <w:r>
        <w:rPr/>
        <w:t>Çoğu</w:t>
      </w:r>
      <w:r>
        <w:rPr>
          <w:spacing w:val="-7"/>
        </w:rPr>
        <w:t> </w:t>
      </w:r>
      <w:r>
        <w:rPr/>
        <w:t>araştırmacı,</w:t>
      </w:r>
      <w:r>
        <w:rPr>
          <w:spacing w:val="-6"/>
        </w:rPr>
        <w:t> </w:t>
      </w:r>
      <w:r>
        <w:rPr/>
        <w:t>bir</w:t>
      </w:r>
      <w:r>
        <w:rPr>
          <w:spacing w:val="-7"/>
        </w:rPr>
        <w:t> </w:t>
      </w:r>
      <w:r>
        <w:rPr/>
        <w:t>tüketicinin</w:t>
      </w:r>
      <w:r>
        <w:rPr>
          <w:spacing w:val="-6"/>
        </w:rPr>
        <w:t> </w:t>
      </w:r>
      <w:r>
        <w:rPr/>
        <w:t>online</w:t>
      </w:r>
      <w:r>
        <w:rPr>
          <w:spacing w:val="-7"/>
        </w:rPr>
        <w:t> </w:t>
      </w:r>
      <w:r>
        <w:rPr/>
        <w:t>satın</w:t>
      </w:r>
      <w:r>
        <w:rPr>
          <w:spacing w:val="-6"/>
        </w:rPr>
        <w:t> </w:t>
      </w:r>
      <w:r>
        <w:rPr/>
        <w:t>alma</w:t>
      </w:r>
      <w:r>
        <w:rPr>
          <w:spacing w:val="-5"/>
        </w:rPr>
        <w:t> </w:t>
      </w:r>
      <w:r>
        <w:rPr/>
        <w:t>davranışı</w:t>
      </w:r>
      <w:r>
        <w:rPr>
          <w:spacing w:val="-5"/>
        </w:rPr>
        <w:t> </w:t>
      </w:r>
      <w:r>
        <w:rPr/>
        <w:t>ile</w:t>
      </w:r>
      <w:r>
        <w:rPr>
          <w:spacing w:val="-7"/>
        </w:rPr>
        <w:t> </w:t>
      </w:r>
      <w:r>
        <w:rPr/>
        <w:t>geleneksel</w:t>
      </w:r>
      <w:r>
        <w:rPr>
          <w:spacing w:val="-6"/>
        </w:rPr>
        <w:t> </w:t>
      </w:r>
      <w:r>
        <w:rPr/>
        <w:t>satın</w:t>
      </w:r>
      <w:r>
        <w:rPr>
          <w:spacing w:val="-6"/>
        </w:rPr>
        <w:t> </w:t>
      </w:r>
      <w:r>
        <w:rPr/>
        <w:t>alma davranışı arasında kayda değer fark olmadığını savunsa da online alışverişlerde oldukça önemli olan güven unsuru sürecin farklı ilerlemesine neden olmaktadır (Constantinides, 2004). İhtiyacını gidermek için internetten alışveriş yapmayı planlayan tüketicinin karşısına daha önce hiç duymadığı/görmediği ürünlerin, markaların ve/veya satıcıların çıkması olasıdır. Bu durumda, tüketici karşısına çıkan oldukça fazla seçeneği güven süzgecinden geçirerek</w:t>
      </w:r>
      <w:r>
        <w:rPr>
          <w:spacing w:val="30"/>
        </w:rPr>
        <w:t> </w:t>
      </w:r>
      <w:r>
        <w:rPr/>
        <w:t>değerlendirme</w:t>
      </w:r>
      <w:r>
        <w:rPr>
          <w:spacing w:val="31"/>
        </w:rPr>
        <w:t> </w:t>
      </w:r>
      <w:r>
        <w:rPr/>
        <w:t>kümesine</w:t>
      </w:r>
      <w:r>
        <w:rPr>
          <w:spacing w:val="30"/>
        </w:rPr>
        <w:t> </w:t>
      </w:r>
      <w:r>
        <w:rPr/>
        <w:t>alacaktır.</w:t>
      </w:r>
      <w:r>
        <w:rPr>
          <w:spacing w:val="29"/>
        </w:rPr>
        <w:t> </w:t>
      </w:r>
      <w:r>
        <w:rPr/>
        <w:t>Online</w:t>
      </w:r>
      <w:r>
        <w:rPr>
          <w:spacing w:val="30"/>
        </w:rPr>
        <w:t> </w:t>
      </w:r>
      <w:r>
        <w:rPr/>
        <w:t>satın</w:t>
      </w:r>
      <w:r>
        <w:rPr>
          <w:spacing w:val="30"/>
        </w:rPr>
        <w:t> </w:t>
      </w:r>
      <w:r>
        <w:rPr/>
        <w:t>alma</w:t>
      </w:r>
      <w:r>
        <w:rPr>
          <w:spacing w:val="30"/>
        </w:rPr>
        <w:t> </w:t>
      </w:r>
      <w:r>
        <w:rPr/>
        <w:t>sürecinde</w:t>
      </w:r>
      <w:r>
        <w:rPr>
          <w:spacing w:val="32"/>
        </w:rPr>
        <w:t> </w:t>
      </w:r>
      <w:r>
        <w:rPr/>
        <w:t>oldukça</w:t>
      </w:r>
      <w:r>
        <w:rPr>
          <w:spacing w:val="28"/>
        </w:rPr>
        <w:t> </w:t>
      </w:r>
      <w:r>
        <w:rPr/>
        <w:t>önemli</w:t>
      </w:r>
    </w:p>
    <w:p>
      <w:pPr>
        <w:spacing w:after="0" w:line="360" w:lineRule="auto"/>
        <w:sectPr>
          <w:pgSz w:w="12240" w:h="15840"/>
          <w:pgMar w:header="718" w:footer="0" w:top="1300" w:bottom="280" w:left="1720" w:right="820"/>
        </w:sectPr>
      </w:pPr>
    </w:p>
    <w:p>
      <w:pPr>
        <w:pStyle w:val="BodyText"/>
        <w:spacing w:line="360" w:lineRule="auto" w:before="100"/>
        <w:ind w:right="312"/>
        <w:jc w:val="left"/>
      </w:pPr>
      <w:r>
        <w:rPr/>
        <w:t>olan güven inşasının da geleneksel sürece dahil edilmesiyle Şekil 2’deki online satın alma karar süreci elde edilmektedir. Alt başlıklarda sürecin aşamaları açıklanmaktadır.</w:t>
      </w:r>
    </w:p>
    <w:p>
      <w:pPr>
        <w:pStyle w:val="BodyText"/>
        <w:ind w:left="0"/>
        <w:jc w:val="left"/>
        <w:rPr>
          <w:sz w:val="20"/>
        </w:rPr>
      </w:pPr>
    </w:p>
    <w:p>
      <w:pPr>
        <w:pStyle w:val="BodyText"/>
        <w:spacing w:before="1"/>
        <w:ind w:left="0"/>
        <w:jc w:val="left"/>
        <w:rPr>
          <w:sz w:val="23"/>
        </w:rPr>
      </w:pPr>
      <w:r>
        <w:rPr/>
        <w:pict>
          <v:group style="position:absolute;margin-left:114.690002pt;margin-top:15.249043pt;width:46.45pt;height:41.1pt;mso-position-horizontal-relative:page;mso-position-vertical-relative:paragraph;z-index:-15719424;mso-wrap-distance-left:0;mso-wrap-distance-right:0" coordorigin="2294,305" coordsize="929,822">
            <v:shape style="position:absolute;left:2303;top:314;width:909;height:802" coordorigin="2304,315" coordsize="909,802" path="m2304,395l2310,364,2327,338,2353,321,2384,315,3133,315,3164,321,3189,338,3207,364,3213,395,3213,1037,3207,1068,3189,1093,3164,1110,3133,1117,2384,1117,2353,1110,2327,1093,2310,1068,2304,1037,2304,395xe" filled="false" stroked="true" strokeweight="1pt" strokecolor="#528bc1">
              <v:path arrowok="t"/>
              <v:stroke dashstyle="solid"/>
            </v:shape>
            <v:shape style="position:absolute;left:2293;top:304;width:929;height:822" type="#_x0000_t202" filled="false" stroked="false">
              <v:textbox inset="0,0,0,0">
                <w:txbxContent>
                  <w:p>
                    <w:pPr>
                      <w:spacing w:line="216" w:lineRule="auto" w:before="96"/>
                      <w:ind w:left="96" w:right="95" w:firstLine="0"/>
                      <w:jc w:val="center"/>
                      <w:rPr>
                        <w:sz w:val="20"/>
                      </w:rPr>
                    </w:pPr>
                    <w:r>
                      <w:rPr>
                        <w:sz w:val="20"/>
                      </w:rPr>
                      <w:t>ihtiyacın ortaya çıkması</w:t>
                    </w:r>
                  </w:p>
                </w:txbxContent>
              </v:textbox>
              <w10:wrap type="none"/>
            </v:shape>
            <w10:wrap type="topAndBottom"/>
          </v:group>
        </w:pict>
      </w:r>
      <w:r>
        <w:rPr/>
        <w:pict>
          <v:group style="position:absolute;margin-left:165.190002pt;margin-top:15.249043pt;width:59.6pt;height:41.1pt;mso-position-horizontal-relative:page;mso-position-vertical-relative:paragraph;z-index:-15718400;mso-wrap-distance-left:0;mso-wrap-distance-right:0" coordorigin="3304,305" coordsize="1192,822">
            <v:shape style="position:absolute;left:3303;top:603;width:193;height:226" type="#_x0000_t75" stroked="false">
              <v:imagedata r:id="rId11" o:title=""/>
            </v:shape>
            <v:shape style="position:absolute;left:3576;top:314;width:909;height:802" coordorigin="3576,315" coordsize="909,802" path="m3576,395l3583,364,3600,338,3625,321,3657,315,4405,315,4436,321,4462,338,4479,364,4485,395,4485,1037,4479,1068,4462,1093,4436,1110,4405,1117,3657,1117,3625,1110,3600,1093,3583,1068,3576,1037,3576,395xe" filled="false" stroked="true" strokeweight="1pt" strokecolor="#528bc1">
              <v:path arrowok="t"/>
              <v:stroke dashstyle="solid"/>
            </v:shape>
            <v:shape style="position:absolute;left:3303;top:304;width:1192;height:822" type="#_x0000_t202" filled="false" stroked="false">
              <v:textbox inset="0,0,0,0">
                <w:txbxContent>
                  <w:p>
                    <w:pPr>
                      <w:spacing w:line="240" w:lineRule="auto" w:before="3"/>
                      <w:rPr>
                        <w:sz w:val="17"/>
                      </w:rPr>
                    </w:pPr>
                  </w:p>
                  <w:p>
                    <w:pPr>
                      <w:spacing w:line="216" w:lineRule="auto" w:before="1"/>
                      <w:ind w:left="483" w:right="0" w:firstLine="60"/>
                      <w:jc w:val="left"/>
                      <w:rPr>
                        <w:sz w:val="20"/>
                      </w:rPr>
                    </w:pPr>
                    <w:r>
                      <w:rPr>
                        <w:sz w:val="20"/>
                      </w:rPr>
                      <w:t>bilgi arama</w:t>
                    </w:r>
                  </w:p>
                </w:txbxContent>
              </v:textbox>
              <w10:wrap type="none"/>
            </v:shape>
            <w10:wrap type="topAndBottom"/>
          </v:group>
        </w:pict>
      </w:r>
      <w:r>
        <w:rPr/>
        <w:pict>
          <v:group style="position:absolute;margin-left:228.820007pt;margin-top:15.249043pt;width:59.6pt;height:41.1pt;mso-position-horizontal-relative:page;mso-position-vertical-relative:paragraph;z-index:-15717376;mso-wrap-distance-left:0;mso-wrap-distance-right:0" coordorigin="4576,305" coordsize="1192,822">
            <v:shape style="position:absolute;left:4576;top:603;width:193;height:226" type="#_x0000_t75" stroked="false">
              <v:imagedata r:id="rId12" o:title=""/>
            </v:shape>
            <v:shape style="position:absolute;left:4849;top:314;width:910;height:802" coordorigin="4849,315" coordsize="910,802" path="m4849,395l4855,364,4873,338,4898,321,4929,315,5678,315,5709,321,5735,338,5752,364,5758,395,5758,1037,5752,1068,5735,1093,5709,1110,5678,1117,4929,1117,4898,1110,4873,1093,4855,1068,4849,1037,4849,395xe" filled="false" stroked="true" strokeweight="1pt" strokecolor="#528bc1">
              <v:path arrowok="t"/>
              <v:stroke dashstyle="solid"/>
            </v:shape>
            <v:shape style="position:absolute;left:4576;top:304;width:1192;height:822" type="#_x0000_t202" filled="false" stroked="false">
              <v:textbox inset="0,0,0,0">
                <w:txbxContent>
                  <w:p>
                    <w:pPr>
                      <w:spacing w:line="240" w:lineRule="auto" w:before="3"/>
                      <w:rPr>
                        <w:sz w:val="17"/>
                      </w:rPr>
                    </w:pPr>
                  </w:p>
                  <w:p>
                    <w:pPr>
                      <w:spacing w:line="216" w:lineRule="auto" w:before="1"/>
                      <w:ind w:left="501" w:right="0" w:hanging="15"/>
                      <w:jc w:val="left"/>
                      <w:rPr>
                        <w:sz w:val="20"/>
                      </w:rPr>
                    </w:pPr>
                    <w:r>
                      <w:rPr>
                        <w:sz w:val="20"/>
                      </w:rPr>
                      <w:t>güven inşası</w:t>
                    </w:r>
                  </w:p>
                </w:txbxContent>
              </v:textbox>
              <w10:wrap type="none"/>
            </v:shape>
            <w10:wrap type="topAndBottom"/>
          </v:group>
        </w:pict>
      </w:r>
      <w:r>
        <w:rPr/>
        <w:pict>
          <v:group style="position:absolute;margin-left:292.450012pt;margin-top:15.249043pt;width:96.15pt;height:41.1pt;mso-position-horizontal-relative:page;mso-position-vertical-relative:paragraph;z-index:-15716352;mso-wrap-distance-left:0;mso-wrap-distance-right:0" coordorigin="5849,305" coordsize="1923,822">
            <v:shape style="position:absolute;left:5849;top:603;width:193;height:226" type="#_x0000_t75" stroked="false">
              <v:imagedata r:id="rId13" o:title=""/>
            </v:shape>
            <v:shape style="position:absolute;left:6121;top:314;width:1640;height:802" coordorigin="6122,315" coordsize="1640,802" path="m6122,395l6128,364,6145,338,6171,321,6202,315,7681,315,7712,321,7738,338,7755,364,7761,395,7761,1037,7755,1068,7738,1093,7712,1110,7681,1117,6202,1117,6171,1110,6145,1093,6128,1068,6122,1037,6122,395xe" filled="false" stroked="true" strokeweight="1pt" strokecolor="#528bc1">
              <v:path arrowok="t"/>
              <v:stroke dashstyle="solid"/>
            </v:shape>
            <v:shape style="position:absolute;left:5849;top:304;width:1923;height:822" type="#_x0000_t202" filled="false" stroked="false">
              <v:textbox inset="0,0,0,0">
                <w:txbxContent>
                  <w:p>
                    <w:pPr>
                      <w:spacing w:line="240" w:lineRule="auto" w:before="3"/>
                      <w:rPr>
                        <w:sz w:val="17"/>
                      </w:rPr>
                    </w:pPr>
                  </w:p>
                  <w:p>
                    <w:pPr>
                      <w:spacing w:line="216" w:lineRule="auto" w:before="1"/>
                      <w:ind w:left="398" w:right="0" w:firstLine="153"/>
                      <w:jc w:val="left"/>
                      <w:rPr>
                        <w:sz w:val="20"/>
                      </w:rPr>
                    </w:pPr>
                    <w:r>
                      <w:rPr>
                        <w:sz w:val="20"/>
                      </w:rPr>
                      <w:t>alternatiflerin değerlendirilmesi</w:t>
                    </w:r>
                  </w:p>
                </w:txbxContent>
              </v:textbox>
              <w10:wrap type="none"/>
            </v:shape>
            <w10:wrap type="topAndBottom"/>
          </v:group>
        </w:pict>
      </w:r>
      <w:r>
        <w:rPr/>
        <w:pict>
          <v:group style="position:absolute;margin-left:392.609985pt;margin-top:15.249043pt;width:59.6pt;height:41.1pt;mso-position-horizontal-relative:page;mso-position-vertical-relative:paragraph;z-index:-15715328;mso-wrap-distance-left:0;mso-wrap-distance-right:0" coordorigin="7852,305" coordsize="1192,822">
            <v:shape style="position:absolute;left:7852;top:603;width:193;height:226" type="#_x0000_t75" stroked="false">
              <v:imagedata r:id="rId13" o:title=""/>
            </v:shape>
            <v:shape style="position:absolute;left:8125;top:314;width:909;height:802" coordorigin="8125,315" coordsize="909,802" path="m8125,395l8131,364,8148,338,8174,321,8205,315,8954,315,8985,321,9010,338,9028,364,9034,395,9034,1037,9028,1068,9010,1093,8985,1110,8954,1117,8205,1117,8174,1110,8148,1093,8131,1068,8125,1037,8125,395xe" filled="false" stroked="true" strokeweight="1pt" strokecolor="#528bc1">
              <v:path arrowok="t"/>
              <v:stroke dashstyle="solid"/>
            </v:shape>
            <v:shape style="position:absolute;left:7852;top:304;width:1192;height:822" type="#_x0000_t202" filled="false" stroked="false">
              <v:textbox inset="0,0,0,0">
                <w:txbxContent>
                  <w:p>
                    <w:pPr>
                      <w:spacing w:line="216" w:lineRule="auto" w:before="96"/>
                      <w:ind w:left="494" w:right="229" w:firstLine="45"/>
                      <w:jc w:val="both"/>
                      <w:rPr>
                        <w:sz w:val="20"/>
                      </w:rPr>
                    </w:pPr>
                    <w:r>
                      <w:rPr>
                        <w:sz w:val="20"/>
                      </w:rPr>
                      <w:t>satın alma kararı</w:t>
                    </w:r>
                  </w:p>
                </w:txbxContent>
              </v:textbox>
              <w10:wrap type="none"/>
            </v:shape>
            <w10:wrap type="topAndBottom"/>
          </v:group>
        </w:pict>
      </w:r>
      <w:r>
        <w:rPr/>
        <w:pict>
          <v:group style="position:absolute;margin-left:456.23999pt;margin-top:15.249043pt;width:83.4pt;height:41.1pt;mso-position-horizontal-relative:page;mso-position-vertical-relative:paragraph;z-index:-15714304;mso-wrap-distance-left:0;mso-wrap-distance-right:0" coordorigin="9125,305" coordsize="1668,822">
            <v:shape style="position:absolute;left:9124;top:603;width:193;height:226" type="#_x0000_t75" stroked="false">
              <v:imagedata r:id="rId14" o:title=""/>
            </v:shape>
            <v:shape style="position:absolute;left:9397;top:314;width:1385;height:802" coordorigin="9398,315" coordsize="1385,802" path="m9398,395l9404,364,9421,338,9447,321,9478,315,10702,315,10733,321,10759,338,10776,364,10782,395,10782,1037,10776,1068,10759,1093,10733,1110,10702,1117,9478,1117,9447,1110,9421,1093,9404,1068,9398,1037,9398,395xe" filled="false" stroked="true" strokeweight="1pt" strokecolor="#528bc1">
              <v:path arrowok="t"/>
              <v:stroke dashstyle="solid"/>
            </v:shape>
            <v:shape style="position:absolute;left:9124;top:304;width:1668;height:822" type="#_x0000_t202" filled="false" stroked="false">
              <v:textbox inset="0,0,0,0">
                <w:txbxContent>
                  <w:p>
                    <w:pPr>
                      <w:spacing w:line="216" w:lineRule="auto" w:before="96"/>
                      <w:ind w:left="391" w:right="125" w:hanging="2"/>
                      <w:jc w:val="center"/>
                      <w:rPr>
                        <w:sz w:val="20"/>
                      </w:rPr>
                    </w:pPr>
                    <w:r>
                      <w:rPr>
                        <w:sz w:val="20"/>
                      </w:rPr>
                      <w:t>satın alma sonrası </w:t>
                    </w:r>
                    <w:r>
                      <w:rPr>
                        <w:spacing w:val="-1"/>
                        <w:sz w:val="20"/>
                      </w:rPr>
                      <w:t>değerlendirme</w:t>
                    </w:r>
                  </w:p>
                </w:txbxContent>
              </v:textbox>
              <w10:wrap type="none"/>
            </v:shape>
            <w10:wrap type="topAndBottom"/>
          </v:group>
        </w:pict>
      </w:r>
    </w:p>
    <w:p>
      <w:pPr>
        <w:pStyle w:val="BodyText"/>
        <w:spacing w:before="4"/>
        <w:ind w:left="0"/>
        <w:jc w:val="left"/>
        <w:rPr>
          <w:sz w:val="33"/>
        </w:rPr>
      </w:pPr>
    </w:p>
    <w:p>
      <w:pPr>
        <w:pStyle w:val="BodyText"/>
        <w:ind w:right="4388"/>
      </w:pPr>
      <w:r>
        <w:rPr>
          <w:b/>
        </w:rPr>
        <w:t>Şekil 2: </w:t>
      </w:r>
      <w:r>
        <w:rPr/>
        <w:t>Online Tüketici Satın Alma Karar</w:t>
      </w:r>
      <w:r>
        <w:rPr>
          <w:spacing w:val="-21"/>
        </w:rPr>
        <w:t> </w:t>
      </w:r>
      <w:r>
        <w:rPr/>
        <w:t>Süreci Kaynak: Constantinides,</w:t>
      </w:r>
      <w:r>
        <w:rPr>
          <w:spacing w:val="-1"/>
        </w:rPr>
        <w:t> </w:t>
      </w:r>
      <w:r>
        <w:rPr/>
        <w:t>2004</w:t>
      </w:r>
    </w:p>
    <w:p>
      <w:pPr>
        <w:pStyle w:val="Heading1"/>
        <w:numPr>
          <w:ilvl w:val="2"/>
          <w:numId w:val="1"/>
        </w:numPr>
        <w:tabs>
          <w:tab w:pos="1857" w:val="left" w:leader="none"/>
        </w:tabs>
        <w:spacing w:line="240" w:lineRule="auto" w:before="120" w:after="0"/>
        <w:ind w:left="1856" w:right="0" w:hanging="601"/>
        <w:jc w:val="both"/>
      </w:pPr>
      <w:r>
        <w:rPr/>
        <w:t>İhtiyacın Ortaya Çıkması</w:t>
      </w:r>
    </w:p>
    <w:p>
      <w:pPr>
        <w:pStyle w:val="BodyText"/>
        <w:spacing w:line="360" w:lineRule="auto" w:before="140"/>
        <w:ind w:right="308" w:firstLine="708"/>
      </w:pPr>
      <w:r>
        <w:rPr/>
        <w:t>Satın alma sürecinin başlayabilmesi için öncelikli olarak bir ihtiyaç olmalıdır. İhtiyacın ortaya çıkması için mevcut durum ile istenen durum arasında boşluk oluşması ve bu boşluktan kaynaklanan ihtiyacın tüketicinin farkındalık eşiğine ulaşması gerekmektedir (Butler</w:t>
      </w:r>
      <w:r>
        <w:rPr>
          <w:spacing w:val="-15"/>
        </w:rPr>
        <w:t> </w:t>
      </w:r>
      <w:r>
        <w:rPr/>
        <w:t>ve</w:t>
      </w:r>
      <w:r>
        <w:rPr>
          <w:spacing w:val="-14"/>
        </w:rPr>
        <w:t> </w:t>
      </w:r>
      <w:r>
        <w:rPr/>
        <w:t>Peppard,</w:t>
      </w:r>
      <w:r>
        <w:rPr>
          <w:spacing w:val="-13"/>
        </w:rPr>
        <w:t> </w:t>
      </w:r>
      <w:r>
        <w:rPr/>
        <w:t>1998).</w:t>
      </w:r>
      <w:r>
        <w:rPr>
          <w:spacing w:val="-14"/>
        </w:rPr>
        <w:t> </w:t>
      </w:r>
      <w:r>
        <w:rPr/>
        <w:t>Bu</w:t>
      </w:r>
      <w:r>
        <w:rPr>
          <w:spacing w:val="-13"/>
        </w:rPr>
        <w:t> </w:t>
      </w:r>
      <w:r>
        <w:rPr/>
        <w:t>noktada</w:t>
      </w:r>
      <w:r>
        <w:rPr>
          <w:spacing w:val="-15"/>
        </w:rPr>
        <w:t> </w:t>
      </w:r>
      <w:r>
        <w:rPr/>
        <w:t>iki</w:t>
      </w:r>
      <w:r>
        <w:rPr>
          <w:spacing w:val="-15"/>
        </w:rPr>
        <w:t> </w:t>
      </w:r>
      <w:r>
        <w:rPr/>
        <w:t>tür</w:t>
      </w:r>
      <w:r>
        <w:rPr>
          <w:spacing w:val="-15"/>
        </w:rPr>
        <w:t> </w:t>
      </w:r>
      <w:r>
        <w:rPr/>
        <w:t>ihtiyaç</w:t>
      </w:r>
      <w:r>
        <w:rPr>
          <w:spacing w:val="-14"/>
        </w:rPr>
        <w:t> </w:t>
      </w:r>
      <w:r>
        <w:rPr/>
        <w:t>farkındalığından</w:t>
      </w:r>
      <w:r>
        <w:rPr>
          <w:spacing w:val="-14"/>
        </w:rPr>
        <w:t> </w:t>
      </w:r>
      <w:r>
        <w:rPr/>
        <w:t>söz</w:t>
      </w:r>
      <w:r>
        <w:rPr>
          <w:spacing w:val="-14"/>
        </w:rPr>
        <w:t> </w:t>
      </w:r>
      <w:r>
        <w:rPr/>
        <w:t>edilebilir.</w:t>
      </w:r>
      <w:r>
        <w:rPr>
          <w:spacing w:val="-15"/>
        </w:rPr>
        <w:t> </w:t>
      </w:r>
      <w:r>
        <w:rPr/>
        <w:t>İlki,</w:t>
      </w:r>
      <w:r>
        <w:rPr>
          <w:spacing w:val="-13"/>
        </w:rPr>
        <w:t> </w:t>
      </w:r>
      <w:r>
        <w:rPr/>
        <w:t>arzu edilen durum oluşması neticesinde ihtiyacın ortaya çıkmasıdır. Bu tür ihtiyaç, tüketici için yeni</w:t>
      </w:r>
      <w:r>
        <w:rPr>
          <w:spacing w:val="-15"/>
        </w:rPr>
        <w:t> </w:t>
      </w:r>
      <w:r>
        <w:rPr/>
        <w:t>olan</w:t>
      </w:r>
      <w:r>
        <w:rPr>
          <w:spacing w:val="-16"/>
        </w:rPr>
        <w:t> </w:t>
      </w:r>
      <w:r>
        <w:rPr/>
        <w:t>bir</w:t>
      </w:r>
      <w:r>
        <w:rPr>
          <w:spacing w:val="-15"/>
        </w:rPr>
        <w:t> </w:t>
      </w:r>
      <w:r>
        <w:rPr/>
        <w:t>ürün</w:t>
      </w:r>
      <w:r>
        <w:rPr>
          <w:spacing w:val="-17"/>
        </w:rPr>
        <w:t> </w:t>
      </w:r>
      <w:r>
        <w:rPr/>
        <w:t>için</w:t>
      </w:r>
      <w:r>
        <w:rPr>
          <w:spacing w:val="-14"/>
        </w:rPr>
        <w:t> </w:t>
      </w:r>
      <w:r>
        <w:rPr/>
        <w:t>“hissedilen”</w:t>
      </w:r>
      <w:r>
        <w:rPr>
          <w:spacing w:val="-17"/>
        </w:rPr>
        <w:t> </w:t>
      </w:r>
      <w:r>
        <w:rPr/>
        <w:t>ihtiyaçtır.</w:t>
      </w:r>
      <w:r>
        <w:rPr>
          <w:spacing w:val="-16"/>
        </w:rPr>
        <w:t> </w:t>
      </w:r>
      <w:r>
        <w:rPr/>
        <w:t>Akıllı</w:t>
      </w:r>
      <w:r>
        <w:rPr>
          <w:spacing w:val="-15"/>
        </w:rPr>
        <w:t> </w:t>
      </w:r>
      <w:r>
        <w:rPr/>
        <w:t>telefonu</w:t>
      </w:r>
      <w:r>
        <w:rPr>
          <w:spacing w:val="-16"/>
        </w:rPr>
        <w:t> </w:t>
      </w:r>
      <w:r>
        <w:rPr/>
        <w:t>olmayan</w:t>
      </w:r>
      <w:r>
        <w:rPr>
          <w:spacing w:val="-16"/>
        </w:rPr>
        <w:t> </w:t>
      </w:r>
      <w:r>
        <w:rPr/>
        <w:t>bir</w:t>
      </w:r>
      <w:r>
        <w:rPr>
          <w:spacing w:val="-15"/>
        </w:rPr>
        <w:t> </w:t>
      </w:r>
      <w:r>
        <w:rPr/>
        <w:t>kişinin</w:t>
      </w:r>
      <w:r>
        <w:rPr>
          <w:spacing w:val="-16"/>
        </w:rPr>
        <w:t> </w:t>
      </w:r>
      <w:r>
        <w:rPr/>
        <w:t>akıllı</w:t>
      </w:r>
      <w:r>
        <w:rPr>
          <w:spacing w:val="-14"/>
        </w:rPr>
        <w:t> </w:t>
      </w:r>
      <w:r>
        <w:rPr/>
        <w:t>telefon ihtiyacı hissetmesi bu tür bir ihtiyaçtır. İkincisi ise, sahip olunan bir ürünün arızalanması ya da tükenmesi sebebiyle mevcut durumda meydana gelen “kötüleşme kaynaklı” ihtiyaçtır. Akıllı telefonu arızalanan tüketicinin yeni bir akıllı telefona ihtiyaç duyması bu tip bir ihtiyaçtır (Schiffman ve Wisenblit, 2015: 369). Arızalanan ya da tükenen ürün kaynaklı ortaya çıkan ihtiyaç literatürde “problem” olarak da değerlendirilmektedir. Bu nedenle, bazı kaynaklarda süreç “problem çözme süreci” ve sürecin ilk aşaması da “problemin ortaya çıkması” olarak adlandırılmaktadır (Peter ve Olson, 2010:</w:t>
      </w:r>
      <w:r>
        <w:rPr>
          <w:spacing w:val="-4"/>
        </w:rPr>
        <w:t> </w:t>
      </w:r>
      <w:r>
        <w:rPr/>
        <w:t>163).</w:t>
      </w:r>
    </w:p>
    <w:p>
      <w:pPr>
        <w:pStyle w:val="BodyText"/>
        <w:spacing w:line="360" w:lineRule="auto" w:before="120"/>
        <w:ind w:right="310" w:firstLine="708"/>
        <w:jc w:val="right"/>
      </w:pPr>
      <w:r>
        <w:rPr/>
        <w:t>Satın</w:t>
      </w:r>
      <w:r>
        <w:rPr>
          <w:spacing w:val="12"/>
        </w:rPr>
        <w:t> </w:t>
      </w:r>
      <w:r>
        <w:rPr/>
        <w:t>alma</w:t>
      </w:r>
      <w:r>
        <w:rPr>
          <w:spacing w:val="11"/>
        </w:rPr>
        <w:t> </w:t>
      </w:r>
      <w:r>
        <w:rPr/>
        <w:t>sürecinin</w:t>
      </w:r>
      <w:r>
        <w:rPr>
          <w:spacing w:val="12"/>
        </w:rPr>
        <w:t> </w:t>
      </w:r>
      <w:r>
        <w:rPr/>
        <w:t>başlayabilmesi</w:t>
      </w:r>
      <w:r>
        <w:rPr>
          <w:spacing w:val="13"/>
        </w:rPr>
        <w:t> </w:t>
      </w:r>
      <w:r>
        <w:rPr/>
        <w:t>için</w:t>
      </w:r>
      <w:r>
        <w:rPr>
          <w:spacing w:val="12"/>
        </w:rPr>
        <w:t> </w:t>
      </w:r>
      <w:r>
        <w:rPr/>
        <w:t>ortaya</w:t>
      </w:r>
      <w:r>
        <w:rPr>
          <w:spacing w:val="11"/>
        </w:rPr>
        <w:t> </w:t>
      </w:r>
      <w:r>
        <w:rPr/>
        <w:t>çıkan</w:t>
      </w:r>
      <w:r>
        <w:rPr>
          <w:spacing w:val="11"/>
        </w:rPr>
        <w:t> </w:t>
      </w:r>
      <w:r>
        <w:rPr/>
        <w:t>ihtiyaç</w:t>
      </w:r>
      <w:r>
        <w:rPr>
          <w:spacing w:val="11"/>
        </w:rPr>
        <w:t> </w:t>
      </w:r>
      <w:r>
        <w:rPr/>
        <w:t>ya</w:t>
      </w:r>
      <w:r>
        <w:rPr>
          <w:spacing w:val="11"/>
        </w:rPr>
        <w:t> </w:t>
      </w:r>
      <w:r>
        <w:rPr/>
        <w:t>da</w:t>
      </w:r>
      <w:r>
        <w:rPr>
          <w:spacing w:val="11"/>
        </w:rPr>
        <w:t> </w:t>
      </w:r>
      <w:r>
        <w:rPr/>
        <w:t>problem</w:t>
      </w:r>
      <w:r>
        <w:rPr>
          <w:spacing w:val="13"/>
        </w:rPr>
        <w:t> </w:t>
      </w:r>
      <w:r>
        <w:rPr/>
        <w:t>önemli ve giderilebilir/çözülebilir olmalıdır (Kardes vd., 2011: 189).</w:t>
      </w:r>
      <w:r>
        <w:rPr>
          <w:spacing w:val="-4"/>
        </w:rPr>
        <w:t> </w:t>
      </w:r>
      <w:r>
        <w:rPr/>
        <w:t>Örneğin,</w:t>
      </w:r>
      <w:r>
        <w:rPr>
          <w:spacing w:val="26"/>
        </w:rPr>
        <w:t> </w:t>
      </w:r>
      <w:r>
        <w:rPr/>
        <w:t>bilgisayarının performansının</w:t>
      </w:r>
      <w:r>
        <w:rPr>
          <w:spacing w:val="29"/>
        </w:rPr>
        <w:t> </w:t>
      </w:r>
      <w:r>
        <w:rPr/>
        <w:t>düştüğünü</w:t>
      </w:r>
      <w:r>
        <w:rPr>
          <w:spacing w:val="31"/>
        </w:rPr>
        <w:t> </w:t>
      </w:r>
      <w:r>
        <w:rPr/>
        <w:t>fark</w:t>
      </w:r>
      <w:r>
        <w:rPr>
          <w:spacing w:val="31"/>
        </w:rPr>
        <w:t> </w:t>
      </w:r>
      <w:r>
        <w:rPr/>
        <w:t>eden</w:t>
      </w:r>
      <w:r>
        <w:rPr>
          <w:spacing w:val="33"/>
        </w:rPr>
        <w:t> </w:t>
      </w:r>
      <w:r>
        <w:rPr/>
        <w:t>bir</w:t>
      </w:r>
      <w:r>
        <w:rPr>
          <w:spacing w:val="29"/>
        </w:rPr>
        <w:t> </w:t>
      </w:r>
      <w:r>
        <w:rPr/>
        <w:t>tüketici</w:t>
      </w:r>
      <w:r>
        <w:rPr>
          <w:spacing w:val="32"/>
        </w:rPr>
        <w:t> </w:t>
      </w:r>
      <w:r>
        <w:rPr/>
        <w:t>bu</w:t>
      </w:r>
      <w:r>
        <w:rPr>
          <w:spacing w:val="29"/>
        </w:rPr>
        <w:t> </w:t>
      </w:r>
      <w:r>
        <w:rPr/>
        <w:t>performans</w:t>
      </w:r>
      <w:r>
        <w:rPr>
          <w:spacing w:val="30"/>
        </w:rPr>
        <w:t> </w:t>
      </w:r>
      <w:r>
        <w:rPr/>
        <w:t>düşüklüğünün</w:t>
      </w:r>
      <w:r>
        <w:rPr>
          <w:spacing w:val="29"/>
        </w:rPr>
        <w:t> </w:t>
      </w:r>
      <w:r>
        <w:rPr/>
        <w:t>önemli</w:t>
      </w:r>
      <w:r>
        <w:rPr>
          <w:spacing w:val="31"/>
        </w:rPr>
        <w:t> </w:t>
      </w:r>
      <w:r>
        <w:rPr/>
        <w:t>bir sorun teşkil etmediğini düşünüyorsa yeni bir bilgisayar satın alma</w:t>
      </w:r>
      <w:r>
        <w:rPr>
          <w:spacing w:val="-23"/>
        </w:rPr>
        <w:t> </w:t>
      </w:r>
      <w:r>
        <w:rPr/>
        <w:t>ihtiyacı hissetmeyecektir. Orta gelirli olan ailesinin desteğiyle üniversite okuyan bir öğrencinin</w:t>
      </w:r>
      <w:r>
        <w:rPr>
          <w:spacing w:val="-2"/>
        </w:rPr>
        <w:t> </w:t>
      </w:r>
      <w:r>
        <w:rPr/>
        <w:t>ulaşım</w:t>
      </w:r>
      <w:r>
        <w:rPr>
          <w:spacing w:val="53"/>
        </w:rPr>
        <w:t> </w:t>
      </w:r>
      <w:r>
        <w:rPr/>
        <w:t>sorununu</w:t>
      </w:r>
      <w:r>
        <w:rPr>
          <w:spacing w:val="-1"/>
        </w:rPr>
        <w:t> </w:t>
      </w:r>
      <w:r>
        <w:rPr/>
        <w:t>çözmek için bir otomobil ihtiyacının oluşması da gerçekçi değildir,</w:t>
      </w:r>
      <w:r>
        <w:rPr>
          <w:spacing w:val="13"/>
        </w:rPr>
        <w:t> </w:t>
      </w:r>
      <w:r>
        <w:rPr/>
        <w:t>çünkü giderilebilir</w:t>
      </w:r>
      <w:r>
        <w:rPr>
          <w:spacing w:val="20"/>
        </w:rPr>
        <w:t> </w:t>
      </w:r>
      <w:r>
        <w:rPr/>
        <w:t>bir ihtiyaç değildir. Bu öğrenci için, örneğin, bisiklet daha geçekçi ve giderilebilir bir</w:t>
      </w:r>
      <w:r>
        <w:rPr>
          <w:spacing w:val="-11"/>
        </w:rPr>
        <w:t> </w:t>
      </w:r>
      <w:r>
        <w:rPr/>
        <w:t>ihtiyaçtır.</w:t>
      </w:r>
    </w:p>
    <w:p>
      <w:pPr>
        <w:pStyle w:val="BodyText"/>
        <w:spacing w:line="360" w:lineRule="auto"/>
        <w:ind w:right="312" w:firstLine="708"/>
        <w:jc w:val="right"/>
      </w:pPr>
      <w:r>
        <w:rPr/>
        <w:t>İhtiyacın</w:t>
      </w:r>
      <w:r>
        <w:rPr>
          <w:spacing w:val="12"/>
        </w:rPr>
        <w:t> </w:t>
      </w:r>
      <w:r>
        <w:rPr/>
        <w:t>ortaya</w:t>
      </w:r>
      <w:r>
        <w:rPr>
          <w:spacing w:val="12"/>
        </w:rPr>
        <w:t> </w:t>
      </w:r>
      <w:r>
        <w:rPr/>
        <w:t>çıkmasını</w:t>
      </w:r>
      <w:r>
        <w:rPr>
          <w:spacing w:val="12"/>
        </w:rPr>
        <w:t> </w:t>
      </w:r>
      <w:r>
        <w:rPr/>
        <w:t>tetikleyen</w:t>
      </w:r>
      <w:r>
        <w:rPr>
          <w:spacing w:val="13"/>
        </w:rPr>
        <w:t> </w:t>
      </w:r>
      <w:r>
        <w:rPr/>
        <w:t>içsel</w:t>
      </w:r>
      <w:r>
        <w:rPr>
          <w:spacing w:val="12"/>
        </w:rPr>
        <w:t> </w:t>
      </w:r>
      <w:r>
        <w:rPr/>
        <w:t>ve</w:t>
      </w:r>
      <w:r>
        <w:rPr>
          <w:spacing w:val="12"/>
        </w:rPr>
        <w:t> </w:t>
      </w:r>
      <w:r>
        <w:rPr/>
        <w:t>dışsal</w:t>
      </w:r>
      <w:r>
        <w:rPr>
          <w:spacing w:val="12"/>
        </w:rPr>
        <w:t> </w:t>
      </w:r>
      <w:r>
        <w:rPr/>
        <w:t>etmenler</w:t>
      </w:r>
      <w:r>
        <w:rPr>
          <w:spacing w:val="11"/>
        </w:rPr>
        <w:t> </w:t>
      </w:r>
      <w:r>
        <w:rPr/>
        <w:t>bulunmaktadır</w:t>
      </w:r>
      <w:r>
        <w:rPr>
          <w:spacing w:val="12"/>
        </w:rPr>
        <w:t> </w:t>
      </w:r>
      <w:r>
        <w:rPr/>
        <w:t>(Butler ve Peppard, 1998).  İçsel  etmenler, kişinin kendi  durumundaki değişimlerden</w:t>
      </w:r>
      <w:r>
        <w:rPr>
          <w:spacing w:val="39"/>
        </w:rPr>
        <w:t> </w:t>
      </w:r>
      <w:r>
        <w:rPr/>
        <w:t>kaynaklanır.</w:t>
      </w:r>
    </w:p>
    <w:p>
      <w:pPr>
        <w:spacing w:after="0" w:line="360" w:lineRule="auto"/>
        <w:jc w:val="right"/>
        <w:sectPr>
          <w:pgSz w:w="12240" w:h="15840"/>
          <w:pgMar w:header="718" w:footer="0" w:top="1300" w:bottom="280" w:left="1720" w:right="820"/>
        </w:sectPr>
      </w:pPr>
    </w:p>
    <w:p>
      <w:pPr>
        <w:pStyle w:val="BodyText"/>
        <w:spacing w:line="360" w:lineRule="auto" w:before="100"/>
        <w:ind w:right="310"/>
      </w:pPr>
      <w:r>
        <w:rPr/>
        <w:t>Tüketicinin finansal durumunda iyileşme oluşması, tüketilen üründe azalma ya da yokluk oluşması, açlık veya susama hissi içsel etmenlere örnektir. Öte yandan, dışsal etmenler çevreden gelen uyarıcılardır. Bu dışsal uyarıcılar bir pazarlama uyarıcısı (reklam gibi) olabileceği gibi, tüketicinin sosyal çevresinden gelen bir uyarıcı da (bir tanıdığın kullandığı ürünün ilgi çekmesi gibi) olabilir (Hassan ve Sheriff, 2006).</w:t>
      </w:r>
    </w:p>
    <w:p>
      <w:pPr>
        <w:pStyle w:val="BodyText"/>
        <w:spacing w:line="360" w:lineRule="auto"/>
        <w:ind w:right="311" w:firstLine="708"/>
      </w:pPr>
      <w:r>
        <w:rPr/>
        <w:t>İnternet ve sosyal medyanın geniş kitlelerce benimsenmesi satın alma sürecinin ilk aşamasında dışsal uyarıcılarla tüketicinin ilgisini çekerek ihtiyaç oluşturmak adına firmalar için önemli fırsatlar sunmuştur. Geleneksel iletişim kanallarına nazaran internet ve sosyal medya, reklamların daha geniş kitlelere daha az maliyetle ulaşmasına olanak sağlamaktadır. Aynı zamanda, internet teknolojileri tüketicilerin bireysel ilgi, ihtiyaç ve isteklerinin gözlemlenmesini kolaylaştırarak firmaların doğru hedef kitleye ulaşmasına yardımcı olmaktadır. Geleneksel iletişim araçlarına göre, internet teknolojisi tüketicide ihtiyacın ortaya çıkması için gereken doğru dışsal tetikleyicilerin doğru hedef kitleye ulaşmasında daha etkindir (Butler ve Peppard, 1998).</w:t>
      </w:r>
    </w:p>
    <w:p>
      <w:pPr>
        <w:pStyle w:val="Heading1"/>
        <w:numPr>
          <w:ilvl w:val="2"/>
          <w:numId w:val="1"/>
        </w:numPr>
        <w:tabs>
          <w:tab w:pos="1857" w:val="left" w:leader="none"/>
        </w:tabs>
        <w:spacing w:line="240" w:lineRule="auto" w:before="160" w:after="0"/>
        <w:ind w:left="1856" w:right="0" w:hanging="601"/>
        <w:jc w:val="both"/>
      </w:pPr>
      <w:r>
        <w:rPr/>
        <w:t>Bilgi</w:t>
      </w:r>
      <w:r>
        <w:rPr>
          <w:spacing w:val="1"/>
        </w:rPr>
        <w:t> </w:t>
      </w:r>
      <w:r>
        <w:rPr/>
        <w:t>Arama</w:t>
      </w:r>
    </w:p>
    <w:p>
      <w:pPr>
        <w:pStyle w:val="BodyText"/>
        <w:spacing w:line="360" w:lineRule="auto" w:before="139"/>
        <w:ind w:right="308" w:firstLine="708"/>
      </w:pPr>
      <w:r>
        <w:rPr/>
        <w:t>Bir ihtiyacın ortaya çıkmasının ardından, ihtiyacı en rasyonel biçimde karşılayabilmek için tüketici gerekli bilgileri toplama sürecine girmektedir. Genel olarak, tüketiciler, satın alma önemli olduğunda, satın alma hakkında daha fazla şey öğrenilmesi gerektiğinde</w:t>
      </w:r>
      <w:r>
        <w:rPr>
          <w:spacing w:val="-13"/>
        </w:rPr>
        <w:t> </w:t>
      </w:r>
      <w:r>
        <w:rPr/>
        <w:t>ya</w:t>
      </w:r>
      <w:r>
        <w:rPr>
          <w:spacing w:val="-12"/>
        </w:rPr>
        <w:t> </w:t>
      </w:r>
      <w:r>
        <w:rPr/>
        <w:t>da</w:t>
      </w:r>
      <w:r>
        <w:rPr>
          <w:spacing w:val="-12"/>
        </w:rPr>
        <w:t> </w:t>
      </w:r>
      <w:r>
        <w:rPr/>
        <w:t>ilgili</w:t>
      </w:r>
      <w:r>
        <w:rPr>
          <w:spacing w:val="-12"/>
        </w:rPr>
        <w:t> </w:t>
      </w:r>
      <w:r>
        <w:rPr/>
        <w:t>bilgiye</w:t>
      </w:r>
      <w:r>
        <w:rPr>
          <w:spacing w:val="-12"/>
        </w:rPr>
        <w:t> </w:t>
      </w:r>
      <w:r>
        <w:rPr/>
        <w:t>ulaşmak</w:t>
      </w:r>
      <w:r>
        <w:rPr>
          <w:spacing w:val="-12"/>
        </w:rPr>
        <w:t> </w:t>
      </w:r>
      <w:r>
        <w:rPr/>
        <w:t>kolaylaştığında</w:t>
      </w:r>
      <w:r>
        <w:rPr>
          <w:spacing w:val="-12"/>
        </w:rPr>
        <w:t> </w:t>
      </w:r>
      <w:r>
        <w:rPr/>
        <w:t>daha</w:t>
      </w:r>
      <w:r>
        <w:rPr>
          <w:spacing w:val="-12"/>
        </w:rPr>
        <w:t> </w:t>
      </w:r>
      <w:r>
        <w:rPr/>
        <w:t>fazla</w:t>
      </w:r>
      <w:r>
        <w:rPr>
          <w:spacing w:val="-12"/>
        </w:rPr>
        <w:t> </w:t>
      </w:r>
      <w:r>
        <w:rPr/>
        <w:t>bilgi</w:t>
      </w:r>
      <w:r>
        <w:rPr>
          <w:spacing w:val="-11"/>
        </w:rPr>
        <w:t> </w:t>
      </w:r>
      <w:r>
        <w:rPr/>
        <w:t>elde</w:t>
      </w:r>
      <w:r>
        <w:rPr>
          <w:spacing w:val="-11"/>
        </w:rPr>
        <w:t> </w:t>
      </w:r>
      <w:r>
        <w:rPr/>
        <w:t>etmek</w:t>
      </w:r>
      <w:r>
        <w:rPr>
          <w:spacing w:val="-12"/>
        </w:rPr>
        <w:t> </w:t>
      </w:r>
      <w:r>
        <w:rPr/>
        <w:t>için</w:t>
      </w:r>
      <w:r>
        <w:rPr>
          <w:spacing w:val="-11"/>
        </w:rPr>
        <w:t> </w:t>
      </w:r>
      <w:r>
        <w:rPr/>
        <w:t>daha fazla araştırma yapma eğilimindedir (Solomon, 2018: 340). Örneğin, otomobil almak bir tüketici için önemli bir satın alma kararıdır. Dolayısıyla, otomobil satın alma ihtiyacı duyan tüketici olabildiğince detaylı bilgi elde etmek isteyecektir. Bu tüketici otomobiller hakkında bilgi sahibi olsa dahi, bilmediği konular veya markalar hakkında bilgi eksikliğini gidermek için</w:t>
      </w:r>
      <w:r>
        <w:rPr>
          <w:spacing w:val="-5"/>
        </w:rPr>
        <w:t> </w:t>
      </w:r>
      <w:r>
        <w:rPr/>
        <w:t>daha</w:t>
      </w:r>
      <w:r>
        <w:rPr>
          <w:spacing w:val="-6"/>
        </w:rPr>
        <w:t> </w:t>
      </w:r>
      <w:r>
        <w:rPr/>
        <w:t>fazla</w:t>
      </w:r>
      <w:r>
        <w:rPr>
          <w:spacing w:val="-5"/>
        </w:rPr>
        <w:t> </w:t>
      </w:r>
      <w:r>
        <w:rPr/>
        <w:t>araştırma</w:t>
      </w:r>
      <w:r>
        <w:rPr>
          <w:spacing w:val="-4"/>
        </w:rPr>
        <w:t> </w:t>
      </w:r>
      <w:r>
        <w:rPr/>
        <w:t>yapacaktır.</w:t>
      </w:r>
      <w:r>
        <w:rPr>
          <w:spacing w:val="-5"/>
        </w:rPr>
        <w:t> </w:t>
      </w:r>
      <w:r>
        <w:rPr/>
        <w:t>Geçmişte,</w:t>
      </w:r>
      <w:r>
        <w:rPr>
          <w:spacing w:val="-5"/>
        </w:rPr>
        <w:t> </w:t>
      </w:r>
      <w:r>
        <w:rPr/>
        <w:t>otomobil</w:t>
      </w:r>
      <w:r>
        <w:rPr>
          <w:spacing w:val="-4"/>
        </w:rPr>
        <w:t> </w:t>
      </w:r>
      <w:r>
        <w:rPr/>
        <w:t>alacak</w:t>
      </w:r>
      <w:r>
        <w:rPr>
          <w:spacing w:val="-5"/>
        </w:rPr>
        <w:t> </w:t>
      </w:r>
      <w:r>
        <w:rPr/>
        <w:t>tüketici</w:t>
      </w:r>
      <w:r>
        <w:rPr>
          <w:spacing w:val="-5"/>
        </w:rPr>
        <w:t> </w:t>
      </w:r>
      <w:r>
        <w:rPr/>
        <w:t>daha</w:t>
      </w:r>
      <w:r>
        <w:rPr>
          <w:spacing w:val="-6"/>
        </w:rPr>
        <w:t> </w:t>
      </w:r>
      <w:r>
        <w:rPr/>
        <w:t>fazla</w:t>
      </w:r>
      <w:r>
        <w:rPr>
          <w:spacing w:val="-5"/>
        </w:rPr>
        <w:t> </w:t>
      </w:r>
      <w:r>
        <w:rPr/>
        <w:t>bilgi</w:t>
      </w:r>
      <w:r>
        <w:rPr>
          <w:spacing w:val="-4"/>
        </w:rPr>
        <w:t> </w:t>
      </w:r>
      <w:r>
        <w:rPr/>
        <w:t>elde etmek</w:t>
      </w:r>
      <w:r>
        <w:rPr>
          <w:spacing w:val="-12"/>
        </w:rPr>
        <w:t> </w:t>
      </w:r>
      <w:r>
        <w:rPr/>
        <w:t>için</w:t>
      </w:r>
      <w:r>
        <w:rPr>
          <w:spacing w:val="-12"/>
        </w:rPr>
        <w:t> </w:t>
      </w:r>
      <w:r>
        <w:rPr/>
        <w:t>sadece</w:t>
      </w:r>
      <w:r>
        <w:rPr>
          <w:spacing w:val="-13"/>
        </w:rPr>
        <w:t> </w:t>
      </w:r>
      <w:r>
        <w:rPr/>
        <w:t>tanıdıklarına</w:t>
      </w:r>
      <w:r>
        <w:rPr>
          <w:spacing w:val="-13"/>
        </w:rPr>
        <w:t> </w:t>
      </w:r>
      <w:r>
        <w:rPr/>
        <w:t>ya</w:t>
      </w:r>
      <w:r>
        <w:rPr>
          <w:spacing w:val="-13"/>
        </w:rPr>
        <w:t> </w:t>
      </w:r>
      <w:r>
        <w:rPr/>
        <w:t>da</w:t>
      </w:r>
      <w:r>
        <w:rPr>
          <w:spacing w:val="-13"/>
        </w:rPr>
        <w:t> </w:t>
      </w:r>
      <w:r>
        <w:rPr/>
        <w:t>sanayideki</w:t>
      </w:r>
      <w:r>
        <w:rPr>
          <w:spacing w:val="-12"/>
        </w:rPr>
        <w:t> </w:t>
      </w:r>
      <w:r>
        <w:rPr/>
        <w:t>ustalara</w:t>
      </w:r>
      <w:r>
        <w:rPr>
          <w:spacing w:val="-14"/>
        </w:rPr>
        <w:t> </w:t>
      </w:r>
      <w:r>
        <w:rPr/>
        <w:t>danışabilmekteydi.</w:t>
      </w:r>
      <w:r>
        <w:rPr>
          <w:spacing w:val="-12"/>
        </w:rPr>
        <w:t> </w:t>
      </w:r>
      <w:r>
        <w:rPr/>
        <w:t>Günümüzde</w:t>
      </w:r>
      <w:r>
        <w:rPr>
          <w:spacing w:val="-12"/>
        </w:rPr>
        <w:t> </w:t>
      </w:r>
      <w:r>
        <w:rPr/>
        <w:t>ise, internet</w:t>
      </w:r>
      <w:r>
        <w:rPr>
          <w:spacing w:val="-6"/>
        </w:rPr>
        <w:t> </w:t>
      </w:r>
      <w:r>
        <w:rPr/>
        <w:t>sayesinde</w:t>
      </w:r>
      <w:r>
        <w:rPr>
          <w:spacing w:val="-7"/>
        </w:rPr>
        <w:t> </w:t>
      </w:r>
      <w:r>
        <w:rPr/>
        <w:t>çok</w:t>
      </w:r>
      <w:r>
        <w:rPr>
          <w:spacing w:val="-5"/>
        </w:rPr>
        <w:t> </w:t>
      </w:r>
      <w:r>
        <w:rPr/>
        <w:t>daha</w:t>
      </w:r>
      <w:r>
        <w:rPr>
          <w:spacing w:val="-8"/>
        </w:rPr>
        <w:t> </w:t>
      </w:r>
      <w:r>
        <w:rPr/>
        <w:t>çeşitli</w:t>
      </w:r>
      <w:r>
        <w:rPr>
          <w:spacing w:val="-6"/>
        </w:rPr>
        <w:t> </w:t>
      </w:r>
      <w:r>
        <w:rPr/>
        <w:t>kaynaklardan</w:t>
      </w:r>
      <w:r>
        <w:rPr>
          <w:spacing w:val="-7"/>
        </w:rPr>
        <w:t> </w:t>
      </w:r>
      <w:r>
        <w:rPr/>
        <w:t>(forumlar,</w:t>
      </w:r>
      <w:r>
        <w:rPr>
          <w:spacing w:val="-7"/>
        </w:rPr>
        <w:t> </w:t>
      </w:r>
      <w:r>
        <w:rPr/>
        <w:t>sosyal</w:t>
      </w:r>
      <w:r>
        <w:rPr>
          <w:spacing w:val="-7"/>
        </w:rPr>
        <w:t> </w:t>
      </w:r>
      <w:r>
        <w:rPr/>
        <w:t>medya,</w:t>
      </w:r>
      <w:r>
        <w:rPr>
          <w:spacing w:val="-5"/>
        </w:rPr>
        <w:t> </w:t>
      </w:r>
      <w:r>
        <w:rPr/>
        <w:t>Youtube</w:t>
      </w:r>
      <w:r>
        <w:rPr>
          <w:spacing w:val="-7"/>
        </w:rPr>
        <w:t> </w:t>
      </w:r>
      <w:r>
        <w:rPr/>
        <w:t>kanalları gibi) daha fazla bilgiye daha kolay erişebilme imkânına sahip olduğundan dolayı, tüketici daha çok araştırma yaparak daha fazla bilgi elde</w:t>
      </w:r>
      <w:r>
        <w:rPr>
          <w:spacing w:val="-3"/>
        </w:rPr>
        <w:t> </w:t>
      </w:r>
      <w:r>
        <w:rPr/>
        <w:t>edebilmektedir.</w:t>
      </w:r>
    </w:p>
    <w:p>
      <w:pPr>
        <w:pStyle w:val="BodyText"/>
        <w:spacing w:line="360" w:lineRule="auto" w:before="1"/>
        <w:ind w:right="308" w:firstLine="708"/>
      </w:pPr>
      <w:r>
        <w:rPr/>
        <w:t>Satın alma esnasında gösterilen ilgilenim (involvement) düzeyi, tüketicinin ihtiyaç duyduğu bilgi miktarını etkileyen önemli bir unsurdur. İlgilenim, tüketicinin ihtiyaçlarına, ilgi alanlarına ve değerlerine dayalı olarak bir ürüne yönelik gösterdiği kişisel ilgi ve önem</w:t>
      </w:r>
    </w:p>
    <w:p>
      <w:pPr>
        <w:spacing w:after="0" w:line="360" w:lineRule="auto"/>
        <w:sectPr>
          <w:pgSz w:w="12240" w:h="15840"/>
          <w:pgMar w:header="718" w:footer="0" w:top="1300" w:bottom="280" w:left="1720" w:right="820"/>
        </w:sectPr>
      </w:pPr>
    </w:p>
    <w:p>
      <w:pPr>
        <w:pStyle w:val="BodyText"/>
        <w:spacing w:line="360" w:lineRule="auto" w:before="100"/>
        <w:ind w:right="308"/>
      </w:pPr>
      <w:r>
        <w:rPr/>
        <w:t>düzeyi olarak tanımlanmaktadır (Griffith vd., 2001). Tüketicinin ilgilenim düzeyi arttıkça sahip olmak istediği bilgi düzeyi de artmaktadır. Dolayısıyla, tüketici, mevcut bilgi düzeyindeki eksiklikleri gidermek için olabildiğince yoğun araştırma çabasında bulunmaktadır (Park vd., 2007). Örneğin, yukarıdaki paragrafta belirtildiği gibi, otomobil tüketicilerin geneli için önemli bir üründür ve otomobil satın alırken tüketiciler yüksek ilgilenim</w:t>
      </w:r>
      <w:r>
        <w:rPr>
          <w:spacing w:val="-7"/>
        </w:rPr>
        <w:t> </w:t>
      </w:r>
      <w:r>
        <w:rPr/>
        <w:t>(high</w:t>
      </w:r>
      <w:r>
        <w:rPr>
          <w:spacing w:val="-8"/>
        </w:rPr>
        <w:t> </w:t>
      </w:r>
      <w:r>
        <w:rPr/>
        <w:t>involvement)</w:t>
      </w:r>
      <w:r>
        <w:rPr>
          <w:spacing w:val="-7"/>
        </w:rPr>
        <w:t> </w:t>
      </w:r>
      <w:r>
        <w:rPr/>
        <w:t>sergilerler.</w:t>
      </w:r>
      <w:r>
        <w:rPr>
          <w:spacing w:val="-8"/>
        </w:rPr>
        <w:t> </w:t>
      </w:r>
      <w:r>
        <w:rPr/>
        <w:t>Dolayısıyla</w:t>
      </w:r>
      <w:r>
        <w:rPr>
          <w:spacing w:val="-4"/>
        </w:rPr>
        <w:t> </w:t>
      </w:r>
      <w:r>
        <w:rPr/>
        <w:t>yeni</w:t>
      </w:r>
      <w:r>
        <w:rPr>
          <w:spacing w:val="-6"/>
        </w:rPr>
        <w:t> </w:t>
      </w:r>
      <w:r>
        <w:rPr/>
        <w:t>bir</w:t>
      </w:r>
      <w:r>
        <w:rPr>
          <w:spacing w:val="-8"/>
        </w:rPr>
        <w:t> </w:t>
      </w:r>
      <w:r>
        <w:rPr/>
        <w:t>otomobil</w:t>
      </w:r>
      <w:r>
        <w:rPr>
          <w:spacing w:val="-6"/>
        </w:rPr>
        <w:t> </w:t>
      </w:r>
      <w:r>
        <w:rPr/>
        <w:t>satın</w:t>
      </w:r>
      <w:r>
        <w:rPr>
          <w:spacing w:val="-7"/>
        </w:rPr>
        <w:t> </w:t>
      </w:r>
      <w:r>
        <w:rPr/>
        <w:t>alınacağı</w:t>
      </w:r>
      <w:r>
        <w:rPr>
          <w:spacing w:val="-7"/>
        </w:rPr>
        <w:t> </w:t>
      </w:r>
      <w:r>
        <w:rPr/>
        <w:t>zaman genellikle</w:t>
      </w:r>
      <w:r>
        <w:rPr>
          <w:spacing w:val="-12"/>
        </w:rPr>
        <w:t> </w:t>
      </w:r>
      <w:r>
        <w:rPr/>
        <w:t>oldukça</w:t>
      </w:r>
      <w:r>
        <w:rPr>
          <w:spacing w:val="-11"/>
        </w:rPr>
        <w:t> </w:t>
      </w:r>
      <w:r>
        <w:rPr/>
        <w:t>yoğun</w:t>
      </w:r>
      <w:r>
        <w:rPr>
          <w:spacing w:val="-10"/>
        </w:rPr>
        <w:t> </w:t>
      </w:r>
      <w:r>
        <w:rPr/>
        <w:t>bilgi</w:t>
      </w:r>
      <w:r>
        <w:rPr>
          <w:spacing w:val="-10"/>
        </w:rPr>
        <w:t> </w:t>
      </w:r>
      <w:r>
        <w:rPr/>
        <w:t>araştırması</w:t>
      </w:r>
      <w:r>
        <w:rPr>
          <w:spacing w:val="-9"/>
        </w:rPr>
        <w:t> </w:t>
      </w:r>
      <w:r>
        <w:rPr/>
        <w:t>gerçekleştirilir.</w:t>
      </w:r>
      <w:r>
        <w:rPr>
          <w:spacing w:val="-10"/>
        </w:rPr>
        <w:t> </w:t>
      </w:r>
      <w:r>
        <w:rPr/>
        <w:t>Öte</w:t>
      </w:r>
      <w:r>
        <w:rPr>
          <w:spacing w:val="-11"/>
        </w:rPr>
        <w:t> </w:t>
      </w:r>
      <w:r>
        <w:rPr/>
        <w:t>yandan,</w:t>
      </w:r>
      <w:r>
        <w:rPr>
          <w:spacing w:val="-11"/>
        </w:rPr>
        <w:t> </w:t>
      </w:r>
      <w:r>
        <w:rPr/>
        <w:t>sıklıkla</w:t>
      </w:r>
      <w:r>
        <w:rPr>
          <w:spacing w:val="-10"/>
        </w:rPr>
        <w:t> </w:t>
      </w:r>
      <w:r>
        <w:rPr/>
        <w:t>tüketilen</w:t>
      </w:r>
      <w:r>
        <w:rPr>
          <w:spacing w:val="-10"/>
        </w:rPr>
        <w:t> </w:t>
      </w:r>
      <w:r>
        <w:rPr/>
        <w:t>gıda ürünlerine yönelik ilgilenim düzeyi genellikle düşüktür (low involvement). Tüketiciler, örneğin, peynir alırken sıklıkla tükettikleri marka yerine farklı ve yeni bir markaya yönelirken dahi genellikle bilgi arama aşamasını hızlıca geçmektedir. İlgilenim düzeyi kişiden</w:t>
      </w:r>
      <w:r>
        <w:rPr>
          <w:spacing w:val="-12"/>
        </w:rPr>
        <w:t> </w:t>
      </w:r>
      <w:r>
        <w:rPr/>
        <w:t>kişiye</w:t>
      </w:r>
      <w:r>
        <w:rPr>
          <w:spacing w:val="-13"/>
        </w:rPr>
        <w:t> </w:t>
      </w:r>
      <w:r>
        <w:rPr/>
        <w:t>ve</w:t>
      </w:r>
      <w:r>
        <w:rPr>
          <w:spacing w:val="-13"/>
        </w:rPr>
        <w:t> </w:t>
      </w:r>
      <w:r>
        <w:rPr/>
        <w:t>genellikle</w:t>
      </w:r>
      <w:r>
        <w:rPr>
          <w:spacing w:val="-13"/>
        </w:rPr>
        <w:t> </w:t>
      </w:r>
      <w:r>
        <w:rPr/>
        <w:t>duruma</w:t>
      </w:r>
      <w:r>
        <w:rPr>
          <w:spacing w:val="-13"/>
        </w:rPr>
        <w:t> </w:t>
      </w:r>
      <w:r>
        <w:rPr/>
        <w:t>göre</w:t>
      </w:r>
      <w:r>
        <w:rPr>
          <w:spacing w:val="-13"/>
        </w:rPr>
        <w:t> </w:t>
      </w:r>
      <w:r>
        <w:rPr/>
        <w:t>değişmektedir</w:t>
      </w:r>
      <w:r>
        <w:rPr>
          <w:spacing w:val="-12"/>
        </w:rPr>
        <w:t> </w:t>
      </w:r>
      <w:r>
        <w:rPr/>
        <w:t>(Zaichkowsky,</w:t>
      </w:r>
      <w:r>
        <w:rPr>
          <w:spacing w:val="-12"/>
        </w:rPr>
        <w:t> </w:t>
      </w:r>
      <w:r>
        <w:rPr/>
        <w:t>1994).</w:t>
      </w:r>
      <w:r>
        <w:rPr>
          <w:spacing w:val="-13"/>
        </w:rPr>
        <w:t> </w:t>
      </w:r>
      <w:r>
        <w:rPr/>
        <w:t>Örneğin,</w:t>
      </w:r>
      <w:r>
        <w:rPr>
          <w:spacing w:val="-12"/>
        </w:rPr>
        <w:t> </w:t>
      </w:r>
      <w:r>
        <w:rPr/>
        <w:t>akıllı telefonlar genellikle yüksek ilgilenim gösterilen ürünler olarak kabul edilir. Ancak, son dört telefonu iPhone olan tüketici telefonunu değiştirmeye karar verdiğinde muhtemelen yine bir iPhone almak isteyecek ve bu satın alma kararında düşük ilgilenim sergileyecektir. Öte yandan, genellikle düşük ilgilenim sergilenen ürünler satın alınırken bazı durumlarda da ilgilenim düzeyi artmaktadır. Örneğin, şampuan alınırken genellikle düşük ilgilenim sergilenir. Ancak, saçlarıyla ilgili bir problem yaşamaya (kepek ya da saç dökülmesi gibi) başlayan tüketici, problemini giderecek en iyi şampuanı bulmaya yönelik bir bilgi araştırmasına girerek tanıdıklarına soracak ve/veya internette araştıracaktır. Diğer bir ifadeyle, problemini çözecek şampuanı alırken tüketici yüksek ilgilenim</w:t>
      </w:r>
      <w:r>
        <w:rPr>
          <w:spacing w:val="-8"/>
        </w:rPr>
        <w:t> </w:t>
      </w:r>
      <w:r>
        <w:rPr/>
        <w:t>sergileyecektir.</w:t>
      </w:r>
    </w:p>
    <w:p>
      <w:pPr>
        <w:pStyle w:val="BodyText"/>
        <w:spacing w:line="360" w:lineRule="auto" w:before="2"/>
        <w:ind w:right="308" w:firstLine="708"/>
      </w:pPr>
      <w:r>
        <w:rPr/>
        <w:t>Tüketicinin sergilediği ilgilenim düzeyinin yanı sıra ihtiyaç duyulan ürünün özellikleri de aranan bilgi miktarını etkilemektedir (You vd., 2015). Nelson’un (1970) ürün sınıflandırmasına</w:t>
      </w:r>
      <w:r>
        <w:rPr>
          <w:spacing w:val="-9"/>
        </w:rPr>
        <w:t> </w:t>
      </w:r>
      <w:r>
        <w:rPr/>
        <w:t>göre</w:t>
      </w:r>
      <w:r>
        <w:rPr>
          <w:spacing w:val="-9"/>
        </w:rPr>
        <w:t> </w:t>
      </w:r>
      <w:r>
        <w:rPr/>
        <w:t>ürünler,</w:t>
      </w:r>
      <w:r>
        <w:rPr>
          <w:spacing w:val="-8"/>
        </w:rPr>
        <w:t> </w:t>
      </w:r>
      <w:r>
        <w:rPr/>
        <w:t>tüketicilerin</w:t>
      </w:r>
      <w:r>
        <w:rPr>
          <w:spacing w:val="-7"/>
        </w:rPr>
        <w:t> </w:t>
      </w:r>
      <w:r>
        <w:rPr/>
        <w:t>ürün</w:t>
      </w:r>
      <w:r>
        <w:rPr>
          <w:spacing w:val="-8"/>
        </w:rPr>
        <w:t> </w:t>
      </w:r>
      <w:r>
        <w:rPr/>
        <w:t>kalitesini</w:t>
      </w:r>
      <w:r>
        <w:rPr>
          <w:spacing w:val="-7"/>
        </w:rPr>
        <w:t> </w:t>
      </w:r>
      <w:r>
        <w:rPr/>
        <w:t>değerlendirmek</w:t>
      </w:r>
      <w:r>
        <w:rPr>
          <w:spacing w:val="-4"/>
        </w:rPr>
        <w:t> </w:t>
      </w:r>
      <w:r>
        <w:rPr/>
        <w:t>için</w:t>
      </w:r>
      <w:r>
        <w:rPr>
          <w:spacing w:val="-8"/>
        </w:rPr>
        <w:t> </w:t>
      </w:r>
      <w:r>
        <w:rPr/>
        <w:t>güvendikleri bilgi kaynaklarına göre iki temel kategoriye ayrılmaktadır (Li vd., 2016). İlk kategori olan araştırma ürünleri (örn. bilgisayarlar), hakkında araştırma yapılarak kalitesi hakkında kolaylıkla fikir sahibi olunabilen ürünlerdir (Jiménez ve Mendoza, 2013). İkinci kategori olan</w:t>
      </w:r>
      <w:r>
        <w:rPr>
          <w:spacing w:val="-13"/>
        </w:rPr>
        <w:t> </w:t>
      </w:r>
      <w:r>
        <w:rPr/>
        <w:t>deneyim</w:t>
      </w:r>
      <w:r>
        <w:rPr>
          <w:spacing w:val="-10"/>
        </w:rPr>
        <w:t> </w:t>
      </w:r>
      <w:r>
        <w:rPr/>
        <w:t>ürünleri</w:t>
      </w:r>
      <w:r>
        <w:rPr>
          <w:spacing w:val="-11"/>
        </w:rPr>
        <w:t> </w:t>
      </w:r>
      <w:r>
        <w:rPr/>
        <w:t>(örn.</w:t>
      </w:r>
      <w:r>
        <w:rPr>
          <w:spacing w:val="-12"/>
        </w:rPr>
        <w:t> </w:t>
      </w:r>
      <w:r>
        <w:rPr/>
        <w:t>parfüm)</w:t>
      </w:r>
      <w:r>
        <w:rPr>
          <w:spacing w:val="-11"/>
        </w:rPr>
        <w:t> </w:t>
      </w:r>
      <w:r>
        <w:rPr/>
        <w:t>ise,</w:t>
      </w:r>
      <w:r>
        <w:rPr>
          <w:spacing w:val="-11"/>
        </w:rPr>
        <w:t> </w:t>
      </w:r>
      <w:r>
        <w:rPr/>
        <w:t>hakkında</w:t>
      </w:r>
      <w:r>
        <w:rPr>
          <w:spacing w:val="-12"/>
        </w:rPr>
        <w:t> </w:t>
      </w:r>
      <w:r>
        <w:rPr/>
        <w:t>bilgi</w:t>
      </w:r>
      <w:r>
        <w:rPr>
          <w:spacing w:val="-12"/>
        </w:rPr>
        <w:t> </w:t>
      </w:r>
      <w:r>
        <w:rPr/>
        <w:t>elde</w:t>
      </w:r>
      <w:r>
        <w:rPr>
          <w:spacing w:val="-11"/>
        </w:rPr>
        <w:t> </w:t>
      </w:r>
      <w:r>
        <w:rPr/>
        <w:t>etmenin</w:t>
      </w:r>
      <w:r>
        <w:rPr>
          <w:spacing w:val="-11"/>
        </w:rPr>
        <w:t> </w:t>
      </w:r>
      <w:r>
        <w:rPr/>
        <w:t>zor</w:t>
      </w:r>
      <w:r>
        <w:rPr>
          <w:spacing w:val="-13"/>
        </w:rPr>
        <w:t> </w:t>
      </w:r>
      <w:r>
        <w:rPr/>
        <w:t>olduğu</w:t>
      </w:r>
      <w:r>
        <w:rPr>
          <w:spacing w:val="-11"/>
        </w:rPr>
        <w:t> </w:t>
      </w:r>
      <w:r>
        <w:rPr/>
        <w:t>ve</w:t>
      </w:r>
      <w:r>
        <w:rPr>
          <w:spacing w:val="-12"/>
        </w:rPr>
        <w:t> </w:t>
      </w:r>
      <w:r>
        <w:rPr/>
        <w:t>tüketilene kadar değerlendirilmesi kolay olmayan ürünlerdir (Mudambi ve Schuff, 2010). Özellikleri itibariyle, araştırma ürünleri tüketim öncesi değerlendirilebilirken, deneyim ürünleri ise tüketim esnasında ya da sonrasında ancak değerlendirilebilir (Li vd., 2016). Araştırma ürünlerinin</w:t>
      </w:r>
      <w:r>
        <w:rPr>
          <w:spacing w:val="-6"/>
        </w:rPr>
        <w:t> </w:t>
      </w:r>
      <w:r>
        <w:rPr/>
        <w:t>kalitesi</w:t>
      </w:r>
      <w:r>
        <w:rPr>
          <w:spacing w:val="-5"/>
        </w:rPr>
        <w:t> </w:t>
      </w:r>
      <w:r>
        <w:rPr/>
        <w:t>ürünün</w:t>
      </w:r>
      <w:r>
        <w:rPr>
          <w:spacing w:val="-6"/>
        </w:rPr>
        <w:t> </w:t>
      </w:r>
      <w:r>
        <w:rPr/>
        <w:t>teknik</w:t>
      </w:r>
      <w:r>
        <w:rPr>
          <w:spacing w:val="-5"/>
        </w:rPr>
        <w:t> </w:t>
      </w:r>
      <w:r>
        <w:rPr/>
        <w:t>özelliklerinden</w:t>
      </w:r>
      <w:r>
        <w:rPr>
          <w:spacing w:val="-6"/>
        </w:rPr>
        <w:t> </w:t>
      </w:r>
      <w:r>
        <w:rPr/>
        <w:t>anlaşılabileceği</w:t>
      </w:r>
      <w:r>
        <w:rPr>
          <w:spacing w:val="-5"/>
        </w:rPr>
        <w:t> </w:t>
      </w:r>
      <w:r>
        <w:rPr/>
        <w:t>için</w:t>
      </w:r>
      <w:r>
        <w:rPr>
          <w:spacing w:val="-6"/>
        </w:rPr>
        <w:t> </w:t>
      </w:r>
      <w:r>
        <w:rPr/>
        <w:t>tek</w:t>
      </w:r>
      <w:r>
        <w:rPr>
          <w:spacing w:val="-4"/>
        </w:rPr>
        <w:t> </w:t>
      </w:r>
      <w:r>
        <w:rPr/>
        <w:t>bir</w:t>
      </w:r>
      <w:r>
        <w:rPr>
          <w:spacing w:val="-7"/>
        </w:rPr>
        <w:t> </w:t>
      </w:r>
      <w:r>
        <w:rPr/>
        <w:t>kaynaktan</w:t>
      </w:r>
      <w:r>
        <w:rPr>
          <w:spacing w:val="-5"/>
        </w:rPr>
        <w:t> </w:t>
      </w:r>
      <w:r>
        <w:rPr/>
        <w:t>elde</w:t>
      </w:r>
    </w:p>
    <w:p>
      <w:pPr>
        <w:spacing w:after="0" w:line="360" w:lineRule="auto"/>
        <w:sectPr>
          <w:pgSz w:w="12240" w:h="15840"/>
          <w:pgMar w:header="718" w:footer="0" w:top="1300" w:bottom="280" w:left="1720" w:right="820"/>
        </w:sectPr>
      </w:pPr>
    </w:p>
    <w:p>
      <w:pPr>
        <w:pStyle w:val="BodyText"/>
        <w:spacing w:line="360" w:lineRule="auto" w:before="100"/>
        <w:ind w:right="308"/>
      </w:pPr>
      <w:r>
        <w:rPr/>
        <w:t>edilen</w:t>
      </w:r>
      <w:r>
        <w:rPr>
          <w:spacing w:val="-7"/>
        </w:rPr>
        <w:t> </w:t>
      </w:r>
      <w:r>
        <w:rPr/>
        <w:t>detaylı</w:t>
      </w:r>
      <w:r>
        <w:rPr>
          <w:spacing w:val="-6"/>
        </w:rPr>
        <w:t> </w:t>
      </w:r>
      <w:r>
        <w:rPr/>
        <w:t>bilgi</w:t>
      </w:r>
      <w:r>
        <w:rPr>
          <w:spacing w:val="-7"/>
        </w:rPr>
        <w:t> </w:t>
      </w:r>
      <w:r>
        <w:rPr/>
        <w:t>yeterli</w:t>
      </w:r>
      <w:r>
        <w:rPr>
          <w:spacing w:val="-6"/>
        </w:rPr>
        <w:t> </w:t>
      </w:r>
      <w:r>
        <w:rPr/>
        <w:t>olabilmektedir</w:t>
      </w:r>
      <w:r>
        <w:rPr>
          <w:spacing w:val="-8"/>
        </w:rPr>
        <w:t> </w:t>
      </w:r>
      <w:r>
        <w:rPr/>
        <w:t>(Huang</w:t>
      </w:r>
      <w:r>
        <w:rPr>
          <w:spacing w:val="-6"/>
        </w:rPr>
        <w:t> </w:t>
      </w:r>
      <w:r>
        <w:rPr/>
        <w:t>vd.,</w:t>
      </w:r>
      <w:r>
        <w:rPr>
          <w:spacing w:val="-6"/>
        </w:rPr>
        <w:t> </w:t>
      </w:r>
      <w:r>
        <w:rPr/>
        <w:t>2009).</w:t>
      </w:r>
      <w:r>
        <w:rPr>
          <w:spacing w:val="-7"/>
        </w:rPr>
        <w:t> </w:t>
      </w:r>
      <w:r>
        <w:rPr/>
        <w:t>Örneğin,</w:t>
      </w:r>
      <w:r>
        <w:rPr>
          <w:spacing w:val="-6"/>
        </w:rPr>
        <w:t> </w:t>
      </w:r>
      <w:r>
        <w:rPr/>
        <w:t>bir</w:t>
      </w:r>
      <w:r>
        <w:rPr>
          <w:spacing w:val="-8"/>
        </w:rPr>
        <w:t> </w:t>
      </w:r>
      <w:r>
        <w:rPr/>
        <w:t>bilgisayarın</w:t>
      </w:r>
      <w:r>
        <w:rPr>
          <w:spacing w:val="-7"/>
        </w:rPr>
        <w:t> </w:t>
      </w:r>
      <w:r>
        <w:rPr/>
        <w:t>teknik özellikleri o bilgisayarın kalite düzeyi hakkında fikir vermekte ve dolayısıyla sadece markanın internet sayfasından edinilecek bilgiler bu anlamda yeterli olabilmektedir. Öte yandan, deneyim ürünlerine dair kalite fikri ancak tüketimle elde edilebileceğinden dolayı çok</w:t>
      </w:r>
      <w:r>
        <w:rPr>
          <w:spacing w:val="-7"/>
        </w:rPr>
        <w:t> </w:t>
      </w:r>
      <w:r>
        <w:rPr/>
        <w:t>farklı</w:t>
      </w:r>
      <w:r>
        <w:rPr>
          <w:spacing w:val="-7"/>
        </w:rPr>
        <w:t> </w:t>
      </w:r>
      <w:r>
        <w:rPr/>
        <w:t>kaynaklardan</w:t>
      </w:r>
      <w:r>
        <w:rPr>
          <w:spacing w:val="-6"/>
        </w:rPr>
        <w:t> </w:t>
      </w:r>
      <w:r>
        <w:rPr/>
        <w:t>bilgi</w:t>
      </w:r>
      <w:r>
        <w:rPr>
          <w:spacing w:val="-7"/>
        </w:rPr>
        <w:t> </w:t>
      </w:r>
      <w:r>
        <w:rPr/>
        <w:t>elde</w:t>
      </w:r>
      <w:r>
        <w:rPr>
          <w:spacing w:val="-7"/>
        </w:rPr>
        <w:t> </w:t>
      </w:r>
      <w:r>
        <w:rPr/>
        <w:t>etme</w:t>
      </w:r>
      <w:r>
        <w:rPr>
          <w:spacing w:val="-8"/>
        </w:rPr>
        <w:t> </w:t>
      </w:r>
      <w:r>
        <w:rPr/>
        <w:t>ihtiyacı</w:t>
      </w:r>
      <w:r>
        <w:rPr>
          <w:spacing w:val="-6"/>
        </w:rPr>
        <w:t> </w:t>
      </w:r>
      <w:r>
        <w:rPr/>
        <w:t>ortaya</w:t>
      </w:r>
      <w:r>
        <w:rPr>
          <w:spacing w:val="-8"/>
        </w:rPr>
        <w:t> </w:t>
      </w:r>
      <w:r>
        <w:rPr/>
        <w:t>çıkmaktadır</w:t>
      </w:r>
      <w:r>
        <w:rPr>
          <w:spacing w:val="-7"/>
        </w:rPr>
        <w:t> </w:t>
      </w:r>
      <w:r>
        <w:rPr/>
        <w:t>(Cui</w:t>
      </w:r>
      <w:r>
        <w:rPr>
          <w:spacing w:val="-7"/>
        </w:rPr>
        <w:t> </w:t>
      </w:r>
      <w:r>
        <w:rPr/>
        <w:t>vd.,</w:t>
      </w:r>
      <w:r>
        <w:rPr>
          <w:spacing w:val="-6"/>
        </w:rPr>
        <w:t> </w:t>
      </w:r>
      <w:r>
        <w:rPr/>
        <w:t>2012).</w:t>
      </w:r>
      <w:r>
        <w:rPr>
          <w:spacing w:val="-7"/>
        </w:rPr>
        <w:t> </w:t>
      </w:r>
      <w:r>
        <w:rPr/>
        <w:t>Örneğin, daha önce hiç gitmediği bir ülkeye tatile gitmeyi planlayan tüketici nerede konaklayabileceğine dair tavsiye alabilmek adına gezi bloglarını okuyacak, Tripadvisor, Booking.com gibi sayfalardan otellerin sunduğu imkânların yanı sıra daha önce o otellerde konaklayanların görüşlerini de okuyarak otellerin kalite düzeyi hakkında bilgi elde etmeye çalışacaktır.</w:t>
      </w:r>
    </w:p>
    <w:p>
      <w:pPr>
        <w:pStyle w:val="BodyText"/>
        <w:spacing w:line="360" w:lineRule="auto" w:before="1"/>
        <w:ind w:right="308" w:firstLine="708"/>
      </w:pPr>
      <w:r>
        <w:rPr/>
        <w:t>Ürün kategorisinden bağımsız olarak, tüketici özelliklerine göre de tüketicilerin</w:t>
      </w:r>
      <w:r>
        <w:rPr>
          <w:spacing w:val="-32"/>
        </w:rPr>
        <w:t> </w:t>
      </w:r>
      <w:r>
        <w:rPr/>
        <w:t>bilgi arama miktarları farklılık göstermektedir. Gençler ve iyi eğitimli kişiler yaşlı ve eğitim seviyesi düşük kişilerden (Westbrook ve Fornell, 1979; Kardes vd., 2011: 196), kadınlar erkeklerden (Solomon, 2018: 340), orta gelirli tüketiciler düşük ve yüksek gelirli tüketicilerden (Kardes vd., 2011: 196) daha fazla araştırma yapmaktadırlar. Ayrıca, ürün bilgi düzeyi de araştırma miktarı üzerinde etkilidir. Ürüne dair hiç bilgisi olmayan ve ürün bilgisi çok fazla olan kişiler orta seviyede ürün bilgisine sahip kişilerden daha az araştırma yapma eğilimindedir (Bettman ve Park,</w:t>
      </w:r>
      <w:r>
        <w:rPr>
          <w:spacing w:val="-4"/>
        </w:rPr>
        <w:t> </w:t>
      </w:r>
      <w:r>
        <w:rPr/>
        <w:t>1980).</w:t>
      </w:r>
    </w:p>
    <w:p>
      <w:pPr>
        <w:pStyle w:val="BodyText"/>
        <w:spacing w:line="360" w:lineRule="auto" w:before="1"/>
        <w:ind w:right="307" w:firstLine="708"/>
      </w:pPr>
      <w:r>
        <w:rPr/>
        <w:t>Bilgi arama sürecinde, tüketici ürün kalitesini değerlendirmek için yeterli bilgiye erişemediğinde birtakım ipuçlarına başvurmaktadır. Ürünün markası, menşei ve fiyatı tüketicilerin ürün kalitesini değerlendirmek için sıklıkla başvurdukları ip uçlarıdır. Örneğin, akıllı telefon almak isteyen tüketicinin Samsung ve Xiaomi markalarından algıladığı kalite düzeyi</w:t>
      </w:r>
      <w:r>
        <w:rPr>
          <w:spacing w:val="-6"/>
        </w:rPr>
        <w:t> </w:t>
      </w:r>
      <w:r>
        <w:rPr/>
        <w:t>farklıdır.</w:t>
      </w:r>
      <w:r>
        <w:rPr>
          <w:spacing w:val="-6"/>
        </w:rPr>
        <w:t> </w:t>
      </w:r>
      <w:r>
        <w:rPr/>
        <w:t>Benzer</w:t>
      </w:r>
      <w:r>
        <w:rPr>
          <w:spacing w:val="-6"/>
        </w:rPr>
        <w:t> </w:t>
      </w:r>
      <w:r>
        <w:rPr/>
        <w:t>şekilde,</w:t>
      </w:r>
      <w:r>
        <w:rPr>
          <w:spacing w:val="-6"/>
        </w:rPr>
        <w:t> </w:t>
      </w:r>
      <w:r>
        <w:rPr/>
        <w:t>tüketicinin</w:t>
      </w:r>
      <w:r>
        <w:rPr>
          <w:spacing w:val="-6"/>
        </w:rPr>
        <w:t> </w:t>
      </w:r>
      <w:r>
        <w:rPr/>
        <w:t>üretim</w:t>
      </w:r>
      <w:r>
        <w:rPr>
          <w:spacing w:val="-5"/>
        </w:rPr>
        <w:t> </w:t>
      </w:r>
      <w:r>
        <w:rPr/>
        <w:t>yeri</w:t>
      </w:r>
      <w:r>
        <w:rPr>
          <w:spacing w:val="-7"/>
        </w:rPr>
        <w:t> </w:t>
      </w:r>
      <w:r>
        <w:rPr/>
        <w:t>Çin</w:t>
      </w:r>
      <w:r>
        <w:rPr>
          <w:spacing w:val="-6"/>
        </w:rPr>
        <w:t> </w:t>
      </w:r>
      <w:r>
        <w:rPr/>
        <w:t>olan</w:t>
      </w:r>
      <w:r>
        <w:rPr>
          <w:spacing w:val="-4"/>
        </w:rPr>
        <w:t> </w:t>
      </w:r>
      <w:r>
        <w:rPr/>
        <w:t>bir</w:t>
      </w:r>
      <w:r>
        <w:rPr>
          <w:spacing w:val="-4"/>
        </w:rPr>
        <w:t> </w:t>
      </w:r>
      <w:r>
        <w:rPr/>
        <w:t>elektronik</w:t>
      </w:r>
      <w:r>
        <w:rPr>
          <w:spacing w:val="-5"/>
        </w:rPr>
        <w:t> </w:t>
      </w:r>
      <w:r>
        <w:rPr/>
        <w:t>ürünle</w:t>
      </w:r>
      <w:r>
        <w:rPr>
          <w:spacing w:val="-6"/>
        </w:rPr>
        <w:t> </w:t>
      </w:r>
      <w:r>
        <w:rPr/>
        <w:t>üretim yeri</w:t>
      </w:r>
      <w:r>
        <w:rPr>
          <w:spacing w:val="-14"/>
        </w:rPr>
        <w:t> </w:t>
      </w:r>
      <w:r>
        <w:rPr/>
        <w:t>Japonya</w:t>
      </w:r>
      <w:r>
        <w:rPr>
          <w:spacing w:val="-13"/>
        </w:rPr>
        <w:t> </w:t>
      </w:r>
      <w:r>
        <w:rPr/>
        <w:t>olan</w:t>
      </w:r>
      <w:r>
        <w:rPr>
          <w:spacing w:val="-12"/>
        </w:rPr>
        <w:t> </w:t>
      </w:r>
      <w:r>
        <w:rPr/>
        <w:t>benzer</w:t>
      </w:r>
      <w:r>
        <w:rPr>
          <w:spacing w:val="-10"/>
        </w:rPr>
        <w:t> </w:t>
      </w:r>
      <w:r>
        <w:rPr/>
        <w:t>elektronik</w:t>
      </w:r>
      <w:r>
        <w:rPr>
          <w:spacing w:val="-13"/>
        </w:rPr>
        <w:t> </w:t>
      </w:r>
      <w:r>
        <w:rPr/>
        <w:t>ürüne</w:t>
      </w:r>
      <w:r>
        <w:rPr>
          <w:spacing w:val="-12"/>
        </w:rPr>
        <w:t> </w:t>
      </w:r>
      <w:r>
        <w:rPr/>
        <w:t>karşı</w:t>
      </w:r>
      <w:r>
        <w:rPr>
          <w:spacing w:val="-12"/>
        </w:rPr>
        <w:t> </w:t>
      </w:r>
      <w:r>
        <w:rPr/>
        <w:t>kalite</w:t>
      </w:r>
      <w:r>
        <w:rPr>
          <w:spacing w:val="-13"/>
        </w:rPr>
        <w:t> </w:t>
      </w:r>
      <w:r>
        <w:rPr/>
        <w:t>algısı</w:t>
      </w:r>
      <w:r>
        <w:rPr>
          <w:spacing w:val="-13"/>
        </w:rPr>
        <w:t> </w:t>
      </w:r>
      <w:r>
        <w:rPr/>
        <w:t>da</w:t>
      </w:r>
      <w:r>
        <w:rPr>
          <w:spacing w:val="-13"/>
        </w:rPr>
        <w:t> </w:t>
      </w:r>
      <w:r>
        <w:rPr/>
        <w:t>farklı</w:t>
      </w:r>
      <w:r>
        <w:rPr>
          <w:spacing w:val="-12"/>
        </w:rPr>
        <w:t> </w:t>
      </w:r>
      <w:r>
        <w:rPr/>
        <w:t>olacaktır.</w:t>
      </w:r>
      <w:r>
        <w:rPr>
          <w:spacing w:val="-10"/>
        </w:rPr>
        <w:t> </w:t>
      </w:r>
      <w:r>
        <w:rPr/>
        <w:t>Yine,</w:t>
      </w:r>
      <w:r>
        <w:rPr>
          <w:spacing w:val="-12"/>
        </w:rPr>
        <w:t> </w:t>
      </w:r>
      <w:r>
        <w:rPr/>
        <w:t>tüketici, 500</w:t>
      </w:r>
      <w:r>
        <w:rPr>
          <w:spacing w:val="-16"/>
        </w:rPr>
        <w:t> </w:t>
      </w:r>
      <w:r>
        <w:rPr/>
        <w:t>TL’ye</w:t>
      </w:r>
      <w:r>
        <w:rPr>
          <w:spacing w:val="-17"/>
        </w:rPr>
        <w:t> </w:t>
      </w:r>
      <w:r>
        <w:rPr/>
        <w:t>satılan</w:t>
      </w:r>
      <w:r>
        <w:rPr>
          <w:spacing w:val="-16"/>
        </w:rPr>
        <w:t> </w:t>
      </w:r>
      <w:r>
        <w:rPr/>
        <w:t>parfümün</w:t>
      </w:r>
      <w:r>
        <w:rPr>
          <w:spacing w:val="-16"/>
        </w:rPr>
        <w:t> </w:t>
      </w:r>
      <w:r>
        <w:rPr/>
        <w:t>50</w:t>
      </w:r>
      <w:r>
        <w:rPr>
          <w:spacing w:val="-16"/>
        </w:rPr>
        <w:t> </w:t>
      </w:r>
      <w:r>
        <w:rPr/>
        <w:t>TL’ye</w:t>
      </w:r>
      <w:r>
        <w:rPr>
          <w:spacing w:val="-17"/>
        </w:rPr>
        <w:t> </w:t>
      </w:r>
      <w:r>
        <w:rPr/>
        <w:t>satılan</w:t>
      </w:r>
      <w:r>
        <w:rPr>
          <w:spacing w:val="-16"/>
        </w:rPr>
        <w:t> </w:t>
      </w:r>
      <w:r>
        <w:rPr/>
        <w:t>parfümden</w:t>
      </w:r>
      <w:r>
        <w:rPr>
          <w:spacing w:val="-16"/>
        </w:rPr>
        <w:t> </w:t>
      </w:r>
      <w:r>
        <w:rPr/>
        <w:t>daha</w:t>
      </w:r>
      <w:r>
        <w:rPr>
          <w:spacing w:val="-17"/>
        </w:rPr>
        <w:t> </w:t>
      </w:r>
      <w:r>
        <w:rPr/>
        <w:t>kaliteli</w:t>
      </w:r>
      <w:r>
        <w:rPr>
          <w:spacing w:val="-15"/>
        </w:rPr>
        <w:t> </w:t>
      </w:r>
      <w:r>
        <w:rPr/>
        <w:t>olduğunu</w:t>
      </w:r>
      <w:r>
        <w:rPr>
          <w:spacing w:val="-15"/>
        </w:rPr>
        <w:t> </w:t>
      </w:r>
      <w:r>
        <w:rPr/>
        <w:t>düşünecektir. Simonson ve Rosen (2015: 39), bu ip uçlarının geçmişte tüketici satın alma kararlarında önemli derecede etkili olduğunu, fakat günümüzde etkisinin azaldığını iddia etmektedir. Bunun</w:t>
      </w:r>
      <w:r>
        <w:rPr>
          <w:spacing w:val="-11"/>
        </w:rPr>
        <w:t> </w:t>
      </w:r>
      <w:r>
        <w:rPr/>
        <w:t>nedeni,</w:t>
      </w:r>
      <w:r>
        <w:rPr>
          <w:spacing w:val="-11"/>
        </w:rPr>
        <w:t> </w:t>
      </w:r>
      <w:r>
        <w:rPr/>
        <w:t>geçmişte</w:t>
      </w:r>
      <w:r>
        <w:rPr>
          <w:spacing w:val="-9"/>
        </w:rPr>
        <w:t> </w:t>
      </w:r>
      <w:r>
        <w:rPr/>
        <w:t>yeni</w:t>
      </w:r>
      <w:r>
        <w:rPr>
          <w:spacing w:val="-10"/>
        </w:rPr>
        <w:t> </w:t>
      </w:r>
      <w:r>
        <w:rPr/>
        <w:t>bir</w:t>
      </w:r>
      <w:r>
        <w:rPr>
          <w:spacing w:val="-11"/>
        </w:rPr>
        <w:t> </w:t>
      </w:r>
      <w:r>
        <w:rPr/>
        <w:t>ürün</w:t>
      </w:r>
      <w:r>
        <w:rPr>
          <w:spacing w:val="-12"/>
        </w:rPr>
        <w:t> </w:t>
      </w:r>
      <w:r>
        <w:rPr/>
        <w:t>almadan</w:t>
      </w:r>
      <w:r>
        <w:rPr>
          <w:spacing w:val="-11"/>
        </w:rPr>
        <w:t> </w:t>
      </w:r>
      <w:r>
        <w:rPr/>
        <w:t>önce</w:t>
      </w:r>
      <w:r>
        <w:rPr>
          <w:spacing w:val="-11"/>
        </w:rPr>
        <w:t> </w:t>
      </w:r>
      <w:r>
        <w:rPr/>
        <w:t>bilgi</w:t>
      </w:r>
      <w:r>
        <w:rPr>
          <w:spacing w:val="-11"/>
        </w:rPr>
        <w:t> </w:t>
      </w:r>
      <w:r>
        <w:rPr/>
        <w:t>toplamak</w:t>
      </w:r>
      <w:r>
        <w:rPr>
          <w:spacing w:val="-11"/>
        </w:rPr>
        <w:t> </w:t>
      </w:r>
      <w:r>
        <w:rPr/>
        <w:t>için</w:t>
      </w:r>
      <w:r>
        <w:rPr>
          <w:spacing w:val="-10"/>
        </w:rPr>
        <w:t> </w:t>
      </w:r>
      <w:r>
        <w:rPr/>
        <w:t>mağazalarda</w:t>
      </w:r>
      <w:r>
        <w:rPr>
          <w:spacing w:val="-13"/>
        </w:rPr>
        <w:t> </w:t>
      </w:r>
      <w:r>
        <w:rPr/>
        <w:t>gezmek ve</w:t>
      </w:r>
      <w:r>
        <w:rPr>
          <w:spacing w:val="-14"/>
        </w:rPr>
        <w:t> </w:t>
      </w:r>
      <w:r>
        <w:rPr/>
        <w:t>ürün</w:t>
      </w:r>
      <w:r>
        <w:rPr>
          <w:spacing w:val="-13"/>
        </w:rPr>
        <w:t> </w:t>
      </w:r>
      <w:r>
        <w:rPr/>
        <w:t>deneyimi</w:t>
      </w:r>
      <w:r>
        <w:rPr>
          <w:spacing w:val="-12"/>
        </w:rPr>
        <w:t> </w:t>
      </w:r>
      <w:r>
        <w:rPr/>
        <w:t>olan</w:t>
      </w:r>
      <w:r>
        <w:rPr>
          <w:spacing w:val="-14"/>
        </w:rPr>
        <w:t> </w:t>
      </w:r>
      <w:r>
        <w:rPr/>
        <w:t>tanıdıklarına</w:t>
      </w:r>
      <w:r>
        <w:rPr>
          <w:spacing w:val="-14"/>
        </w:rPr>
        <w:t> </w:t>
      </w:r>
      <w:r>
        <w:rPr/>
        <w:t>danışmak</w:t>
      </w:r>
      <w:r>
        <w:rPr>
          <w:spacing w:val="-12"/>
        </w:rPr>
        <w:t> </w:t>
      </w:r>
      <w:r>
        <w:rPr/>
        <w:t>zorunda</w:t>
      </w:r>
      <w:r>
        <w:rPr>
          <w:spacing w:val="-14"/>
        </w:rPr>
        <w:t> </w:t>
      </w:r>
      <w:r>
        <w:rPr/>
        <w:t>olan</w:t>
      </w:r>
      <w:r>
        <w:rPr>
          <w:spacing w:val="-13"/>
        </w:rPr>
        <w:t> </w:t>
      </w:r>
      <w:r>
        <w:rPr/>
        <w:t>tüketicinin,</w:t>
      </w:r>
      <w:r>
        <w:rPr>
          <w:spacing w:val="-12"/>
        </w:rPr>
        <w:t> </w:t>
      </w:r>
      <w:r>
        <w:rPr/>
        <w:t>günümüzde</w:t>
      </w:r>
      <w:r>
        <w:rPr>
          <w:spacing w:val="-14"/>
        </w:rPr>
        <w:t> </w:t>
      </w:r>
      <w:r>
        <w:rPr/>
        <w:t>oturduğu yerden kalkmadan bilgisayardan, telefondan ve/veya tabletten internete bağlanıp, arama motorlarını kullanarak ürün özelliklerini öğrenebilmesi ve ürünü kullanan</w:t>
      </w:r>
      <w:r>
        <w:rPr>
          <w:spacing w:val="29"/>
        </w:rPr>
        <w:t> </w:t>
      </w:r>
      <w:r>
        <w:rPr/>
        <w:t>yüzlerce</w:t>
      </w:r>
    </w:p>
    <w:p>
      <w:pPr>
        <w:spacing w:after="0" w:line="360" w:lineRule="auto"/>
        <w:sectPr>
          <w:pgSz w:w="12240" w:h="15840"/>
          <w:pgMar w:header="718" w:footer="0" w:top="1300" w:bottom="280" w:left="1720" w:right="820"/>
        </w:sectPr>
      </w:pPr>
    </w:p>
    <w:p>
      <w:pPr>
        <w:pStyle w:val="BodyText"/>
        <w:spacing w:line="360" w:lineRule="auto" w:before="100"/>
        <w:ind w:right="313"/>
      </w:pPr>
      <w:r>
        <w:rPr/>
        <w:t>kullanıcının deneyimlerini ve görüşlerini okuyabilmesidir. İnternet, karar verme sürecinin bilgi</w:t>
      </w:r>
      <w:r>
        <w:rPr>
          <w:spacing w:val="-7"/>
        </w:rPr>
        <w:t> </w:t>
      </w:r>
      <w:r>
        <w:rPr/>
        <w:t>arama</w:t>
      </w:r>
      <w:r>
        <w:rPr>
          <w:spacing w:val="-7"/>
        </w:rPr>
        <w:t> </w:t>
      </w:r>
      <w:r>
        <w:rPr/>
        <w:t>bölümünü</w:t>
      </w:r>
      <w:r>
        <w:rPr>
          <w:spacing w:val="-6"/>
        </w:rPr>
        <w:t> </w:t>
      </w:r>
      <w:r>
        <w:rPr/>
        <w:t>çok</w:t>
      </w:r>
      <w:r>
        <w:rPr>
          <w:spacing w:val="-6"/>
        </w:rPr>
        <w:t> </w:t>
      </w:r>
      <w:r>
        <w:rPr/>
        <w:t>daha</w:t>
      </w:r>
      <w:r>
        <w:rPr>
          <w:spacing w:val="-7"/>
        </w:rPr>
        <w:t> </w:t>
      </w:r>
      <w:r>
        <w:rPr/>
        <w:t>kolay</w:t>
      </w:r>
      <w:r>
        <w:rPr>
          <w:spacing w:val="-8"/>
        </w:rPr>
        <w:t> </w:t>
      </w:r>
      <w:r>
        <w:rPr/>
        <w:t>hale</w:t>
      </w:r>
      <w:r>
        <w:rPr>
          <w:spacing w:val="-5"/>
        </w:rPr>
        <w:t> </w:t>
      </w:r>
      <w:r>
        <w:rPr/>
        <w:t>getirmiştir</w:t>
      </w:r>
      <w:r>
        <w:rPr>
          <w:spacing w:val="-6"/>
        </w:rPr>
        <w:t> </w:t>
      </w:r>
      <w:r>
        <w:rPr/>
        <w:t>(Teo</w:t>
      </w:r>
      <w:r>
        <w:rPr>
          <w:spacing w:val="-6"/>
        </w:rPr>
        <w:t> </w:t>
      </w:r>
      <w:r>
        <w:rPr/>
        <w:t>ve</w:t>
      </w:r>
      <w:r>
        <w:rPr>
          <w:spacing w:val="-7"/>
        </w:rPr>
        <w:t> </w:t>
      </w:r>
      <w:r>
        <w:rPr/>
        <w:t>Yeong,</w:t>
      </w:r>
      <w:r>
        <w:rPr>
          <w:spacing w:val="-7"/>
        </w:rPr>
        <w:t> </w:t>
      </w:r>
      <w:r>
        <w:rPr/>
        <w:t>2003).</w:t>
      </w:r>
      <w:r>
        <w:rPr>
          <w:spacing w:val="-5"/>
        </w:rPr>
        <w:t> </w:t>
      </w:r>
      <w:r>
        <w:rPr/>
        <w:t>İnternet,</w:t>
      </w:r>
      <w:r>
        <w:rPr>
          <w:spacing w:val="-6"/>
        </w:rPr>
        <w:t> </w:t>
      </w:r>
      <w:r>
        <w:rPr/>
        <w:t>arama maliyetlerini önemli ölçüde azaltmakta, bilgi edinmek için yeni araçlar sunmakta ve çeşitli alternatiflerin</w:t>
      </w:r>
      <w:r>
        <w:rPr>
          <w:spacing w:val="-9"/>
        </w:rPr>
        <w:t> </w:t>
      </w:r>
      <w:r>
        <w:rPr/>
        <w:t>karşılaştırılmasını</w:t>
      </w:r>
      <w:r>
        <w:rPr>
          <w:spacing w:val="-7"/>
        </w:rPr>
        <w:t> </w:t>
      </w:r>
      <w:r>
        <w:rPr/>
        <w:t>kolaylaştırmaktadır</w:t>
      </w:r>
      <w:r>
        <w:rPr>
          <w:spacing w:val="-9"/>
        </w:rPr>
        <w:t> </w:t>
      </w:r>
      <w:r>
        <w:rPr/>
        <w:t>(Keeney,</w:t>
      </w:r>
      <w:r>
        <w:rPr>
          <w:spacing w:val="-7"/>
        </w:rPr>
        <w:t> </w:t>
      </w:r>
      <w:r>
        <w:rPr/>
        <w:t>1999;</w:t>
      </w:r>
      <w:r>
        <w:rPr>
          <w:spacing w:val="-8"/>
        </w:rPr>
        <w:t> </w:t>
      </w:r>
      <w:r>
        <w:rPr/>
        <w:t>Brynjolfsson</w:t>
      </w:r>
      <w:r>
        <w:rPr>
          <w:spacing w:val="-7"/>
        </w:rPr>
        <w:t> </w:t>
      </w:r>
      <w:r>
        <w:rPr/>
        <w:t>vd.,</w:t>
      </w:r>
      <w:r>
        <w:rPr>
          <w:spacing w:val="-8"/>
        </w:rPr>
        <w:t> </w:t>
      </w:r>
      <w:r>
        <w:rPr/>
        <w:t>2000; Huang vd.,</w:t>
      </w:r>
      <w:r>
        <w:rPr>
          <w:spacing w:val="-1"/>
        </w:rPr>
        <w:t> </w:t>
      </w:r>
      <w:r>
        <w:rPr/>
        <w:t>2009).</w:t>
      </w:r>
    </w:p>
    <w:p>
      <w:pPr>
        <w:pStyle w:val="BodyText"/>
        <w:spacing w:line="360" w:lineRule="auto"/>
        <w:ind w:right="310" w:firstLine="708"/>
      </w:pPr>
      <w:r>
        <w:rPr/>
        <w:t>İnternet sınırsız bir bilgi kaynağıdır ve bu sayede tüketici en rasyonel satın alma kararını vermek için gereken bilgiye ulaşabilmektedir. Fakat internetin sınırsız bilgi</w:t>
      </w:r>
      <w:r>
        <w:rPr>
          <w:spacing w:val="-39"/>
        </w:rPr>
        <w:t> </w:t>
      </w:r>
      <w:r>
        <w:rPr/>
        <w:t>kaynağı olması tüketici için bir olumsuzluk da barındırmaktadır. Tüketici, kimi durumda, internette gereğinden fazla bilgi arayışına girebilmekte ve bu nedenle aşırı bilgi yüklemesine maruz kalabilmektedir (Virdi vd., 2020). İnsanoğlu bilgi depolama, işleme ve yorumlama konusunda limitlere sahip olduğundan, tüketicinin işlem limitlerini aşacak şekilde aşırı bilgi yüklenmesi daha kötü karar verme ve işlevsiz performansa neden olmaktadır (Malhotra, 1982). Kısaca, aşırı bilgi yüklenmesi tüketici kararsızlığına neden olarak mantık dışı karara ya da satın almanın iptaline yol açabilmektedir. Dolayısıyla, tüketici için internet, olabildiğince</w:t>
      </w:r>
      <w:r>
        <w:rPr>
          <w:spacing w:val="-17"/>
        </w:rPr>
        <w:t> </w:t>
      </w:r>
      <w:r>
        <w:rPr/>
        <w:t>çok</w:t>
      </w:r>
      <w:r>
        <w:rPr>
          <w:spacing w:val="-15"/>
        </w:rPr>
        <w:t> </w:t>
      </w:r>
      <w:r>
        <w:rPr/>
        <w:t>bilgi</w:t>
      </w:r>
      <w:r>
        <w:rPr>
          <w:spacing w:val="-15"/>
        </w:rPr>
        <w:t> </w:t>
      </w:r>
      <w:r>
        <w:rPr/>
        <w:t>toplama</w:t>
      </w:r>
      <w:r>
        <w:rPr>
          <w:spacing w:val="-15"/>
        </w:rPr>
        <w:t> </w:t>
      </w:r>
      <w:r>
        <w:rPr/>
        <w:t>alanı</w:t>
      </w:r>
      <w:r>
        <w:rPr>
          <w:spacing w:val="-16"/>
        </w:rPr>
        <w:t> </w:t>
      </w:r>
      <w:r>
        <w:rPr/>
        <w:t>olarak</w:t>
      </w:r>
      <w:r>
        <w:rPr>
          <w:spacing w:val="-15"/>
        </w:rPr>
        <w:t> </w:t>
      </w:r>
      <w:r>
        <w:rPr/>
        <w:t>değil</w:t>
      </w:r>
      <w:r>
        <w:rPr>
          <w:spacing w:val="-15"/>
        </w:rPr>
        <w:t> </w:t>
      </w:r>
      <w:r>
        <w:rPr/>
        <w:t>en</w:t>
      </w:r>
      <w:r>
        <w:rPr>
          <w:spacing w:val="-15"/>
        </w:rPr>
        <w:t> </w:t>
      </w:r>
      <w:r>
        <w:rPr/>
        <w:t>doğru</w:t>
      </w:r>
      <w:r>
        <w:rPr>
          <w:spacing w:val="-16"/>
        </w:rPr>
        <w:t> </w:t>
      </w:r>
      <w:r>
        <w:rPr/>
        <w:t>bilgiyi</w:t>
      </w:r>
      <w:r>
        <w:rPr>
          <w:spacing w:val="-15"/>
        </w:rPr>
        <w:t> </w:t>
      </w:r>
      <w:r>
        <w:rPr/>
        <w:t>bulma</w:t>
      </w:r>
      <w:r>
        <w:rPr>
          <w:spacing w:val="-16"/>
        </w:rPr>
        <w:t> </w:t>
      </w:r>
      <w:r>
        <w:rPr/>
        <w:t>mecrası</w:t>
      </w:r>
      <w:r>
        <w:rPr>
          <w:spacing w:val="-15"/>
        </w:rPr>
        <w:t> </w:t>
      </w:r>
      <w:r>
        <w:rPr/>
        <w:t>olarak</w:t>
      </w:r>
      <w:r>
        <w:rPr>
          <w:spacing w:val="-15"/>
        </w:rPr>
        <w:t> </w:t>
      </w:r>
      <w:r>
        <w:rPr/>
        <w:t>kritik öneme</w:t>
      </w:r>
      <w:r>
        <w:rPr>
          <w:spacing w:val="-1"/>
        </w:rPr>
        <w:t> </w:t>
      </w:r>
      <w:r>
        <w:rPr/>
        <w:t>sahiptir.</w:t>
      </w:r>
    </w:p>
    <w:p>
      <w:pPr>
        <w:pStyle w:val="Heading1"/>
        <w:numPr>
          <w:ilvl w:val="2"/>
          <w:numId w:val="1"/>
        </w:numPr>
        <w:tabs>
          <w:tab w:pos="1857" w:val="left" w:leader="none"/>
        </w:tabs>
        <w:spacing w:line="240" w:lineRule="auto" w:before="160" w:after="0"/>
        <w:ind w:left="1856" w:right="0" w:hanging="601"/>
        <w:jc w:val="both"/>
      </w:pPr>
      <w:r>
        <w:rPr/>
        <w:t>Güven</w:t>
      </w:r>
      <w:r>
        <w:rPr>
          <w:spacing w:val="-1"/>
        </w:rPr>
        <w:t> </w:t>
      </w:r>
      <w:r>
        <w:rPr/>
        <w:t>İnşası</w:t>
      </w:r>
    </w:p>
    <w:p>
      <w:pPr>
        <w:pStyle w:val="BodyText"/>
        <w:spacing w:line="360" w:lineRule="auto" w:before="140"/>
        <w:ind w:right="310" w:firstLine="708"/>
      </w:pPr>
      <w:r>
        <w:rPr/>
        <w:t>Tüketici ihtiyacına yönelik bilgi toplarken, internette satın alabileceği çok farklı ürünler,</w:t>
      </w:r>
      <w:r>
        <w:rPr>
          <w:spacing w:val="-9"/>
        </w:rPr>
        <w:t> </w:t>
      </w:r>
      <w:r>
        <w:rPr/>
        <w:t>markalar</w:t>
      </w:r>
      <w:r>
        <w:rPr>
          <w:spacing w:val="-8"/>
        </w:rPr>
        <w:t> </w:t>
      </w:r>
      <w:r>
        <w:rPr/>
        <w:t>ve</w:t>
      </w:r>
      <w:r>
        <w:rPr>
          <w:spacing w:val="-8"/>
        </w:rPr>
        <w:t> </w:t>
      </w:r>
      <w:r>
        <w:rPr/>
        <w:t>çok</w:t>
      </w:r>
      <w:r>
        <w:rPr>
          <w:spacing w:val="-5"/>
        </w:rPr>
        <w:t> </w:t>
      </w:r>
      <w:r>
        <w:rPr/>
        <w:t>çeşitli</w:t>
      </w:r>
      <w:r>
        <w:rPr>
          <w:spacing w:val="-7"/>
        </w:rPr>
        <w:t> </w:t>
      </w:r>
      <w:r>
        <w:rPr/>
        <w:t>satıcılarla</w:t>
      </w:r>
      <w:r>
        <w:rPr>
          <w:spacing w:val="-8"/>
        </w:rPr>
        <w:t> </w:t>
      </w:r>
      <w:r>
        <w:rPr/>
        <w:t>karşılaşmaktadır.</w:t>
      </w:r>
      <w:r>
        <w:rPr>
          <w:spacing w:val="-8"/>
        </w:rPr>
        <w:t> </w:t>
      </w:r>
      <w:r>
        <w:rPr/>
        <w:t>Online</w:t>
      </w:r>
      <w:r>
        <w:rPr>
          <w:spacing w:val="-8"/>
        </w:rPr>
        <w:t> </w:t>
      </w:r>
      <w:r>
        <w:rPr/>
        <w:t>alışverişte,</w:t>
      </w:r>
      <w:r>
        <w:rPr>
          <w:spacing w:val="-8"/>
        </w:rPr>
        <w:t> </w:t>
      </w:r>
      <w:r>
        <w:rPr/>
        <w:t>tüketici</w:t>
      </w:r>
      <w:r>
        <w:rPr>
          <w:spacing w:val="-7"/>
        </w:rPr>
        <w:t> </w:t>
      </w:r>
      <w:r>
        <w:rPr/>
        <w:t>ürüne dokunamamakta ve ürünü deneyememektedir. Ayrıca, satıcılarla sanal bir ortamda, fiziki temas</w:t>
      </w:r>
      <w:r>
        <w:rPr>
          <w:spacing w:val="-11"/>
        </w:rPr>
        <w:t> </w:t>
      </w:r>
      <w:r>
        <w:rPr/>
        <w:t>kurmadan</w:t>
      </w:r>
      <w:r>
        <w:rPr>
          <w:spacing w:val="-10"/>
        </w:rPr>
        <w:t> </w:t>
      </w:r>
      <w:r>
        <w:rPr/>
        <w:t>alışveriş</w:t>
      </w:r>
      <w:r>
        <w:rPr>
          <w:spacing w:val="-8"/>
        </w:rPr>
        <w:t> </w:t>
      </w:r>
      <w:r>
        <w:rPr/>
        <w:t>gerçekleşmektedir.</w:t>
      </w:r>
      <w:r>
        <w:rPr>
          <w:spacing w:val="-10"/>
        </w:rPr>
        <w:t> </w:t>
      </w:r>
      <w:r>
        <w:rPr/>
        <w:t>Bu</w:t>
      </w:r>
      <w:r>
        <w:rPr>
          <w:spacing w:val="-10"/>
        </w:rPr>
        <w:t> </w:t>
      </w:r>
      <w:r>
        <w:rPr/>
        <w:t>nedenlerle,</w:t>
      </w:r>
      <w:r>
        <w:rPr>
          <w:spacing w:val="-10"/>
        </w:rPr>
        <w:t> </w:t>
      </w:r>
      <w:r>
        <w:rPr/>
        <w:t>tüketicinin</w:t>
      </w:r>
      <w:r>
        <w:rPr>
          <w:spacing w:val="-9"/>
        </w:rPr>
        <w:t> </w:t>
      </w:r>
      <w:r>
        <w:rPr/>
        <w:t>algıladığı</w:t>
      </w:r>
      <w:r>
        <w:rPr>
          <w:spacing w:val="-10"/>
        </w:rPr>
        <w:t> </w:t>
      </w:r>
      <w:r>
        <w:rPr/>
        <w:t>risk</w:t>
      </w:r>
      <w:r>
        <w:rPr>
          <w:spacing w:val="-10"/>
        </w:rPr>
        <w:t> </w:t>
      </w:r>
      <w:r>
        <w:rPr/>
        <w:t>online alışverişte daha yüksektir (Lin vd.,</w:t>
      </w:r>
      <w:r>
        <w:rPr>
          <w:spacing w:val="-2"/>
        </w:rPr>
        <w:t> </w:t>
      </w:r>
      <w:r>
        <w:rPr/>
        <w:t>2019).</w:t>
      </w:r>
    </w:p>
    <w:p>
      <w:pPr>
        <w:pStyle w:val="BodyText"/>
        <w:spacing w:line="360" w:lineRule="auto" w:before="119"/>
        <w:ind w:right="308" w:firstLine="708"/>
      </w:pPr>
      <w:r>
        <w:rPr/>
        <w:t>Algılanan riskin azaltılması için güven inşası oldukça önemlidir (McKnight vd., 2002). Öncelikli olarak, internet sayfasının tasarım kalitesi, algılanan güvenlik yapısı, algılanan sistem kalitesi, algılanan bilgi kalitesi, algılanan kullanışlılığı, kişisel bilgilerin korunmasına</w:t>
      </w:r>
      <w:r>
        <w:rPr>
          <w:spacing w:val="-6"/>
        </w:rPr>
        <w:t> </w:t>
      </w:r>
      <w:r>
        <w:rPr/>
        <w:t>yönelik</w:t>
      </w:r>
      <w:r>
        <w:rPr>
          <w:spacing w:val="-4"/>
        </w:rPr>
        <w:t> </w:t>
      </w:r>
      <w:r>
        <w:rPr/>
        <w:t>algı,</w:t>
      </w:r>
      <w:r>
        <w:rPr>
          <w:spacing w:val="-5"/>
        </w:rPr>
        <w:t> </w:t>
      </w:r>
      <w:r>
        <w:rPr/>
        <w:t>algılanan</w:t>
      </w:r>
      <w:r>
        <w:rPr>
          <w:spacing w:val="-4"/>
        </w:rPr>
        <w:t> </w:t>
      </w:r>
      <w:r>
        <w:rPr/>
        <w:t>itibarı</w:t>
      </w:r>
      <w:r>
        <w:rPr>
          <w:spacing w:val="-4"/>
        </w:rPr>
        <w:t> </w:t>
      </w:r>
      <w:r>
        <w:rPr/>
        <w:t>ve</w:t>
      </w:r>
      <w:r>
        <w:rPr>
          <w:spacing w:val="-5"/>
        </w:rPr>
        <w:t> </w:t>
      </w:r>
      <w:r>
        <w:rPr/>
        <w:t>algılanan</w:t>
      </w:r>
      <w:r>
        <w:rPr>
          <w:spacing w:val="-4"/>
        </w:rPr>
        <w:t> </w:t>
      </w:r>
      <w:r>
        <w:rPr/>
        <w:t>hizmet</w:t>
      </w:r>
      <w:r>
        <w:rPr>
          <w:spacing w:val="-4"/>
        </w:rPr>
        <w:t> </w:t>
      </w:r>
      <w:r>
        <w:rPr/>
        <w:t>kalitesi</w:t>
      </w:r>
      <w:r>
        <w:rPr>
          <w:spacing w:val="-4"/>
        </w:rPr>
        <w:t> </w:t>
      </w:r>
      <w:r>
        <w:rPr/>
        <w:t>gibi</w:t>
      </w:r>
      <w:r>
        <w:rPr>
          <w:spacing w:val="-9"/>
        </w:rPr>
        <w:t> </w:t>
      </w:r>
      <w:r>
        <w:rPr/>
        <w:t>özellikleri</w:t>
      </w:r>
      <w:r>
        <w:rPr>
          <w:spacing w:val="-4"/>
        </w:rPr>
        <w:t> </w:t>
      </w:r>
      <w:r>
        <w:rPr/>
        <w:t>güven inşası için önemli hususlardır (Kim ve Peterson, 2017). İnternet sayfası özelliklerinin yanı sıra, tüketicinin bilgi sahibi olmadığı ürün, marka ve/veya satıcıya güven duyabilmesi için zengin bilgi kaynaklarına da ihtiyacı bulunmaktadır. Satıcının, ürün özellikleri, kullanımı</w:t>
      </w:r>
      <w:r>
        <w:rPr>
          <w:spacing w:val="-33"/>
        </w:rPr>
        <w:t> </w:t>
      </w:r>
      <w:r>
        <w:rPr/>
        <w:t>ve kargolama</w:t>
      </w:r>
      <w:r>
        <w:rPr>
          <w:spacing w:val="-14"/>
        </w:rPr>
        <w:t> </w:t>
      </w:r>
      <w:r>
        <w:rPr/>
        <w:t>ile</w:t>
      </w:r>
      <w:r>
        <w:rPr>
          <w:spacing w:val="-11"/>
        </w:rPr>
        <w:t> </w:t>
      </w:r>
      <w:r>
        <w:rPr/>
        <w:t>ilgili</w:t>
      </w:r>
      <w:r>
        <w:rPr>
          <w:spacing w:val="-12"/>
        </w:rPr>
        <w:t> </w:t>
      </w:r>
      <w:r>
        <w:rPr/>
        <w:t>bilgileri</w:t>
      </w:r>
      <w:r>
        <w:rPr>
          <w:spacing w:val="-13"/>
        </w:rPr>
        <w:t> </w:t>
      </w:r>
      <w:r>
        <w:rPr/>
        <w:t>detaylıca</w:t>
      </w:r>
      <w:r>
        <w:rPr>
          <w:spacing w:val="-14"/>
        </w:rPr>
        <w:t> </w:t>
      </w:r>
      <w:r>
        <w:rPr/>
        <w:t>yayınlaması</w:t>
      </w:r>
      <w:r>
        <w:rPr>
          <w:spacing w:val="-10"/>
        </w:rPr>
        <w:t> </w:t>
      </w:r>
      <w:r>
        <w:rPr/>
        <w:t>ve</w:t>
      </w:r>
      <w:r>
        <w:rPr>
          <w:spacing w:val="-13"/>
        </w:rPr>
        <w:t> </w:t>
      </w:r>
      <w:r>
        <w:rPr/>
        <w:t>fotoğraf</w:t>
      </w:r>
      <w:r>
        <w:rPr>
          <w:spacing w:val="-13"/>
        </w:rPr>
        <w:t> </w:t>
      </w:r>
      <w:r>
        <w:rPr/>
        <w:t>ve</w:t>
      </w:r>
      <w:r>
        <w:rPr>
          <w:spacing w:val="-14"/>
        </w:rPr>
        <w:t> </w:t>
      </w:r>
      <w:r>
        <w:rPr/>
        <w:t>videolar</w:t>
      </w:r>
      <w:r>
        <w:rPr>
          <w:spacing w:val="-13"/>
        </w:rPr>
        <w:t> </w:t>
      </w:r>
      <w:r>
        <w:rPr/>
        <w:t>ile</w:t>
      </w:r>
      <w:r>
        <w:rPr>
          <w:spacing w:val="-11"/>
        </w:rPr>
        <w:t> </w:t>
      </w:r>
      <w:r>
        <w:rPr/>
        <w:t>tüketiciye</w:t>
      </w:r>
      <w:r>
        <w:rPr>
          <w:spacing w:val="-13"/>
        </w:rPr>
        <w:t> </w:t>
      </w:r>
      <w:r>
        <w:rPr/>
        <w:t>ürünü daha</w:t>
      </w:r>
      <w:r>
        <w:rPr>
          <w:spacing w:val="8"/>
        </w:rPr>
        <w:t> </w:t>
      </w:r>
      <w:r>
        <w:rPr/>
        <w:t>detaylı</w:t>
      </w:r>
      <w:r>
        <w:rPr>
          <w:spacing w:val="11"/>
        </w:rPr>
        <w:t> </w:t>
      </w:r>
      <w:r>
        <w:rPr/>
        <w:t>inceleme</w:t>
      </w:r>
      <w:r>
        <w:rPr>
          <w:spacing w:val="9"/>
        </w:rPr>
        <w:t> </w:t>
      </w:r>
      <w:r>
        <w:rPr/>
        <w:t>olanağı</w:t>
      </w:r>
      <w:r>
        <w:rPr>
          <w:spacing w:val="11"/>
        </w:rPr>
        <w:t> </w:t>
      </w:r>
      <w:r>
        <w:rPr/>
        <w:t>sunması</w:t>
      </w:r>
      <w:r>
        <w:rPr>
          <w:spacing w:val="10"/>
        </w:rPr>
        <w:t> </w:t>
      </w:r>
      <w:r>
        <w:rPr/>
        <w:t>tüketicinin</w:t>
      </w:r>
      <w:r>
        <w:rPr>
          <w:spacing w:val="11"/>
        </w:rPr>
        <w:t> </w:t>
      </w:r>
      <w:r>
        <w:rPr/>
        <w:t>güvenini</w:t>
      </w:r>
      <w:r>
        <w:rPr>
          <w:spacing w:val="11"/>
        </w:rPr>
        <w:t> </w:t>
      </w:r>
      <w:r>
        <w:rPr/>
        <w:t>artıracak</w:t>
      </w:r>
      <w:r>
        <w:rPr>
          <w:spacing w:val="9"/>
        </w:rPr>
        <w:t> </w:t>
      </w:r>
      <w:r>
        <w:rPr/>
        <w:t>etmenlerdir</w:t>
      </w:r>
      <w:r>
        <w:rPr>
          <w:spacing w:val="10"/>
        </w:rPr>
        <w:t> </w:t>
      </w:r>
      <w:r>
        <w:rPr/>
        <w:t>(Yue</w:t>
      </w:r>
      <w:r>
        <w:rPr>
          <w:spacing w:val="9"/>
        </w:rPr>
        <w:t> </w:t>
      </w:r>
      <w:r>
        <w:rPr/>
        <w:t>vd.,</w:t>
      </w:r>
    </w:p>
    <w:p>
      <w:pPr>
        <w:spacing w:after="0" w:line="360" w:lineRule="auto"/>
        <w:sectPr>
          <w:pgSz w:w="12240" w:h="15840"/>
          <w:pgMar w:header="718" w:footer="0" w:top="1300" w:bottom="280" w:left="1720" w:right="820"/>
        </w:sectPr>
      </w:pPr>
    </w:p>
    <w:p>
      <w:pPr>
        <w:pStyle w:val="BodyText"/>
        <w:spacing w:line="360" w:lineRule="auto" w:before="100"/>
        <w:ind w:right="309"/>
      </w:pPr>
      <w:r>
        <w:rPr/>
        <w:t>2017). Ancak, satıcının sunduğu bilgilerden ziyade, tüketicinin güven inşasında en kritik bilgi kaynağı diğer tüketicilerin yapmış olduğu yorumlardır (Utz vd., 2012; Yue vd., 2017; Bulut ve Karabulut, 2018). Yorumlar; satıcının doğru ürünü kargolayıp kargolamadığı, kargolamayı zamanında yapıp yapmadığı, özellikle kırılgan ürünleri paketlemede gösterdiği özen ve müşteri hizmetleri kalitesi gibi nitelikleri ve ürünün anlatıldığı gibi olup olmadığı, ihtiyacı</w:t>
      </w:r>
      <w:r>
        <w:rPr>
          <w:spacing w:val="-10"/>
        </w:rPr>
        <w:t> </w:t>
      </w:r>
      <w:r>
        <w:rPr/>
        <w:t>karşılamadaki</w:t>
      </w:r>
      <w:r>
        <w:rPr>
          <w:spacing w:val="-9"/>
        </w:rPr>
        <w:t> </w:t>
      </w:r>
      <w:r>
        <w:rPr/>
        <w:t>yeterliliği</w:t>
      </w:r>
      <w:r>
        <w:rPr>
          <w:spacing w:val="-10"/>
        </w:rPr>
        <w:t> </w:t>
      </w:r>
      <w:r>
        <w:rPr/>
        <w:t>ve</w:t>
      </w:r>
      <w:r>
        <w:rPr>
          <w:spacing w:val="-11"/>
        </w:rPr>
        <w:t> </w:t>
      </w:r>
      <w:r>
        <w:rPr/>
        <w:t>dayanıklılığı</w:t>
      </w:r>
      <w:r>
        <w:rPr>
          <w:spacing w:val="-11"/>
        </w:rPr>
        <w:t> </w:t>
      </w:r>
      <w:r>
        <w:rPr/>
        <w:t>gibi</w:t>
      </w:r>
      <w:r>
        <w:rPr>
          <w:spacing w:val="-9"/>
        </w:rPr>
        <w:t> </w:t>
      </w:r>
      <w:r>
        <w:rPr/>
        <w:t>deneyimle</w:t>
      </w:r>
      <w:r>
        <w:rPr>
          <w:spacing w:val="-11"/>
        </w:rPr>
        <w:t> </w:t>
      </w:r>
      <w:r>
        <w:rPr/>
        <w:t>edinilebilecek</w:t>
      </w:r>
      <w:r>
        <w:rPr>
          <w:spacing w:val="-10"/>
        </w:rPr>
        <w:t> </w:t>
      </w:r>
      <w:r>
        <w:rPr/>
        <w:t>bilgileri</w:t>
      </w:r>
      <w:r>
        <w:rPr>
          <w:spacing w:val="-10"/>
        </w:rPr>
        <w:t> </w:t>
      </w:r>
      <w:r>
        <w:rPr/>
        <w:t>satın alma</w:t>
      </w:r>
      <w:r>
        <w:rPr>
          <w:spacing w:val="-10"/>
        </w:rPr>
        <w:t> </w:t>
      </w:r>
      <w:r>
        <w:rPr/>
        <w:t>öncesi</w:t>
      </w:r>
      <w:r>
        <w:rPr>
          <w:spacing w:val="-7"/>
        </w:rPr>
        <w:t> </w:t>
      </w:r>
      <w:r>
        <w:rPr/>
        <w:t>tüketiciye</w:t>
      </w:r>
      <w:r>
        <w:rPr>
          <w:spacing w:val="-6"/>
        </w:rPr>
        <w:t> </w:t>
      </w:r>
      <w:r>
        <w:rPr/>
        <w:t>sağlamaktadır</w:t>
      </w:r>
      <w:r>
        <w:rPr>
          <w:spacing w:val="-8"/>
        </w:rPr>
        <w:t> </w:t>
      </w:r>
      <w:r>
        <w:rPr/>
        <w:t>(Utz</w:t>
      </w:r>
      <w:r>
        <w:rPr>
          <w:spacing w:val="-9"/>
        </w:rPr>
        <w:t> </w:t>
      </w:r>
      <w:r>
        <w:rPr/>
        <w:t>vd.,</w:t>
      </w:r>
      <w:r>
        <w:rPr>
          <w:spacing w:val="-7"/>
        </w:rPr>
        <w:t> </w:t>
      </w:r>
      <w:r>
        <w:rPr/>
        <w:t>2012).</w:t>
      </w:r>
      <w:r>
        <w:rPr>
          <w:spacing w:val="-5"/>
        </w:rPr>
        <w:t> </w:t>
      </w:r>
      <w:r>
        <w:rPr/>
        <w:t>Binlerce</w:t>
      </w:r>
      <w:r>
        <w:rPr>
          <w:spacing w:val="-9"/>
        </w:rPr>
        <w:t> </w:t>
      </w:r>
      <w:r>
        <w:rPr/>
        <w:t>satıcının</w:t>
      </w:r>
      <w:r>
        <w:rPr>
          <w:spacing w:val="-8"/>
        </w:rPr>
        <w:t> </w:t>
      </w:r>
      <w:r>
        <w:rPr/>
        <w:t>bulunduğu</w:t>
      </w:r>
      <w:r>
        <w:rPr>
          <w:spacing w:val="-8"/>
        </w:rPr>
        <w:t> </w:t>
      </w:r>
      <w:r>
        <w:rPr/>
        <w:t>ve</w:t>
      </w:r>
      <w:r>
        <w:rPr>
          <w:spacing w:val="-9"/>
        </w:rPr>
        <w:t> </w:t>
      </w:r>
      <w:r>
        <w:rPr/>
        <w:t>dünya genelinde milyonlarca tüketicinin alışveriş yaptığı Aliexpress.com, tüketicilere güven inşası konusunda yardımcı olabilmek adına, satıcılara yapılan yorumların yanı sıra, “ürünün anlatıldığı gibi olması”, “iletişim” ve “kargolama hızı” bağlamlarında satıcıların ortalama değerlendirme puanlarını da sunmaktadır. Benzer şekilde, ülkemizde faaliyet gösteren N11.com da satıcıların “ürünün anlatıldığı gibi olması”, “iletişim” ve “paketlemeye gösterilen</w:t>
      </w:r>
      <w:r>
        <w:rPr>
          <w:spacing w:val="-15"/>
        </w:rPr>
        <w:t> </w:t>
      </w:r>
      <w:r>
        <w:rPr/>
        <w:t>özen”</w:t>
      </w:r>
      <w:r>
        <w:rPr>
          <w:spacing w:val="-14"/>
        </w:rPr>
        <w:t> </w:t>
      </w:r>
      <w:r>
        <w:rPr/>
        <w:t>konularında</w:t>
      </w:r>
      <w:r>
        <w:rPr>
          <w:spacing w:val="-16"/>
        </w:rPr>
        <w:t> </w:t>
      </w:r>
      <w:r>
        <w:rPr/>
        <w:t>kaç</w:t>
      </w:r>
      <w:r>
        <w:rPr>
          <w:spacing w:val="-16"/>
        </w:rPr>
        <w:t> </w:t>
      </w:r>
      <w:r>
        <w:rPr/>
        <w:t>tane</w:t>
      </w:r>
      <w:r>
        <w:rPr>
          <w:spacing w:val="-16"/>
        </w:rPr>
        <w:t> </w:t>
      </w:r>
      <w:r>
        <w:rPr/>
        <w:t>olumlu</w:t>
      </w:r>
      <w:r>
        <w:rPr>
          <w:spacing w:val="-14"/>
        </w:rPr>
        <w:t> </w:t>
      </w:r>
      <w:r>
        <w:rPr/>
        <w:t>kaç</w:t>
      </w:r>
      <w:r>
        <w:rPr>
          <w:spacing w:val="-16"/>
        </w:rPr>
        <w:t> </w:t>
      </w:r>
      <w:r>
        <w:rPr/>
        <w:t>tane</w:t>
      </w:r>
      <w:r>
        <w:rPr>
          <w:spacing w:val="-16"/>
        </w:rPr>
        <w:t> </w:t>
      </w:r>
      <w:r>
        <w:rPr/>
        <w:t>de</w:t>
      </w:r>
      <w:r>
        <w:rPr>
          <w:spacing w:val="-16"/>
        </w:rPr>
        <w:t> </w:t>
      </w:r>
      <w:r>
        <w:rPr/>
        <w:t>olumsuz</w:t>
      </w:r>
      <w:r>
        <w:rPr>
          <w:spacing w:val="-13"/>
        </w:rPr>
        <w:t> </w:t>
      </w:r>
      <w:r>
        <w:rPr/>
        <w:t>yorum</w:t>
      </w:r>
      <w:r>
        <w:rPr>
          <w:spacing w:val="-15"/>
        </w:rPr>
        <w:t> </w:t>
      </w:r>
      <w:r>
        <w:rPr/>
        <w:t>aldığını</w:t>
      </w:r>
      <w:r>
        <w:rPr>
          <w:spacing w:val="-14"/>
        </w:rPr>
        <w:t> </w:t>
      </w:r>
      <w:r>
        <w:rPr/>
        <w:t>tüketicilere göstermektedir. Böylelikle hem Aliexpress’te hem de N11’de, tüketiciler hangi satıcılara, hangi konularda, ne kadar güven duyabileceklerine dair ipucu elde</w:t>
      </w:r>
      <w:r>
        <w:rPr>
          <w:spacing w:val="-6"/>
        </w:rPr>
        <w:t> </w:t>
      </w:r>
      <w:r>
        <w:rPr/>
        <w:t>etmektedir.</w:t>
      </w:r>
    </w:p>
    <w:p>
      <w:pPr>
        <w:pStyle w:val="BodyText"/>
        <w:spacing w:line="360" w:lineRule="auto"/>
        <w:ind w:right="312" w:firstLine="708"/>
      </w:pPr>
      <w:r>
        <w:rPr/>
        <w:t>Satın</w:t>
      </w:r>
      <w:r>
        <w:rPr>
          <w:spacing w:val="-12"/>
        </w:rPr>
        <w:t> </w:t>
      </w:r>
      <w:r>
        <w:rPr/>
        <w:t>alma</w:t>
      </w:r>
      <w:r>
        <w:rPr>
          <w:spacing w:val="-12"/>
        </w:rPr>
        <w:t> </w:t>
      </w:r>
      <w:r>
        <w:rPr/>
        <w:t>sürecinin</w:t>
      </w:r>
      <w:r>
        <w:rPr>
          <w:spacing w:val="-11"/>
        </w:rPr>
        <w:t> </w:t>
      </w:r>
      <w:r>
        <w:rPr/>
        <w:t>bu</w:t>
      </w:r>
      <w:r>
        <w:rPr>
          <w:spacing w:val="-11"/>
        </w:rPr>
        <w:t> </w:t>
      </w:r>
      <w:r>
        <w:rPr/>
        <w:t>aşamasında,</w:t>
      </w:r>
      <w:r>
        <w:rPr>
          <w:spacing w:val="-11"/>
        </w:rPr>
        <w:t> </w:t>
      </w:r>
      <w:r>
        <w:rPr/>
        <w:t>tüketici</w:t>
      </w:r>
      <w:r>
        <w:rPr>
          <w:spacing w:val="-11"/>
        </w:rPr>
        <w:t> </w:t>
      </w:r>
      <w:r>
        <w:rPr/>
        <w:t>risk</w:t>
      </w:r>
      <w:r>
        <w:rPr>
          <w:spacing w:val="-11"/>
        </w:rPr>
        <w:t> </w:t>
      </w:r>
      <w:r>
        <w:rPr/>
        <w:t>ve</w:t>
      </w:r>
      <w:r>
        <w:rPr>
          <w:spacing w:val="-12"/>
        </w:rPr>
        <w:t> </w:t>
      </w:r>
      <w:r>
        <w:rPr/>
        <w:t>güven</w:t>
      </w:r>
      <w:r>
        <w:rPr>
          <w:spacing w:val="-12"/>
        </w:rPr>
        <w:t> </w:t>
      </w:r>
      <w:r>
        <w:rPr/>
        <w:t>bağlamında</w:t>
      </w:r>
      <w:r>
        <w:rPr>
          <w:spacing w:val="-9"/>
        </w:rPr>
        <w:t> </w:t>
      </w:r>
      <w:r>
        <w:rPr/>
        <w:t>elde</w:t>
      </w:r>
      <w:r>
        <w:rPr>
          <w:spacing w:val="-9"/>
        </w:rPr>
        <w:t> </w:t>
      </w:r>
      <w:r>
        <w:rPr/>
        <w:t>ettiği</w:t>
      </w:r>
      <w:r>
        <w:rPr>
          <w:spacing w:val="-10"/>
        </w:rPr>
        <w:t> </w:t>
      </w:r>
      <w:r>
        <w:rPr/>
        <w:t>tüm bilgiler ışığında ürünleri, markaları ve/veya satıcıları bir ön elemeye tabi tutmaktadır. Riski yüksek</w:t>
      </w:r>
      <w:r>
        <w:rPr>
          <w:spacing w:val="-9"/>
        </w:rPr>
        <w:t> </w:t>
      </w:r>
      <w:r>
        <w:rPr/>
        <w:t>olanları</w:t>
      </w:r>
      <w:r>
        <w:rPr>
          <w:spacing w:val="-7"/>
        </w:rPr>
        <w:t> </w:t>
      </w:r>
      <w:r>
        <w:rPr/>
        <w:t>elemekte</w:t>
      </w:r>
      <w:r>
        <w:rPr>
          <w:spacing w:val="-7"/>
        </w:rPr>
        <w:t> </w:t>
      </w:r>
      <w:r>
        <w:rPr/>
        <w:t>ve</w:t>
      </w:r>
      <w:r>
        <w:rPr>
          <w:spacing w:val="-9"/>
        </w:rPr>
        <w:t> </w:t>
      </w:r>
      <w:r>
        <w:rPr/>
        <w:t>belirli</w:t>
      </w:r>
      <w:r>
        <w:rPr>
          <w:spacing w:val="-8"/>
        </w:rPr>
        <w:t> </w:t>
      </w:r>
      <w:r>
        <w:rPr/>
        <w:t>bir</w:t>
      </w:r>
      <w:r>
        <w:rPr>
          <w:spacing w:val="-9"/>
        </w:rPr>
        <w:t> </w:t>
      </w:r>
      <w:r>
        <w:rPr/>
        <w:t>seviyede</w:t>
      </w:r>
      <w:r>
        <w:rPr>
          <w:spacing w:val="-9"/>
        </w:rPr>
        <w:t> </w:t>
      </w:r>
      <w:r>
        <w:rPr/>
        <w:t>güven</w:t>
      </w:r>
      <w:r>
        <w:rPr>
          <w:spacing w:val="-9"/>
        </w:rPr>
        <w:t> </w:t>
      </w:r>
      <w:r>
        <w:rPr/>
        <w:t>duyduklarını</w:t>
      </w:r>
      <w:r>
        <w:rPr>
          <w:spacing w:val="-8"/>
        </w:rPr>
        <w:t> </w:t>
      </w:r>
      <w:r>
        <w:rPr/>
        <w:t>değerlendirme</w:t>
      </w:r>
      <w:r>
        <w:rPr>
          <w:spacing w:val="-8"/>
        </w:rPr>
        <w:t> </w:t>
      </w:r>
      <w:r>
        <w:rPr/>
        <w:t>kümesine dahil etmektedir (Constantinides,</w:t>
      </w:r>
      <w:r>
        <w:rPr>
          <w:spacing w:val="-2"/>
        </w:rPr>
        <w:t> </w:t>
      </w:r>
      <w:r>
        <w:rPr/>
        <w:t>2004).</w:t>
      </w:r>
    </w:p>
    <w:p>
      <w:pPr>
        <w:pStyle w:val="Heading1"/>
        <w:numPr>
          <w:ilvl w:val="2"/>
          <w:numId w:val="1"/>
        </w:numPr>
        <w:tabs>
          <w:tab w:pos="1857" w:val="left" w:leader="none"/>
        </w:tabs>
        <w:spacing w:line="240" w:lineRule="auto" w:before="162" w:after="0"/>
        <w:ind w:left="1856" w:right="0" w:hanging="601"/>
        <w:jc w:val="both"/>
      </w:pPr>
      <w:r>
        <w:rPr/>
        <w:t>Alternatiflerin Değerlendirilmesi</w:t>
      </w:r>
    </w:p>
    <w:p>
      <w:pPr>
        <w:pStyle w:val="BodyText"/>
        <w:spacing w:line="360" w:lineRule="auto" w:before="137"/>
        <w:ind w:right="312" w:firstLine="708"/>
      </w:pPr>
      <w:r>
        <w:rPr/>
        <w:t>Problemini çözmek veya ihtiyacını gidermek için gerekli bilgiyi toplamış tüketici, ilgilendiği alternatiflerden bir değerlendirme kümesi oluşturmuştur (Nedungadi, 1990; Solomon, 2018: 342). Bu aşamada, tüketicilerin odak noktası seçimlerini hızlı ve verimli</w:t>
      </w:r>
      <w:r>
        <w:rPr>
          <w:spacing w:val="-39"/>
        </w:rPr>
        <w:t> </w:t>
      </w:r>
      <w:r>
        <w:rPr/>
        <w:t>bir şekilde yapmaya ve aynı zamanda kararlarından doğan memnuniyetlerini artırmak için tercihlerine yeterli sebep bulmaya yönelmiştir (Yan vd.,</w:t>
      </w:r>
      <w:r>
        <w:rPr>
          <w:spacing w:val="-1"/>
        </w:rPr>
        <w:t> </w:t>
      </w:r>
      <w:r>
        <w:rPr/>
        <w:t>2016).</w:t>
      </w:r>
    </w:p>
    <w:p>
      <w:pPr>
        <w:pStyle w:val="BodyText"/>
        <w:spacing w:line="360" w:lineRule="auto" w:before="2"/>
        <w:ind w:right="311" w:firstLine="708"/>
      </w:pPr>
      <w:r>
        <w:rPr/>
        <w:t>Tüketiciler genellikle büyük bir değerlendirme kümesi tercih etmemektedir. Aksi durumda, değerlendirme kümesine çok fazla ürün dahil edilmesi tüketicilerin bilişsel olarak aşırı yüklenmelerine neden olacaktır (Jacoby vd., 1974; Malhotra, 1982; Huffman ve Kahn, 1998). Çok fazla seçenek, tüketicilerin kafasını karıştırabilmekte ve tüketici tercihlerini azaltabilmekte, böylece seçme olasılığını düşürebilmekte ve hatta nihai satın alımdan vazgeçirebilmektedir (Chernev, 2003a; 2003b). Üstelik, birçok alternatif arasından seçim</w:t>
      </w:r>
    </w:p>
    <w:p>
      <w:pPr>
        <w:spacing w:after="0" w:line="360" w:lineRule="auto"/>
        <w:sectPr>
          <w:pgSz w:w="12240" w:h="15840"/>
          <w:pgMar w:header="718" w:footer="0" w:top="1300" w:bottom="280" w:left="1720" w:right="820"/>
        </w:sectPr>
      </w:pPr>
    </w:p>
    <w:p>
      <w:pPr>
        <w:pStyle w:val="BodyText"/>
        <w:spacing w:line="360" w:lineRule="auto" w:before="100"/>
        <w:ind w:right="313"/>
      </w:pPr>
      <w:r>
        <w:rPr/>
        <w:t>kararı vermeyle karşı karşıya kalmış olan tüketiciler pişmanlık duyabilmekte ve tüketici memnuniyeti azalabilmektedir (Iyengar ve Lepper, 2000; Connolly ve Zeelenberg, 2002;</w:t>
      </w:r>
      <w:r>
        <w:rPr>
          <w:spacing w:val="-29"/>
        </w:rPr>
        <w:t> </w:t>
      </w:r>
      <w:r>
        <w:rPr/>
        <w:t>Su vd.,</w:t>
      </w:r>
      <w:r>
        <w:rPr>
          <w:spacing w:val="-7"/>
        </w:rPr>
        <w:t> </w:t>
      </w:r>
      <w:r>
        <w:rPr/>
        <w:t>2009).</w:t>
      </w:r>
      <w:r>
        <w:rPr>
          <w:spacing w:val="-6"/>
        </w:rPr>
        <w:t> </w:t>
      </w:r>
      <w:r>
        <w:rPr/>
        <w:t>Araştırmalar,</w:t>
      </w:r>
      <w:r>
        <w:rPr>
          <w:spacing w:val="-2"/>
        </w:rPr>
        <w:t> </w:t>
      </w:r>
      <w:r>
        <w:rPr/>
        <w:t>değerlendirme</w:t>
      </w:r>
      <w:r>
        <w:rPr>
          <w:spacing w:val="-7"/>
        </w:rPr>
        <w:t> </w:t>
      </w:r>
      <w:r>
        <w:rPr/>
        <w:t>kümesi</w:t>
      </w:r>
      <w:r>
        <w:rPr>
          <w:spacing w:val="-6"/>
        </w:rPr>
        <w:t> </w:t>
      </w:r>
      <w:r>
        <w:rPr/>
        <w:t>10</w:t>
      </w:r>
      <w:r>
        <w:rPr>
          <w:spacing w:val="-4"/>
        </w:rPr>
        <w:t> </w:t>
      </w:r>
      <w:r>
        <w:rPr/>
        <w:t>ve</w:t>
      </w:r>
      <w:r>
        <w:rPr>
          <w:spacing w:val="-8"/>
        </w:rPr>
        <w:t> </w:t>
      </w:r>
      <w:r>
        <w:rPr/>
        <w:t>daha</w:t>
      </w:r>
      <w:r>
        <w:rPr>
          <w:spacing w:val="-7"/>
        </w:rPr>
        <w:t> </w:t>
      </w:r>
      <w:r>
        <w:rPr/>
        <w:t>fazla</w:t>
      </w:r>
      <w:r>
        <w:rPr>
          <w:spacing w:val="-5"/>
        </w:rPr>
        <w:t> </w:t>
      </w:r>
      <w:r>
        <w:rPr/>
        <w:t>alternatif</w:t>
      </w:r>
      <w:r>
        <w:rPr>
          <w:spacing w:val="-7"/>
        </w:rPr>
        <w:t> </w:t>
      </w:r>
      <w:r>
        <w:rPr/>
        <w:t>içerdiğinde</w:t>
      </w:r>
      <w:r>
        <w:rPr>
          <w:spacing w:val="-7"/>
        </w:rPr>
        <w:t> </w:t>
      </w:r>
      <w:r>
        <w:rPr/>
        <w:t>seçim zorluğu yaşandığını (Malhotra, 1982) ve optimal değerlendirme kümesinin altı alternatiften oluşması gerektiğini göstermektedir (Hayes, 1962; Wright, 1975). Stanford Üniversitesi tarafından yayımlanan bir araştırmanın sonuçları bu durumu somut olarak göstermektedir. Araştırmada, bir markette iki stand kurulmuş ve birinde 24 çeşit diğerinde de 6 çeşit reçel müşterilere</w:t>
      </w:r>
      <w:r>
        <w:rPr>
          <w:spacing w:val="-11"/>
        </w:rPr>
        <w:t> </w:t>
      </w:r>
      <w:r>
        <w:rPr/>
        <w:t>tattırılmıştır.</w:t>
      </w:r>
      <w:r>
        <w:rPr>
          <w:spacing w:val="-10"/>
        </w:rPr>
        <w:t> </w:t>
      </w:r>
      <w:r>
        <w:rPr/>
        <w:t>24</w:t>
      </w:r>
      <w:r>
        <w:rPr>
          <w:spacing w:val="-10"/>
        </w:rPr>
        <w:t> </w:t>
      </w:r>
      <w:r>
        <w:rPr/>
        <w:t>çeşit</w:t>
      </w:r>
      <w:r>
        <w:rPr>
          <w:spacing w:val="-8"/>
        </w:rPr>
        <w:t> </w:t>
      </w:r>
      <w:r>
        <w:rPr/>
        <w:t>reçelin</w:t>
      </w:r>
      <w:r>
        <w:rPr>
          <w:spacing w:val="-10"/>
        </w:rPr>
        <w:t> </w:t>
      </w:r>
      <w:r>
        <w:rPr/>
        <w:t>tattırıldığı</w:t>
      </w:r>
      <w:r>
        <w:rPr>
          <w:spacing w:val="-12"/>
        </w:rPr>
        <w:t> </w:t>
      </w:r>
      <w:r>
        <w:rPr/>
        <w:t>standa</w:t>
      </w:r>
      <w:r>
        <w:rPr>
          <w:spacing w:val="-10"/>
        </w:rPr>
        <w:t> </w:t>
      </w:r>
      <w:r>
        <w:rPr/>
        <w:t>daha</w:t>
      </w:r>
      <w:r>
        <w:rPr>
          <w:spacing w:val="-8"/>
        </w:rPr>
        <w:t> </w:t>
      </w:r>
      <w:r>
        <w:rPr/>
        <w:t>fazla</w:t>
      </w:r>
      <w:r>
        <w:rPr>
          <w:spacing w:val="-11"/>
        </w:rPr>
        <w:t> </w:t>
      </w:r>
      <w:r>
        <w:rPr/>
        <w:t>insan</w:t>
      </w:r>
      <w:r>
        <w:rPr>
          <w:spacing w:val="-10"/>
        </w:rPr>
        <w:t> </w:t>
      </w:r>
      <w:r>
        <w:rPr/>
        <w:t>(tadım</w:t>
      </w:r>
      <w:r>
        <w:rPr>
          <w:spacing w:val="-8"/>
        </w:rPr>
        <w:t> </w:t>
      </w:r>
      <w:r>
        <w:rPr/>
        <w:t>yapanların</w:t>
      </w:r>
    </w:p>
    <w:p>
      <w:pPr>
        <w:pStyle w:val="BodyText"/>
        <w:spacing w:line="360" w:lineRule="auto" w:before="1"/>
        <w:ind w:right="311"/>
      </w:pPr>
      <w:r>
        <w:rPr/>
        <w:t>%60’ı) yönelmiştir. Ancak, 24 çeşit reçelin bulunduğu standa gidenlerin sadece %3’ü reçel almıştır.</w:t>
      </w:r>
      <w:r>
        <w:rPr>
          <w:spacing w:val="-5"/>
        </w:rPr>
        <w:t> </w:t>
      </w:r>
      <w:r>
        <w:rPr/>
        <w:t>Öte</w:t>
      </w:r>
      <w:r>
        <w:rPr>
          <w:spacing w:val="-5"/>
        </w:rPr>
        <w:t> </w:t>
      </w:r>
      <w:r>
        <w:rPr/>
        <w:t>yandan,</w:t>
      </w:r>
      <w:r>
        <w:rPr>
          <w:spacing w:val="-5"/>
        </w:rPr>
        <w:t> </w:t>
      </w:r>
      <w:r>
        <w:rPr/>
        <w:t>6</w:t>
      </w:r>
      <w:r>
        <w:rPr>
          <w:spacing w:val="-1"/>
        </w:rPr>
        <w:t> </w:t>
      </w:r>
      <w:r>
        <w:rPr/>
        <w:t>çeşit</w:t>
      </w:r>
      <w:r>
        <w:rPr>
          <w:spacing w:val="-4"/>
        </w:rPr>
        <w:t> </w:t>
      </w:r>
      <w:r>
        <w:rPr/>
        <w:t>reçel</w:t>
      </w:r>
      <w:r>
        <w:rPr>
          <w:spacing w:val="-3"/>
        </w:rPr>
        <w:t> </w:t>
      </w:r>
      <w:r>
        <w:rPr/>
        <w:t>olan</w:t>
      </w:r>
      <w:r>
        <w:rPr>
          <w:spacing w:val="-5"/>
        </w:rPr>
        <w:t> </w:t>
      </w:r>
      <w:r>
        <w:rPr/>
        <w:t>standa</w:t>
      </w:r>
      <w:r>
        <w:rPr>
          <w:spacing w:val="-3"/>
        </w:rPr>
        <w:t> </w:t>
      </w:r>
      <w:r>
        <w:rPr/>
        <w:t>gidenlerin</w:t>
      </w:r>
      <w:r>
        <w:rPr>
          <w:spacing w:val="-5"/>
        </w:rPr>
        <w:t> </w:t>
      </w:r>
      <w:r>
        <w:rPr/>
        <w:t>%30’u</w:t>
      </w:r>
      <w:r>
        <w:rPr>
          <w:spacing w:val="-2"/>
        </w:rPr>
        <w:t> </w:t>
      </w:r>
      <w:r>
        <w:rPr/>
        <w:t>reçel</w:t>
      </w:r>
      <w:r>
        <w:rPr>
          <w:spacing w:val="-4"/>
        </w:rPr>
        <w:t> </w:t>
      </w:r>
      <w:r>
        <w:rPr/>
        <w:t>almıştır</w:t>
      </w:r>
      <w:r>
        <w:rPr>
          <w:spacing w:val="-1"/>
        </w:rPr>
        <w:t> </w:t>
      </w:r>
      <w:r>
        <w:rPr/>
        <w:t>(Hogan,</w:t>
      </w:r>
      <w:r>
        <w:rPr>
          <w:spacing w:val="-5"/>
        </w:rPr>
        <w:t> </w:t>
      </w:r>
      <w:r>
        <w:rPr/>
        <w:t>2007: 72).</w:t>
      </w:r>
    </w:p>
    <w:p>
      <w:pPr>
        <w:pStyle w:val="BodyText"/>
        <w:spacing w:line="360" w:lineRule="auto"/>
        <w:ind w:right="310" w:firstLine="708"/>
      </w:pPr>
      <w:r>
        <w:rPr/>
        <w:t>Değerlendirme kümesindeki alternatifler fiyat, marka, kalite ve diğer niteliklerine göre incelenip birbirleriyle karşılaştırılır (Gupta vd., 2004). Ancak, alternatiflerin değerlendirilme</w:t>
      </w:r>
      <w:r>
        <w:rPr>
          <w:spacing w:val="-16"/>
        </w:rPr>
        <w:t> </w:t>
      </w:r>
      <w:r>
        <w:rPr/>
        <w:t>biçimi</w:t>
      </w:r>
      <w:r>
        <w:rPr>
          <w:spacing w:val="-14"/>
        </w:rPr>
        <w:t> </w:t>
      </w:r>
      <w:r>
        <w:rPr/>
        <w:t>tüketiciye</w:t>
      </w:r>
      <w:r>
        <w:rPr>
          <w:spacing w:val="-17"/>
        </w:rPr>
        <w:t> </w:t>
      </w:r>
      <w:r>
        <w:rPr/>
        <w:t>ve</w:t>
      </w:r>
      <w:r>
        <w:rPr>
          <w:spacing w:val="-17"/>
        </w:rPr>
        <w:t> </w:t>
      </w:r>
      <w:r>
        <w:rPr/>
        <w:t>mevcut</w:t>
      </w:r>
      <w:r>
        <w:rPr>
          <w:spacing w:val="-15"/>
        </w:rPr>
        <w:t> </w:t>
      </w:r>
      <w:r>
        <w:rPr/>
        <w:t>satın</w:t>
      </w:r>
      <w:r>
        <w:rPr>
          <w:spacing w:val="-16"/>
        </w:rPr>
        <w:t> </w:t>
      </w:r>
      <w:r>
        <w:rPr/>
        <w:t>alma</w:t>
      </w:r>
      <w:r>
        <w:rPr>
          <w:spacing w:val="-17"/>
        </w:rPr>
        <w:t> </w:t>
      </w:r>
      <w:r>
        <w:rPr/>
        <w:t>durumuna</w:t>
      </w:r>
      <w:r>
        <w:rPr>
          <w:spacing w:val="-17"/>
        </w:rPr>
        <w:t> </w:t>
      </w:r>
      <w:r>
        <w:rPr/>
        <w:t>göre</w:t>
      </w:r>
      <w:r>
        <w:rPr>
          <w:spacing w:val="-18"/>
        </w:rPr>
        <w:t> </w:t>
      </w:r>
      <w:r>
        <w:rPr/>
        <w:t>değişmektedir</w:t>
      </w:r>
      <w:r>
        <w:rPr>
          <w:spacing w:val="-16"/>
        </w:rPr>
        <w:t> </w:t>
      </w:r>
      <w:r>
        <w:rPr/>
        <w:t>(Kotler ve Armstrong, 2016: 185). Simonson ve Rosen (2014) tüketici satın alma kararlarının temel olarak üç kaynağa dayandığını belirtmektedir: önceki tercihler, deneyimler ve inançlar (</w:t>
      </w:r>
      <w:r>
        <w:rPr>
          <w:i/>
        </w:rPr>
        <w:t>prior</w:t>
      </w:r>
      <w:r>
        <w:rPr/>
        <w:t>, P); pazarlamacılar (</w:t>
      </w:r>
      <w:r>
        <w:rPr>
          <w:i/>
        </w:rPr>
        <w:t>marketers</w:t>
      </w:r>
      <w:r>
        <w:rPr/>
        <w:t>, M); diğer insanlar ve bilgi kaynakları (</w:t>
      </w:r>
      <w:r>
        <w:rPr>
          <w:i/>
        </w:rPr>
        <w:t>other</w:t>
      </w:r>
      <w:r>
        <w:rPr/>
        <w:t>, O). Tüketici ürünleri değerlendirirken bu üç kaynaktan bir tanesine daha fazla ağırlık vermektedir. Örneğin, yeni otomobil satın almayı planlayan bir tüketici Toyota Yaris, Volkswagen</w:t>
      </w:r>
      <w:r>
        <w:rPr>
          <w:spacing w:val="-10"/>
        </w:rPr>
        <w:t> </w:t>
      </w:r>
      <w:r>
        <w:rPr/>
        <w:t>Polo</w:t>
      </w:r>
      <w:r>
        <w:rPr>
          <w:spacing w:val="-9"/>
        </w:rPr>
        <w:t> </w:t>
      </w:r>
      <w:r>
        <w:rPr/>
        <w:t>ve</w:t>
      </w:r>
      <w:r>
        <w:rPr>
          <w:spacing w:val="-8"/>
        </w:rPr>
        <w:t> </w:t>
      </w:r>
      <w:r>
        <w:rPr/>
        <w:t>Ford</w:t>
      </w:r>
      <w:r>
        <w:rPr>
          <w:spacing w:val="-9"/>
        </w:rPr>
        <w:t> </w:t>
      </w:r>
      <w:r>
        <w:rPr/>
        <w:t>Fiesta’dan</w:t>
      </w:r>
      <w:r>
        <w:rPr>
          <w:spacing w:val="-10"/>
        </w:rPr>
        <w:t> </w:t>
      </w:r>
      <w:r>
        <w:rPr/>
        <w:t>birini</w:t>
      </w:r>
      <w:r>
        <w:rPr>
          <w:spacing w:val="-9"/>
        </w:rPr>
        <w:t> </w:t>
      </w:r>
      <w:r>
        <w:rPr/>
        <w:t>tercih</w:t>
      </w:r>
      <w:r>
        <w:rPr>
          <w:spacing w:val="-5"/>
        </w:rPr>
        <w:t> </w:t>
      </w:r>
      <w:r>
        <w:rPr/>
        <w:t>etmeye</w:t>
      </w:r>
      <w:r>
        <w:rPr>
          <w:spacing w:val="-7"/>
        </w:rPr>
        <w:t> </w:t>
      </w:r>
      <w:r>
        <w:rPr/>
        <w:t>çalışırken,</w:t>
      </w:r>
      <w:r>
        <w:rPr>
          <w:spacing w:val="-7"/>
        </w:rPr>
        <w:t> </w:t>
      </w:r>
      <w:r>
        <w:rPr/>
        <w:t>eski</w:t>
      </w:r>
      <w:r>
        <w:rPr>
          <w:spacing w:val="-9"/>
        </w:rPr>
        <w:t> </w:t>
      </w:r>
      <w:r>
        <w:rPr/>
        <w:t>otomobilinin</w:t>
      </w:r>
      <w:r>
        <w:rPr>
          <w:spacing w:val="-9"/>
        </w:rPr>
        <w:t> </w:t>
      </w:r>
      <w:r>
        <w:rPr/>
        <w:t>de</w:t>
      </w:r>
      <w:r>
        <w:rPr>
          <w:spacing w:val="-10"/>
        </w:rPr>
        <w:t> </w:t>
      </w:r>
      <w:r>
        <w:rPr/>
        <w:t>bir Mazda olmasından dolayı Japon otomobillerine karşı olumlu bir yargısı varsa, Yaris değerlendirme sıralamasında en üst sırada olacaktır. Bu durumda kişinin önceki tercihleri, deneyimleri ve inançları, </w:t>
      </w:r>
      <w:r>
        <w:rPr>
          <w:i/>
        </w:rPr>
        <w:t>P</w:t>
      </w:r>
      <w:r>
        <w:rPr/>
        <w:t>, diğer iki kaynaktan daha baskın olacaktır. Eğer tüketici, yakın zamanda Ford Fiesta’nın reklamını görmüş ve çok beğenmişse ya da alışveriş merkezini gezerken Ford’un tanıtım standını fark edip ziyaret etmiş ve cazip ödeme seçeneklerinin olduğu</w:t>
      </w:r>
      <w:r>
        <w:rPr>
          <w:spacing w:val="-17"/>
        </w:rPr>
        <w:t> </w:t>
      </w:r>
      <w:r>
        <w:rPr/>
        <w:t>kampanyadan</w:t>
      </w:r>
      <w:r>
        <w:rPr>
          <w:spacing w:val="-17"/>
        </w:rPr>
        <w:t> </w:t>
      </w:r>
      <w:r>
        <w:rPr/>
        <w:t>haberdar</w:t>
      </w:r>
      <w:r>
        <w:rPr>
          <w:spacing w:val="-18"/>
        </w:rPr>
        <w:t> </w:t>
      </w:r>
      <w:r>
        <w:rPr/>
        <w:t>olmuşsa,</w:t>
      </w:r>
      <w:r>
        <w:rPr>
          <w:spacing w:val="-15"/>
        </w:rPr>
        <w:t> </w:t>
      </w:r>
      <w:r>
        <w:rPr/>
        <w:t>Fiesta’nın</w:t>
      </w:r>
      <w:r>
        <w:rPr>
          <w:spacing w:val="-15"/>
        </w:rPr>
        <w:t> </w:t>
      </w:r>
      <w:r>
        <w:rPr/>
        <w:t>değerlendirme</w:t>
      </w:r>
      <w:r>
        <w:rPr>
          <w:spacing w:val="-18"/>
        </w:rPr>
        <w:t> </w:t>
      </w:r>
      <w:r>
        <w:rPr/>
        <w:t>sıralamasında</w:t>
      </w:r>
      <w:r>
        <w:rPr>
          <w:spacing w:val="-18"/>
        </w:rPr>
        <w:t> </w:t>
      </w:r>
      <w:r>
        <w:rPr/>
        <w:t>en</w:t>
      </w:r>
      <w:r>
        <w:rPr>
          <w:spacing w:val="-17"/>
        </w:rPr>
        <w:t> </w:t>
      </w:r>
      <w:r>
        <w:rPr/>
        <w:t>üst</w:t>
      </w:r>
      <w:r>
        <w:rPr>
          <w:spacing w:val="-16"/>
        </w:rPr>
        <w:t> </w:t>
      </w:r>
      <w:r>
        <w:rPr/>
        <w:t>sırada olması olasıdır. Bu durumda da firmanın, Ford’un, pazarlama çabası, </w:t>
      </w:r>
      <w:r>
        <w:rPr>
          <w:i/>
        </w:rPr>
        <w:t>M</w:t>
      </w:r>
      <w:r>
        <w:rPr/>
        <w:t>, diğer iki</w:t>
      </w:r>
      <w:r>
        <w:rPr>
          <w:spacing w:val="-35"/>
        </w:rPr>
        <w:t> </w:t>
      </w:r>
      <w:r>
        <w:rPr/>
        <w:t>kaynaktan daha baskın olacaktır. Son olarak, tüketici otomobilden anladığını düşündüğü tanıdıklarına ya da internette otomobil forumlarındaki diğer insanlara danışmış, otomobillerle ilgili bloglardaki inceleme yazılarını okumuş, Youtube’da otomobil inceleme videolarını izlemiş ve</w:t>
      </w:r>
      <w:r>
        <w:rPr>
          <w:spacing w:val="48"/>
        </w:rPr>
        <w:t> </w:t>
      </w:r>
      <w:r>
        <w:rPr/>
        <w:t>nihayetinde</w:t>
      </w:r>
      <w:r>
        <w:rPr>
          <w:spacing w:val="49"/>
        </w:rPr>
        <w:t> </w:t>
      </w:r>
      <w:r>
        <w:rPr/>
        <w:t>çoğunluğun</w:t>
      </w:r>
      <w:r>
        <w:rPr>
          <w:spacing w:val="49"/>
        </w:rPr>
        <w:t> </w:t>
      </w:r>
      <w:r>
        <w:rPr/>
        <w:t>Polo’yu</w:t>
      </w:r>
      <w:r>
        <w:rPr>
          <w:spacing w:val="49"/>
        </w:rPr>
        <w:t> </w:t>
      </w:r>
      <w:r>
        <w:rPr/>
        <w:t>ön</w:t>
      </w:r>
      <w:r>
        <w:rPr>
          <w:spacing w:val="49"/>
        </w:rPr>
        <w:t> </w:t>
      </w:r>
      <w:r>
        <w:rPr/>
        <w:t>plana</w:t>
      </w:r>
      <w:r>
        <w:rPr>
          <w:spacing w:val="48"/>
        </w:rPr>
        <w:t> </w:t>
      </w:r>
      <w:r>
        <w:rPr/>
        <w:t>çıkardığını</w:t>
      </w:r>
      <w:r>
        <w:rPr>
          <w:spacing w:val="49"/>
        </w:rPr>
        <w:t> </w:t>
      </w:r>
      <w:r>
        <w:rPr/>
        <w:t>görmüşse,</w:t>
      </w:r>
      <w:r>
        <w:rPr>
          <w:spacing w:val="50"/>
        </w:rPr>
        <w:t> </w:t>
      </w:r>
      <w:r>
        <w:rPr/>
        <w:t>Polo</w:t>
      </w:r>
      <w:r>
        <w:rPr>
          <w:spacing w:val="50"/>
        </w:rPr>
        <w:t> </w:t>
      </w:r>
      <w:r>
        <w:rPr/>
        <w:t>değerlendirme</w:t>
      </w:r>
    </w:p>
    <w:p>
      <w:pPr>
        <w:spacing w:after="0" w:line="360" w:lineRule="auto"/>
        <w:sectPr>
          <w:pgSz w:w="12240" w:h="15840"/>
          <w:pgMar w:header="718" w:footer="0" w:top="1300" w:bottom="280" w:left="1720" w:right="820"/>
        </w:sectPr>
      </w:pPr>
    </w:p>
    <w:p>
      <w:pPr>
        <w:pStyle w:val="BodyText"/>
        <w:spacing w:line="360" w:lineRule="auto" w:before="100"/>
        <w:ind w:right="320"/>
      </w:pPr>
      <w:r>
        <w:rPr/>
        <w:t>sıralamasında en üst sırada olacaktır. Bu durumda ise, tüketicinin diğer insanlardan ve bilgi kaynaklarından, </w:t>
      </w:r>
      <w:r>
        <w:rPr>
          <w:i/>
        </w:rPr>
        <w:t>O</w:t>
      </w:r>
      <w:r>
        <w:rPr/>
        <w:t>, edindiği bilgiler diğer iki kaynaktan daha baskın olacaktır.</w:t>
      </w:r>
    </w:p>
    <w:p>
      <w:pPr>
        <w:pStyle w:val="BodyText"/>
        <w:spacing w:line="360" w:lineRule="auto" w:before="1"/>
        <w:ind w:right="310" w:firstLine="708"/>
      </w:pPr>
      <w:r>
        <w:rPr>
          <w:i/>
        </w:rPr>
        <w:t>O</w:t>
      </w:r>
      <w:r>
        <w:rPr/>
        <w:t>, diğer insanlar ve bilgi kaynakları, </w:t>
      </w:r>
      <w:r>
        <w:rPr>
          <w:i/>
        </w:rPr>
        <w:t>P </w:t>
      </w:r>
      <w:r>
        <w:rPr/>
        <w:t>ve </w:t>
      </w:r>
      <w:r>
        <w:rPr>
          <w:i/>
        </w:rPr>
        <w:t>M</w:t>
      </w:r>
      <w:r>
        <w:rPr/>
        <w:t>’den daha fazla bilgi içermekte ve tüketiciler tarafından en faydalı kanal olarak görülmektedir. Bu durumun en önemli nedeni internetin ve sosyal medyanın, günümüz tüketicisine sunduğu bilgi edinme kolaylığıdır. Uzman</w:t>
      </w:r>
      <w:r>
        <w:rPr>
          <w:spacing w:val="-12"/>
        </w:rPr>
        <w:t> </w:t>
      </w:r>
      <w:r>
        <w:rPr/>
        <w:t>görüşleri,</w:t>
      </w:r>
      <w:r>
        <w:rPr>
          <w:spacing w:val="-12"/>
        </w:rPr>
        <w:t> </w:t>
      </w:r>
      <w:r>
        <w:rPr/>
        <w:t>diğer</w:t>
      </w:r>
      <w:r>
        <w:rPr>
          <w:spacing w:val="-12"/>
        </w:rPr>
        <w:t> </w:t>
      </w:r>
      <w:r>
        <w:rPr/>
        <w:t>tüketicilerin</w:t>
      </w:r>
      <w:r>
        <w:rPr>
          <w:spacing w:val="-12"/>
        </w:rPr>
        <w:t> </w:t>
      </w:r>
      <w:r>
        <w:rPr/>
        <w:t>yaptıkları</w:t>
      </w:r>
      <w:r>
        <w:rPr>
          <w:spacing w:val="-11"/>
        </w:rPr>
        <w:t> </w:t>
      </w:r>
      <w:r>
        <w:rPr/>
        <w:t>yorumlar,</w:t>
      </w:r>
      <w:r>
        <w:rPr>
          <w:spacing w:val="-13"/>
        </w:rPr>
        <w:t> </w:t>
      </w:r>
      <w:r>
        <w:rPr/>
        <w:t>fiyat</w:t>
      </w:r>
      <w:r>
        <w:rPr>
          <w:spacing w:val="-12"/>
        </w:rPr>
        <w:t> </w:t>
      </w:r>
      <w:r>
        <w:rPr/>
        <w:t>ve</w:t>
      </w:r>
      <w:r>
        <w:rPr>
          <w:spacing w:val="-12"/>
        </w:rPr>
        <w:t> </w:t>
      </w:r>
      <w:r>
        <w:rPr/>
        <w:t>özellik</w:t>
      </w:r>
      <w:r>
        <w:rPr>
          <w:spacing w:val="-12"/>
        </w:rPr>
        <w:t> </w:t>
      </w:r>
      <w:r>
        <w:rPr/>
        <w:t>karşılaştırma</w:t>
      </w:r>
      <w:r>
        <w:rPr>
          <w:spacing w:val="-12"/>
        </w:rPr>
        <w:t> </w:t>
      </w:r>
      <w:r>
        <w:rPr/>
        <w:t>siteleri gibi pek çok araç tüketiciye ürünleri değerlendirirken büyük kolaylıklar sağlamaktadır (Simonson ve Rosen, 2015: 119). Özellikle, ürün kullanıcılarının internette çeşitli platformlarda yaptıkları yorumlar ve incelemeler tüketiciler için oldukça kıymetlidir (Butler ve Peppard, 1998). Bu yorumlar sayesinde tüketiciler, ürün veya markaların kullanım kolaylığı, ömrü ve dayanıklılığı gibi ancak deneyimle öğrenilebilecek özelliklere dair fikir sahibi olabilmektedir (Hennig</w:t>
      </w:r>
      <w:r>
        <w:rPr>
          <w:rFonts w:ascii="DejaVu Serif Condensed" w:hAnsi="DejaVu Serif Condensed"/>
        </w:rPr>
        <w:t>‐</w:t>
      </w:r>
      <w:r>
        <w:rPr/>
        <w:t>Thurau vd., 2004). Ayrıca, ürünü veya hizmeti pek çok tüketicinin gözünden görmeyi sağlayan yorumlar, tüketicinin, değerlendirme kümesindeki ürün veya hizmetleri farklı boyutlarıyla kıyaslamasına imkân sağlayarak en rasyonel satın alma kararına ulaşmasına yardımcı olmaktadır (Simonson ve Rosen, 2015:</w:t>
      </w:r>
      <w:r>
        <w:rPr>
          <w:spacing w:val="-5"/>
        </w:rPr>
        <w:t> </w:t>
      </w:r>
      <w:r>
        <w:rPr/>
        <w:t>119).</w:t>
      </w:r>
    </w:p>
    <w:p>
      <w:pPr>
        <w:pStyle w:val="Heading1"/>
        <w:numPr>
          <w:ilvl w:val="2"/>
          <w:numId w:val="1"/>
        </w:numPr>
        <w:tabs>
          <w:tab w:pos="1857" w:val="left" w:leader="none"/>
        </w:tabs>
        <w:spacing w:line="240" w:lineRule="auto" w:before="161" w:after="0"/>
        <w:ind w:left="1856" w:right="0" w:hanging="601"/>
        <w:jc w:val="both"/>
      </w:pPr>
      <w:r>
        <w:rPr/>
        <w:t>Satın Alma</w:t>
      </w:r>
      <w:r>
        <w:rPr>
          <w:spacing w:val="-4"/>
        </w:rPr>
        <w:t> </w:t>
      </w:r>
      <w:r>
        <w:rPr/>
        <w:t>Kararı</w:t>
      </w:r>
    </w:p>
    <w:p>
      <w:pPr>
        <w:pStyle w:val="BodyText"/>
        <w:spacing w:line="360" w:lineRule="auto" w:before="139"/>
        <w:ind w:right="311" w:firstLine="708"/>
      </w:pPr>
      <w:r>
        <w:rPr/>
        <w:t>Alternatifleri değerlendiren tüketici, alternatifler arasından bir tanesini seçerek satın alma kararı verir. Seçim yaparken tüketicinin temel amacı en fazla faydayı sağlayacak, kendisi için en ideal alternatifi seçmektir </w:t>
      </w:r>
      <w:r>
        <w:rPr>
          <w:rFonts w:ascii="Carlito" w:hAnsi="Carlito"/>
          <w:sz w:val="22"/>
        </w:rPr>
        <w:t>(</w:t>
      </w:r>
      <w:r>
        <w:rPr/>
        <w:t>Ursic ve Helgeson, 1990). Satın alma kararı aşaması, satın alınacak ürünün hangisi olacağı kararının yanı sıra, ürünün nereden ve nasıl satın alınacağı kararını da içermektedir (Butler ve Peppard, 1998). Ürünün nereden satın alınacağı konusu hangi satıcıdan alınacağı ile ilgilidir. Geçmişte, satıcı tercihi sadece bulunduğu bölgeyle sınırlı olan tüketici için internet ile beraber artık böyle bir sınır bulunmamaktadır. Günümüz tüketicisi e-ticaret siteleri sayesinde dünyanın diğer ucundaki satıcılardan da rahatça ürün alabilmektedir.</w:t>
      </w:r>
    </w:p>
    <w:p>
      <w:pPr>
        <w:pStyle w:val="BodyText"/>
        <w:spacing w:line="360" w:lineRule="auto"/>
        <w:ind w:right="309" w:firstLine="708"/>
      </w:pPr>
      <w:r>
        <w:rPr/>
        <w:t>Ürünün nasıl satın alınacağı ise satın alma işleminin yapısı ile ilgilidir (Butler ve Peppard, 1998). Örneğin, tüketici bir restorana gidip yemek yiyebileceği gibi, restorandan paket servis siparişi verip evinde ya da işyerinde de yemeğini yiyebilir. Geçmişte, yemek siparişlerini telefondan arayarak veren tüketicinin günümüzde internet üzerinden sipariş verebilme imkânı da mevcuttur. 2001 yılında kurulan Yemeksepeti.com, ülkemizde yemek siparişi</w:t>
      </w:r>
      <w:r>
        <w:rPr>
          <w:spacing w:val="-14"/>
        </w:rPr>
        <w:t> </w:t>
      </w:r>
      <w:r>
        <w:rPr/>
        <w:t>denilince</w:t>
      </w:r>
      <w:r>
        <w:rPr>
          <w:spacing w:val="-15"/>
        </w:rPr>
        <w:t> </w:t>
      </w:r>
      <w:r>
        <w:rPr/>
        <w:t>akla</w:t>
      </w:r>
      <w:r>
        <w:rPr>
          <w:spacing w:val="-15"/>
        </w:rPr>
        <w:t> </w:t>
      </w:r>
      <w:r>
        <w:rPr/>
        <w:t>gelen</w:t>
      </w:r>
      <w:r>
        <w:rPr>
          <w:spacing w:val="-15"/>
        </w:rPr>
        <w:t> </w:t>
      </w:r>
      <w:r>
        <w:rPr/>
        <w:t>ilk</w:t>
      </w:r>
      <w:r>
        <w:rPr>
          <w:spacing w:val="-13"/>
        </w:rPr>
        <w:t> </w:t>
      </w:r>
      <w:r>
        <w:rPr/>
        <w:t>internet</w:t>
      </w:r>
      <w:r>
        <w:rPr>
          <w:spacing w:val="-14"/>
        </w:rPr>
        <w:t> </w:t>
      </w:r>
      <w:r>
        <w:rPr/>
        <w:t>sitesidir.</w:t>
      </w:r>
      <w:r>
        <w:rPr>
          <w:spacing w:val="-15"/>
        </w:rPr>
        <w:t> </w:t>
      </w:r>
      <w:r>
        <w:rPr/>
        <w:t>Öyle</w:t>
      </w:r>
      <w:r>
        <w:rPr>
          <w:spacing w:val="-14"/>
        </w:rPr>
        <w:t> </w:t>
      </w:r>
      <w:r>
        <w:rPr/>
        <w:t>ki,</w:t>
      </w:r>
      <w:r>
        <w:rPr>
          <w:spacing w:val="-14"/>
        </w:rPr>
        <w:t> </w:t>
      </w:r>
      <w:r>
        <w:rPr/>
        <w:t>kurulduğu</w:t>
      </w:r>
      <w:r>
        <w:rPr>
          <w:spacing w:val="-15"/>
        </w:rPr>
        <w:t> </w:t>
      </w:r>
      <w:r>
        <w:rPr/>
        <w:t>ilk</w:t>
      </w:r>
      <w:r>
        <w:rPr>
          <w:spacing w:val="-17"/>
        </w:rPr>
        <w:t> </w:t>
      </w:r>
      <w:r>
        <w:rPr/>
        <w:t>yıllarda</w:t>
      </w:r>
      <w:r>
        <w:rPr>
          <w:spacing w:val="-16"/>
        </w:rPr>
        <w:t> </w:t>
      </w:r>
      <w:r>
        <w:rPr/>
        <w:t>sadece</w:t>
      </w:r>
      <w:r>
        <w:rPr>
          <w:spacing w:val="-15"/>
        </w:rPr>
        <w:t> </w:t>
      </w:r>
      <w:r>
        <w:rPr/>
        <w:t>birkaç</w:t>
      </w:r>
    </w:p>
    <w:p>
      <w:pPr>
        <w:spacing w:after="0" w:line="360" w:lineRule="auto"/>
        <w:sectPr>
          <w:pgSz w:w="12240" w:h="15840"/>
          <w:pgMar w:header="718" w:footer="0" w:top="1300" w:bottom="280" w:left="1720" w:right="820"/>
        </w:sectPr>
      </w:pPr>
    </w:p>
    <w:p>
      <w:pPr>
        <w:pStyle w:val="BodyText"/>
        <w:spacing w:line="360" w:lineRule="auto" w:before="100"/>
        <w:ind w:right="311"/>
      </w:pPr>
      <w:r>
        <w:rPr/>
        <w:t>şehirde birkaç bin tüketiciye hizmet verirken, internet ve özellikle akıllı telefonların yaygınlaşmasıyla,</w:t>
      </w:r>
      <w:r>
        <w:rPr>
          <w:spacing w:val="-10"/>
        </w:rPr>
        <w:t> </w:t>
      </w:r>
      <w:r>
        <w:rPr/>
        <w:t>2019</w:t>
      </w:r>
      <w:r>
        <w:rPr>
          <w:spacing w:val="-9"/>
        </w:rPr>
        <w:t> </w:t>
      </w:r>
      <w:r>
        <w:rPr/>
        <w:t>yılı</w:t>
      </w:r>
      <w:r>
        <w:rPr>
          <w:spacing w:val="-9"/>
        </w:rPr>
        <w:t> </w:t>
      </w:r>
      <w:r>
        <w:rPr/>
        <w:t>itibariyle</w:t>
      </w:r>
      <w:r>
        <w:rPr>
          <w:spacing w:val="-10"/>
        </w:rPr>
        <w:t> </w:t>
      </w:r>
      <w:r>
        <w:rPr/>
        <w:t>14</w:t>
      </w:r>
      <w:r>
        <w:rPr>
          <w:spacing w:val="-9"/>
        </w:rPr>
        <w:t> </w:t>
      </w:r>
      <w:r>
        <w:rPr/>
        <w:t>milyon</w:t>
      </w:r>
      <w:r>
        <w:rPr>
          <w:spacing w:val="-12"/>
        </w:rPr>
        <w:t> </w:t>
      </w:r>
      <w:r>
        <w:rPr/>
        <w:t>tüketici</w:t>
      </w:r>
      <w:r>
        <w:rPr>
          <w:spacing w:val="-8"/>
        </w:rPr>
        <w:t> </w:t>
      </w:r>
      <w:r>
        <w:rPr/>
        <w:t>ve</w:t>
      </w:r>
      <w:r>
        <w:rPr>
          <w:spacing w:val="-10"/>
        </w:rPr>
        <w:t> </w:t>
      </w:r>
      <w:r>
        <w:rPr/>
        <w:t>36</w:t>
      </w:r>
      <w:r>
        <w:rPr>
          <w:spacing w:val="-10"/>
        </w:rPr>
        <w:t> </w:t>
      </w:r>
      <w:r>
        <w:rPr/>
        <w:t>bin</w:t>
      </w:r>
      <w:r>
        <w:rPr>
          <w:spacing w:val="-8"/>
        </w:rPr>
        <w:t> </w:t>
      </w:r>
      <w:r>
        <w:rPr/>
        <w:t>restorandan</w:t>
      </w:r>
      <w:r>
        <w:rPr>
          <w:spacing w:val="-9"/>
        </w:rPr>
        <w:t> </w:t>
      </w:r>
      <w:r>
        <w:rPr/>
        <w:t>oluşan</w:t>
      </w:r>
      <w:r>
        <w:rPr>
          <w:spacing w:val="-10"/>
        </w:rPr>
        <w:t> </w:t>
      </w:r>
      <w:r>
        <w:rPr/>
        <w:t>devasa bir platform haline gelmiştir. Yemeksepeti.com, restoranlara yapılan tüketici yorumları ve çeşitli kampanyalar ile restoran seçiminde ve çeşitli ödeme alternatifleri sunarak satın alma biçiminde tüketiciye fayda sağlamaktadır (Teknosafari.net, e.t.</w:t>
      </w:r>
      <w:r>
        <w:rPr>
          <w:spacing w:val="-4"/>
        </w:rPr>
        <w:t> </w:t>
      </w:r>
      <w:r>
        <w:rPr/>
        <w:t>05/03/2020).</w:t>
      </w:r>
    </w:p>
    <w:p>
      <w:pPr>
        <w:pStyle w:val="Heading1"/>
        <w:numPr>
          <w:ilvl w:val="2"/>
          <w:numId w:val="1"/>
        </w:numPr>
        <w:tabs>
          <w:tab w:pos="1857" w:val="left" w:leader="none"/>
        </w:tabs>
        <w:spacing w:line="240" w:lineRule="auto" w:before="160" w:after="0"/>
        <w:ind w:left="1856" w:right="0" w:hanging="601"/>
        <w:jc w:val="both"/>
      </w:pPr>
      <w:r>
        <w:rPr/>
        <w:t>Satın Alma Sonrası</w:t>
      </w:r>
      <w:r>
        <w:rPr>
          <w:spacing w:val="-5"/>
        </w:rPr>
        <w:t> </w:t>
      </w:r>
      <w:r>
        <w:rPr/>
        <w:t>Değerlendirme</w:t>
      </w:r>
    </w:p>
    <w:p>
      <w:pPr>
        <w:pStyle w:val="BodyText"/>
        <w:spacing w:line="360" w:lineRule="auto" w:before="137"/>
        <w:ind w:right="310" w:firstLine="708"/>
      </w:pPr>
      <w:r>
        <w:rPr/>
        <w:t>Satın</w:t>
      </w:r>
      <w:r>
        <w:rPr>
          <w:spacing w:val="-11"/>
        </w:rPr>
        <w:t> </w:t>
      </w:r>
      <w:r>
        <w:rPr/>
        <w:t>alma</w:t>
      </w:r>
      <w:r>
        <w:rPr>
          <w:spacing w:val="-12"/>
        </w:rPr>
        <w:t> </w:t>
      </w:r>
      <w:r>
        <w:rPr/>
        <w:t>eylemi</w:t>
      </w:r>
      <w:r>
        <w:rPr>
          <w:spacing w:val="-10"/>
        </w:rPr>
        <w:t> </w:t>
      </w:r>
      <w:r>
        <w:rPr/>
        <w:t>gerçekleştiğinde</w:t>
      </w:r>
      <w:r>
        <w:rPr>
          <w:spacing w:val="-12"/>
        </w:rPr>
        <w:t> </w:t>
      </w:r>
      <w:r>
        <w:rPr/>
        <w:t>satın</w:t>
      </w:r>
      <w:r>
        <w:rPr>
          <w:spacing w:val="-11"/>
        </w:rPr>
        <w:t> </w:t>
      </w:r>
      <w:r>
        <w:rPr/>
        <w:t>alma</w:t>
      </w:r>
      <w:r>
        <w:rPr>
          <w:spacing w:val="-11"/>
        </w:rPr>
        <w:t> </w:t>
      </w:r>
      <w:r>
        <w:rPr/>
        <w:t>süreci</w:t>
      </w:r>
      <w:r>
        <w:rPr>
          <w:spacing w:val="-11"/>
        </w:rPr>
        <w:t> </w:t>
      </w:r>
      <w:r>
        <w:rPr/>
        <w:t>bitmiş</w:t>
      </w:r>
      <w:r>
        <w:rPr>
          <w:spacing w:val="-10"/>
        </w:rPr>
        <w:t> </w:t>
      </w:r>
      <w:r>
        <w:rPr/>
        <w:t>olmaz.</w:t>
      </w:r>
      <w:r>
        <w:rPr>
          <w:spacing w:val="-11"/>
        </w:rPr>
        <w:t> </w:t>
      </w:r>
      <w:r>
        <w:rPr/>
        <w:t>Satın</w:t>
      </w:r>
      <w:r>
        <w:rPr>
          <w:spacing w:val="-11"/>
        </w:rPr>
        <w:t> </w:t>
      </w:r>
      <w:r>
        <w:rPr/>
        <w:t>alma</w:t>
      </w:r>
      <w:r>
        <w:rPr>
          <w:spacing w:val="-10"/>
        </w:rPr>
        <w:t> </w:t>
      </w:r>
      <w:r>
        <w:rPr/>
        <w:t>sonrası da satın alma sürecinin bir parçasıdır. Satın alınan ürün kullanılır ve tüketici verdiği kararı yeniden değerlendirir (Peter ve Olson, 2010: 164). Tüketicinin satın alma sonrası değerlendirmesi tüketici tatminini belirleyecektir. Tatmin olmuş tüketici gelecekte de satın alma eylemini tekrarlama potansiyeline sahip olduğundan dolayı pazarlama faaliyetlerinin odağı tüketici tatminine dönmüştür (Kardes vd., 2011:</w:t>
      </w:r>
      <w:r>
        <w:rPr>
          <w:spacing w:val="-3"/>
        </w:rPr>
        <w:t> </w:t>
      </w:r>
      <w:r>
        <w:rPr/>
        <w:t>209).</w:t>
      </w:r>
    </w:p>
    <w:p>
      <w:pPr>
        <w:pStyle w:val="BodyText"/>
        <w:spacing w:line="360" w:lineRule="auto" w:before="1"/>
        <w:ind w:right="309" w:firstLine="708"/>
      </w:pPr>
      <w:r>
        <w:rPr/>
        <w:t>Tatmin</w:t>
      </w:r>
      <w:r>
        <w:rPr>
          <w:spacing w:val="-12"/>
        </w:rPr>
        <w:t> </w:t>
      </w:r>
      <w:r>
        <w:rPr/>
        <w:t>olmuş</w:t>
      </w:r>
      <w:r>
        <w:rPr>
          <w:spacing w:val="-12"/>
        </w:rPr>
        <w:t> </w:t>
      </w:r>
      <w:r>
        <w:rPr/>
        <w:t>ya</w:t>
      </w:r>
      <w:r>
        <w:rPr>
          <w:spacing w:val="-13"/>
        </w:rPr>
        <w:t> </w:t>
      </w:r>
      <w:r>
        <w:rPr/>
        <w:t>da</w:t>
      </w:r>
      <w:r>
        <w:rPr>
          <w:spacing w:val="-13"/>
        </w:rPr>
        <w:t> </w:t>
      </w:r>
      <w:r>
        <w:rPr/>
        <w:t>olmamış</w:t>
      </w:r>
      <w:r>
        <w:rPr>
          <w:spacing w:val="-12"/>
        </w:rPr>
        <w:t> </w:t>
      </w:r>
      <w:r>
        <w:rPr/>
        <w:t>tüketici</w:t>
      </w:r>
      <w:r>
        <w:rPr>
          <w:spacing w:val="-12"/>
        </w:rPr>
        <w:t> </w:t>
      </w:r>
      <w:r>
        <w:rPr/>
        <w:t>yaşadığı</w:t>
      </w:r>
      <w:r>
        <w:rPr>
          <w:spacing w:val="-12"/>
        </w:rPr>
        <w:t> </w:t>
      </w:r>
      <w:r>
        <w:rPr/>
        <w:t>deneyimi</w:t>
      </w:r>
      <w:r>
        <w:rPr>
          <w:spacing w:val="-12"/>
        </w:rPr>
        <w:t> </w:t>
      </w:r>
      <w:r>
        <w:rPr/>
        <w:t>diğer</w:t>
      </w:r>
      <w:r>
        <w:rPr>
          <w:spacing w:val="-14"/>
        </w:rPr>
        <w:t> </w:t>
      </w:r>
      <w:r>
        <w:rPr/>
        <w:t>tüketicilerle</w:t>
      </w:r>
      <w:r>
        <w:rPr>
          <w:spacing w:val="-14"/>
        </w:rPr>
        <w:t> </w:t>
      </w:r>
      <w:r>
        <w:rPr/>
        <w:t>paylaşarak ürüne/markaya karşı tutumlarını etkileme potansiyeline sahiptir. Geçmişte sadece kendi sosyal çevresiyle deneyimini paylaşabilen tüketici, günümüzde internet ile birlikte deneyimini</w:t>
      </w:r>
      <w:r>
        <w:rPr>
          <w:spacing w:val="-16"/>
        </w:rPr>
        <w:t> </w:t>
      </w:r>
      <w:r>
        <w:rPr/>
        <w:t>dünya</w:t>
      </w:r>
      <w:r>
        <w:rPr>
          <w:spacing w:val="-17"/>
        </w:rPr>
        <w:t> </w:t>
      </w:r>
      <w:r>
        <w:rPr/>
        <w:t>çapında</w:t>
      </w:r>
      <w:r>
        <w:rPr>
          <w:spacing w:val="-17"/>
        </w:rPr>
        <w:t> </w:t>
      </w:r>
      <w:r>
        <w:rPr/>
        <w:t>paylaşabilmektedir</w:t>
      </w:r>
      <w:r>
        <w:rPr>
          <w:spacing w:val="-16"/>
        </w:rPr>
        <w:t> </w:t>
      </w:r>
      <w:r>
        <w:rPr/>
        <w:t>(Duan</w:t>
      </w:r>
      <w:r>
        <w:rPr>
          <w:spacing w:val="-17"/>
        </w:rPr>
        <w:t> </w:t>
      </w:r>
      <w:r>
        <w:rPr/>
        <w:t>vd.,</w:t>
      </w:r>
      <w:r>
        <w:rPr>
          <w:spacing w:val="-16"/>
        </w:rPr>
        <w:t> </w:t>
      </w:r>
      <w:r>
        <w:rPr/>
        <w:t>2008a).</w:t>
      </w:r>
      <w:r>
        <w:rPr>
          <w:spacing w:val="-17"/>
        </w:rPr>
        <w:t> </w:t>
      </w:r>
      <w:r>
        <w:rPr/>
        <w:t>Tüketici,</w:t>
      </w:r>
      <w:r>
        <w:rPr>
          <w:spacing w:val="-15"/>
        </w:rPr>
        <w:t> </w:t>
      </w:r>
      <w:r>
        <w:rPr/>
        <w:t>satın</w:t>
      </w:r>
      <w:r>
        <w:rPr>
          <w:spacing w:val="-17"/>
        </w:rPr>
        <w:t> </w:t>
      </w:r>
      <w:r>
        <w:rPr/>
        <w:t>alma</w:t>
      </w:r>
      <w:r>
        <w:rPr>
          <w:spacing w:val="-17"/>
        </w:rPr>
        <w:t> </w:t>
      </w:r>
      <w:r>
        <w:rPr/>
        <w:t>sonrası değerlendirme aşamasında online mecralarda yorum yaparak diğer tüketicilerin satın alma kararlarına yardımcı olmayı, olumsuz deneyim yaşadıysa şirkete karşı güç kullanmayı ya da diğer</w:t>
      </w:r>
      <w:r>
        <w:rPr>
          <w:spacing w:val="8"/>
        </w:rPr>
        <w:t> </w:t>
      </w:r>
      <w:r>
        <w:rPr/>
        <w:t>tüketicile</w:t>
      </w:r>
      <w:r>
        <w:rPr>
          <w:spacing w:val="-2"/>
        </w:rPr>
        <w:t>r</w:t>
      </w:r>
      <w:r>
        <w:rPr/>
        <w:t>in</w:t>
      </w:r>
      <w:r>
        <w:rPr>
          <w:spacing w:val="9"/>
        </w:rPr>
        <w:t> </w:t>
      </w:r>
      <w:r>
        <w:rPr/>
        <w:t>k</w:t>
      </w:r>
      <w:r>
        <w:rPr>
          <w:spacing w:val="-1"/>
        </w:rPr>
        <w:t>e</w:t>
      </w:r>
      <w:r>
        <w:rPr/>
        <w:t>ndi</w:t>
      </w:r>
      <w:r>
        <w:rPr>
          <w:spacing w:val="2"/>
        </w:rPr>
        <w:t>s</w:t>
      </w:r>
      <w:r>
        <w:rPr/>
        <w:t>ini</w:t>
      </w:r>
      <w:r>
        <w:rPr>
          <w:spacing w:val="10"/>
        </w:rPr>
        <w:t> </w:t>
      </w:r>
      <w:r>
        <w:rPr>
          <w:spacing w:val="-1"/>
        </w:rPr>
        <w:t>a</w:t>
      </w:r>
      <w:r>
        <w:rPr/>
        <w:t>kıllı</w:t>
      </w:r>
      <w:r>
        <w:rPr>
          <w:spacing w:val="10"/>
        </w:rPr>
        <w:t> </w:t>
      </w:r>
      <w:r>
        <w:rPr/>
        <w:t>bir</w:t>
      </w:r>
      <w:r>
        <w:rPr>
          <w:spacing w:val="9"/>
        </w:rPr>
        <w:t> </w:t>
      </w:r>
      <w:r>
        <w:rPr/>
        <w:t>tüketici</w:t>
      </w:r>
      <w:r>
        <w:rPr>
          <w:spacing w:val="9"/>
        </w:rPr>
        <w:t> </w:t>
      </w:r>
      <w:r>
        <w:rPr/>
        <w:t>gibi</w:t>
      </w:r>
      <w:r>
        <w:rPr>
          <w:spacing w:val="7"/>
        </w:rPr>
        <w:t> </w:t>
      </w:r>
      <w:r>
        <w:rPr/>
        <w:t>görm</w:t>
      </w:r>
      <w:r>
        <w:rPr>
          <w:spacing w:val="-2"/>
        </w:rPr>
        <w:t>e</w:t>
      </w:r>
      <w:r>
        <w:rPr>
          <w:spacing w:val="-1"/>
        </w:rPr>
        <w:t>sin</w:t>
      </w:r>
      <w:r>
        <w:rPr/>
        <w:t>i</w:t>
      </w:r>
      <w:r>
        <w:rPr>
          <w:spacing w:val="10"/>
        </w:rPr>
        <w:t> </w:t>
      </w:r>
      <w:r>
        <w:rPr>
          <w:spacing w:val="-1"/>
        </w:rPr>
        <w:t>a</w:t>
      </w:r>
      <w:r>
        <w:rPr/>
        <w:t>ma</w:t>
      </w:r>
      <w:r>
        <w:rPr>
          <w:spacing w:val="-2"/>
        </w:rPr>
        <w:t>ç</w:t>
      </w:r>
      <w:r>
        <w:rPr/>
        <w:t>lay</w:t>
      </w:r>
      <w:r>
        <w:rPr>
          <w:spacing w:val="-2"/>
        </w:rPr>
        <w:t>a</w:t>
      </w:r>
      <w:r>
        <w:rPr>
          <w:spacing w:val="4"/>
        </w:rPr>
        <w:t>b</w:t>
      </w:r>
      <w:r>
        <w:rPr/>
        <w:t>il</w:t>
      </w:r>
      <w:r>
        <w:rPr>
          <w:spacing w:val="2"/>
        </w:rPr>
        <w:t>m</w:t>
      </w:r>
      <w:r>
        <w:rPr>
          <w:spacing w:val="-1"/>
        </w:rPr>
        <w:t>e</w:t>
      </w:r>
      <w:r>
        <w:rPr/>
        <w:t>ktedir</w:t>
      </w:r>
      <w:r>
        <w:rPr>
          <w:spacing w:val="-2"/>
        </w:rPr>
        <w:t> </w:t>
      </w:r>
      <w:r>
        <w:rPr>
          <w:spacing w:val="-3"/>
        </w:rPr>
        <w:t>(H</w:t>
      </w:r>
      <w:r>
        <w:rPr>
          <w:spacing w:val="-4"/>
        </w:rPr>
        <w:t>e</w:t>
      </w:r>
      <w:r>
        <w:rPr>
          <w:spacing w:val="-3"/>
        </w:rPr>
        <w:t>nni</w:t>
      </w:r>
      <w:r>
        <w:rPr>
          <w:spacing w:val="-5"/>
        </w:rPr>
        <w:t>g</w:t>
      </w:r>
      <w:r>
        <w:rPr>
          <w:spacing w:val="-3"/>
          <w:w w:val="42"/>
        </w:rPr>
        <w:t>‐</w:t>
      </w:r>
      <w:r>
        <w:rPr>
          <w:w w:val="42"/>
        </w:rPr>
        <w:t> </w:t>
      </w:r>
      <w:r>
        <w:rPr/>
        <w:t>Thurau vd.,</w:t>
      </w:r>
      <w:r>
        <w:rPr>
          <w:spacing w:val="-1"/>
        </w:rPr>
        <w:t> </w:t>
      </w:r>
      <w:r>
        <w:rPr/>
        <w:t>2004).</w:t>
      </w:r>
    </w:p>
    <w:p>
      <w:pPr>
        <w:pStyle w:val="BodyText"/>
        <w:spacing w:line="360" w:lineRule="auto" w:before="1"/>
        <w:ind w:right="309" w:firstLine="708"/>
      </w:pPr>
      <w:r>
        <w:rPr/>
        <w:t>Tüketici, satın alma sonrası tavsiye aramak maksadıyla da elektronik ağızdan ağıza iletişim çabasına girebilmektedir. Bu tavsiye ürün kullanımı ile ilgili olabileceği gibi</w:t>
      </w:r>
      <w:r>
        <w:rPr>
          <w:spacing w:val="-38"/>
        </w:rPr>
        <w:t> </w:t>
      </w:r>
      <w:r>
        <w:rPr/>
        <w:t>üründe bir</w:t>
      </w:r>
      <w:r>
        <w:rPr>
          <w:spacing w:val="-5"/>
        </w:rPr>
        <w:t> </w:t>
      </w:r>
      <w:r>
        <w:rPr/>
        <w:t>arıza</w:t>
      </w:r>
      <w:r>
        <w:rPr>
          <w:spacing w:val="-6"/>
        </w:rPr>
        <w:t> </w:t>
      </w:r>
      <w:r>
        <w:rPr/>
        <w:t>varsa</w:t>
      </w:r>
      <w:r>
        <w:rPr>
          <w:spacing w:val="-6"/>
        </w:rPr>
        <w:t> </w:t>
      </w:r>
      <w:r>
        <w:rPr/>
        <w:t>bunun</w:t>
      </w:r>
      <w:r>
        <w:rPr>
          <w:spacing w:val="-4"/>
        </w:rPr>
        <w:t> </w:t>
      </w:r>
      <w:r>
        <w:rPr/>
        <w:t>giderilmesi</w:t>
      </w:r>
      <w:r>
        <w:rPr>
          <w:spacing w:val="-5"/>
        </w:rPr>
        <w:t> </w:t>
      </w:r>
      <w:r>
        <w:rPr/>
        <w:t>ile</w:t>
      </w:r>
      <w:r>
        <w:rPr>
          <w:spacing w:val="-6"/>
        </w:rPr>
        <w:t> </w:t>
      </w:r>
      <w:r>
        <w:rPr/>
        <w:t>ilgili</w:t>
      </w:r>
      <w:r>
        <w:rPr>
          <w:spacing w:val="-4"/>
        </w:rPr>
        <w:t> </w:t>
      </w:r>
      <w:r>
        <w:rPr/>
        <w:t>olabilmektedir.</w:t>
      </w:r>
      <w:r>
        <w:rPr>
          <w:spacing w:val="-5"/>
        </w:rPr>
        <w:t> </w:t>
      </w:r>
      <w:r>
        <w:rPr/>
        <w:t>Ayrıca,</w:t>
      </w:r>
      <w:r>
        <w:rPr>
          <w:spacing w:val="-5"/>
        </w:rPr>
        <w:t> </w:t>
      </w:r>
      <w:r>
        <w:rPr/>
        <w:t>ürünle</w:t>
      </w:r>
      <w:r>
        <w:rPr>
          <w:spacing w:val="-6"/>
        </w:rPr>
        <w:t> </w:t>
      </w:r>
      <w:r>
        <w:rPr/>
        <w:t>ilgili</w:t>
      </w:r>
      <w:r>
        <w:rPr>
          <w:spacing w:val="-4"/>
        </w:rPr>
        <w:t> </w:t>
      </w:r>
      <w:r>
        <w:rPr/>
        <w:t>sorun</w:t>
      </w:r>
      <w:r>
        <w:rPr>
          <w:spacing w:val="-5"/>
        </w:rPr>
        <w:t> </w:t>
      </w:r>
      <w:r>
        <w:rPr/>
        <w:t>yaşayan tüketici, şikayetini ya da problem çözme isteğini firmaya ulaştırabilmek için de çeşitli platformlara yorum yazabilmektedir (Hennig‐Thurau vd., 2004). Örneğin, akıllı </w:t>
      </w:r>
      <w:r>
        <w:rPr>
          <w:spacing w:val="-6"/>
        </w:rPr>
        <w:t>telefonuna </w:t>
      </w:r>
      <w:r>
        <w:rPr/>
        <w:t>indirdiği bir uygulama ilgili sorun yaşayan tüketici, uygulamayı indirdiği platformda (örn. Google Play Store) yorum yazıp, sorunu dile getirerek uygulama geliştiricilerine ulaşabilmektedir. Herhangi bir ürün, hizmet ya da firma ile sorun yaşayan tüketici sosyal medyada firma ya da markayı etiketleyerek sorununu dile</w:t>
      </w:r>
      <w:r>
        <w:rPr>
          <w:spacing w:val="-8"/>
        </w:rPr>
        <w:t> </w:t>
      </w:r>
      <w:r>
        <w:rPr/>
        <w:t>getirebilmektedir.</w:t>
      </w:r>
    </w:p>
    <w:p>
      <w:pPr>
        <w:spacing w:after="0" w:line="360" w:lineRule="auto"/>
        <w:sectPr>
          <w:pgSz w:w="12240" w:h="15840"/>
          <w:pgMar w:header="718" w:footer="0" w:top="1300" w:bottom="280" w:left="1720" w:right="820"/>
        </w:sectPr>
      </w:pPr>
    </w:p>
    <w:p>
      <w:pPr>
        <w:pStyle w:val="Heading1"/>
        <w:numPr>
          <w:ilvl w:val="1"/>
          <w:numId w:val="1"/>
        </w:numPr>
        <w:tabs>
          <w:tab w:pos="1677" w:val="left" w:leader="none"/>
        </w:tabs>
        <w:spacing w:line="240" w:lineRule="auto" w:before="100" w:after="0"/>
        <w:ind w:left="1676" w:right="0" w:hanging="421"/>
        <w:jc w:val="both"/>
      </w:pPr>
      <w:r>
        <w:rPr/>
        <w:t>Ağızdan Ağıza</w:t>
      </w:r>
      <w:r>
        <w:rPr>
          <w:spacing w:val="-1"/>
        </w:rPr>
        <w:t> </w:t>
      </w:r>
      <w:r>
        <w:rPr/>
        <w:t>İletişim</w:t>
      </w:r>
    </w:p>
    <w:p>
      <w:pPr>
        <w:pStyle w:val="BodyText"/>
        <w:spacing w:line="360" w:lineRule="auto" w:before="137"/>
        <w:ind w:right="311" w:firstLine="708"/>
      </w:pPr>
      <w:r>
        <w:rPr/>
        <w:t>Ağızdan ağıza iletişim, toplumsal yaşamın başlangıcından bu yana bilgi aktarımının en etkili kaynaklarından biri olarak kabul edilmektedir (Reynolds ve Beatty, 1999; Maxham ve</w:t>
      </w:r>
      <w:r>
        <w:rPr>
          <w:spacing w:val="-12"/>
        </w:rPr>
        <w:t> </w:t>
      </w:r>
      <w:r>
        <w:rPr/>
        <w:t>Netemeyer,</w:t>
      </w:r>
      <w:r>
        <w:rPr>
          <w:spacing w:val="-10"/>
        </w:rPr>
        <w:t> </w:t>
      </w:r>
      <w:r>
        <w:rPr/>
        <w:t>2002;</w:t>
      </w:r>
      <w:r>
        <w:rPr>
          <w:spacing w:val="-11"/>
        </w:rPr>
        <w:t> </w:t>
      </w:r>
      <w:r>
        <w:rPr/>
        <w:t>Godes</w:t>
      </w:r>
      <w:r>
        <w:rPr>
          <w:spacing w:val="-11"/>
        </w:rPr>
        <w:t> </w:t>
      </w:r>
      <w:r>
        <w:rPr/>
        <w:t>ve</w:t>
      </w:r>
      <w:r>
        <w:rPr>
          <w:spacing w:val="-11"/>
        </w:rPr>
        <w:t> </w:t>
      </w:r>
      <w:r>
        <w:rPr/>
        <w:t>Mayzlin,</w:t>
      </w:r>
      <w:r>
        <w:rPr>
          <w:spacing w:val="-11"/>
        </w:rPr>
        <w:t> </w:t>
      </w:r>
      <w:r>
        <w:rPr/>
        <w:t>2004).</w:t>
      </w:r>
      <w:r>
        <w:rPr>
          <w:spacing w:val="-9"/>
        </w:rPr>
        <w:t> </w:t>
      </w:r>
      <w:r>
        <w:rPr/>
        <w:t>Tüketicilerin</w:t>
      </w:r>
      <w:r>
        <w:rPr>
          <w:spacing w:val="-11"/>
        </w:rPr>
        <w:t> </w:t>
      </w:r>
      <w:r>
        <w:rPr/>
        <w:t>işletmeler,</w:t>
      </w:r>
      <w:r>
        <w:rPr>
          <w:spacing w:val="-12"/>
        </w:rPr>
        <w:t> </w:t>
      </w:r>
      <w:r>
        <w:rPr/>
        <w:t>ürünler</w:t>
      </w:r>
      <w:r>
        <w:rPr>
          <w:spacing w:val="-11"/>
        </w:rPr>
        <w:t> </w:t>
      </w:r>
      <w:r>
        <w:rPr/>
        <w:t>ve</w:t>
      </w:r>
      <w:r>
        <w:rPr>
          <w:spacing w:val="-12"/>
        </w:rPr>
        <w:t> </w:t>
      </w:r>
      <w:r>
        <w:rPr/>
        <w:t>hizmetler hakkındaki yorumlarını, fikirlerini, tutumlarını ve tepkilerini paylaşması ağızdan ağıza iletişim</w:t>
      </w:r>
      <w:r>
        <w:rPr>
          <w:spacing w:val="15"/>
        </w:rPr>
        <w:t> </w:t>
      </w:r>
      <w:r>
        <w:rPr/>
        <w:t>kapsamına</w:t>
      </w:r>
      <w:r>
        <w:rPr>
          <w:spacing w:val="13"/>
        </w:rPr>
        <w:t> </w:t>
      </w:r>
      <w:r>
        <w:rPr/>
        <w:t>girmektedir</w:t>
      </w:r>
      <w:r>
        <w:rPr>
          <w:spacing w:val="14"/>
        </w:rPr>
        <w:t> </w:t>
      </w:r>
      <w:r>
        <w:rPr/>
        <w:t>(Arndt,</w:t>
      </w:r>
      <w:r>
        <w:rPr>
          <w:spacing w:val="14"/>
        </w:rPr>
        <w:t> </w:t>
      </w:r>
      <w:r>
        <w:rPr/>
        <w:t>1967;</w:t>
      </w:r>
      <w:r>
        <w:rPr>
          <w:spacing w:val="15"/>
        </w:rPr>
        <w:t> </w:t>
      </w:r>
      <w:r>
        <w:rPr/>
        <w:t>Westbrook,</w:t>
      </w:r>
      <w:r>
        <w:rPr>
          <w:spacing w:val="14"/>
        </w:rPr>
        <w:t> </w:t>
      </w:r>
      <w:r>
        <w:rPr/>
        <w:t>1987;</w:t>
      </w:r>
      <w:r>
        <w:rPr>
          <w:spacing w:val="15"/>
        </w:rPr>
        <w:t> </w:t>
      </w:r>
      <w:r>
        <w:rPr/>
        <w:t>Bone,</w:t>
      </w:r>
      <w:r>
        <w:rPr>
          <w:spacing w:val="14"/>
        </w:rPr>
        <w:t> </w:t>
      </w:r>
      <w:r>
        <w:rPr/>
        <w:t>1992;</w:t>
      </w:r>
      <w:r>
        <w:rPr>
          <w:spacing w:val="16"/>
        </w:rPr>
        <w:t> </w:t>
      </w:r>
      <w:r>
        <w:rPr/>
        <w:t>Buttle,</w:t>
      </w:r>
      <w:r>
        <w:rPr>
          <w:spacing w:val="14"/>
        </w:rPr>
        <w:t> </w:t>
      </w:r>
      <w:r>
        <w:rPr/>
        <w:t>1998;</w:t>
      </w:r>
    </w:p>
    <w:p>
      <w:pPr>
        <w:pStyle w:val="BodyText"/>
        <w:spacing w:before="2"/>
      </w:pPr>
      <w:r>
        <w:rPr/>
        <w:t>Hu vd., 2006; Jansen vd., 2009).</w:t>
      </w:r>
    </w:p>
    <w:p>
      <w:pPr>
        <w:pStyle w:val="BodyText"/>
        <w:spacing w:line="360" w:lineRule="auto" w:before="137"/>
        <w:ind w:right="311" w:firstLine="708"/>
      </w:pPr>
      <w:r>
        <w:rPr/>
        <w:t>Ağızdan</w:t>
      </w:r>
      <w:r>
        <w:rPr>
          <w:spacing w:val="-6"/>
        </w:rPr>
        <w:t> </w:t>
      </w:r>
      <w:r>
        <w:rPr/>
        <w:t>ağıza</w:t>
      </w:r>
      <w:r>
        <w:rPr>
          <w:spacing w:val="-7"/>
        </w:rPr>
        <w:t> </w:t>
      </w:r>
      <w:r>
        <w:rPr/>
        <w:t>iletişim,</w:t>
      </w:r>
      <w:r>
        <w:rPr>
          <w:spacing w:val="-6"/>
        </w:rPr>
        <w:t> </w:t>
      </w:r>
      <w:r>
        <w:rPr/>
        <w:t>kaynağın</w:t>
      </w:r>
      <w:r>
        <w:rPr>
          <w:spacing w:val="-6"/>
        </w:rPr>
        <w:t> </w:t>
      </w:r>
      <w:r>
        <w:rPr/>
        <w:t>da</w:t>
      </w:r>
      <w:r>
        <w:rPr>
          <w:spacing w:val="-5"/>
        </w:rPr>
        <w:t> </w:t>
      </w:r>
      <w:r>
        <w:rPr/>
        <w:t>alıcı</w:t>
      </w:r>
      <w:r>
        <w:rPr>
          <w:spacing w:val="-6"/>
        </w:rPr>
        <w:t> </w:t>
      </w:r>
      <w:r>
        <w:rPr/>
        <w:t>gibi</w:t>
      </w:r>
      <w:r>
        <w:rPr>
          <w:spacing w:val="-6"/>
        </w:rPr>
        <w:t> </w:t>
      </w:r>
      <w:r>
        <w:rPr/>
        <w:t>bir</w:t>
      </w:r>
      <w:r>
        <w:rPr>
          <w:spacing w:val="-7"/>
        </w:rPr>
        <w:t> </w:t>
      </w:r>
      <w:r>
        <w:rPr/>
        <w:t>tüketici</w:t>
      </w:r>
      <w:r>
        <w:rPr>
          <w:spacing w:val="-5"/>
        </w:rPr>
        <w:t> </w:t>
      </w:r>
      <w:r>
        <w:rPr/>
        <w:t>olduğu,</w:t>
      </w:r>
      <w:r>
        <w:rPr>
          <w:spacing w:val="-6"/>
        </w:rPr>
        <w:t> </w:t>
      </w:r>
      <w:r>
        <w:rPr/>
        <w:t>tüketici-egemen</w:t>
      </w:r>
      <w:r>
        <w:rPr>
          <w:spacing w:val="-7"/>
        </w:rPr>
        <w:t> </w:t>
      </w:r>
      <w:r>
        <w:rPr/>
        <w:t>bir pazarlama</w:t>
      </w:r>
      <w:r>
        <w:rPr>
          <w:spacing w:val="-9"/>
        </w:rPr>
        <w:t> </w:t>
      </w:r>
      <w:r>
        <w:rPr/>
        <w:t>iletişim</w:t>
      </w:r>
      <w:r>
        <w:rPr>
          <w:spacing w:val="-7"/>
        </w:rPr>
        <w:t> </w:t>
      </w:r>
      <w:r>
        <w:rPr/>
        <w:t>kanalıdır</w:t>
      </w:r>
      <w:r>
        <w:rPr>
          <w:spacing w:val="-8"/>
        </w:rPr>
        <w:t> </w:t>
      </w:r>
      <w:r>
        <w:rPr/>
        <w:t>(Brown</w:t>
      </w:r>
      <w:r>
        <w:rPr>
          <w:spacing w:val="-8"/>
        </w:rPr>
        <w:t> </w:t>
      </w:r>
      <w:r>
        <w:rPr/>
        <w:t>vd.,</w:t>
      </w:r>
      <w:r>
        <w:rPr>
          <w:spacing w:val="-8"/>
        </w:rPr>
        <w:t> </w:t>
      </w:r>
      <w:r>
        <w:rPr/>
        <w:t>2007).</w:t>
      </w:r>
      <w:r>
        <w:rPr>
          <w:spacing w:val="-7"/>
        </w:rPr>
        <w:t> </w:t>
      </w:r>
      <w:r>
        <w:rPr/>
        <w:t>Ağızdan</w:t>
      </w:r>
      <w:r>
        <w:rPr>
          <w:spacing w:val="-8"/>
        </w:rPr>
        <w:t> </w:t>
      </w:r>
      <w:r>
        <w:rPr/>
        <w:t>ağıza</w:t>
      </w:r>
      <w:r>
        <w:rPr>
          <w:spacing w:val="-10"/>
        </w:rPr>
        <w:t> </w:t>
      </w:r>
      <w:r>
        <w:rPr/>
        <w:t>iletişimin,</w:t>
      </w:r>
      <w:r>
        <w:rPr>
          <w:spacing w:val="-7"/>
        </w:rPr>
        <w:t> </w:t>
      </w:r>
      <w:r>
        <w:rPr/>
        <w:t>geleneksel</w:t>
      </w:r>
      <w:r>
        <w:rPr>
          <w:spacing w:val="-8"/>
        </w:rPr>
        <w:t> </w:t>
      </w:r>
      <w:r>
        <w:rPr/>
        <w:t>iletişim sürecinde olduğu gibi, mesajı gönderen (kaynak), mesaj ve alıcı olmak üzere temel üç bileşeni bulunmaktadır. Geleneksel ağızdan ağıza iletişim sürecinin başlangıç noktası genellikle</w:t>
      </w:r>
      <w:r>
        <w:rPr>
          <w:spacing w:val="-10"/>
        </w:rPr>
        <w:t> </w:t>
      </w:r>
      <w:r>
        <w:rPr/>
        <w:t>alıcıdır.</w:t>
      </w:r>
      <w:r>
        <w:rPr>
          <w:spacing w:val="-9"/>
        </w:rPr>
        <w:t> </w:t>
      </w:r>
      <w:r>
        <w:rPr/>
        <w:t>Genellikle,</w:t>
      </w:r>
      <w:r>
        <w:rPr>
          <w:spacing w:val="-8"/>
        </w:rPr>
        <w:t> </w:t>
      </w:r>
      <w:r>
        <w:rPr/>
        <w:t>alıcı</w:t>
      </w:r>
      <w:r>
        <w:rPr>
          <w:spacing w:val="-8"/>
        </w:rPr>
        <w:t> </w:t>
      </w:r>
      <w:r>
        <w:rPr/>
        <w:t>satın</w:t>
      </w:r>
      <w:r>
        <w:rPr>
          <w:spacing w:val="-8"/>
        </w:rPr>
        <w:t> </w:t>
      </w:r>
      <w:r>
        <w:rPr/>
        <w:t>alma</w:t>
      </w:r>
      <w:r>
        <w:rPr>
          <w:spacing w:val="-10"/>
        </w:rPr>
        <w:t> </w:t>
      </w:r>
      <w:r>
        <w:rPr/>
        <w:t>sürecinde</w:t>
      </w:r>
      <w:r>
        <w:rPr>
          <w:spacing w:val="-8"/>
        </w:rPr>
        <w:t> </w:t>
      </w:r>
      <w:r>
        <w:rPr/>
        <w:t>bilgiye</w:t>
      </w:r>
      <w:r>
        <w:rPr>
          <w:spacing w:val="-9"/>
        </w:rPr>
        <w:t> </w:t>
      </w:r>
      <w:r>
        <w:rPr/>
        <w:t>ihtiyaç</w:t>
      </w:r>
      <w:r>
        <w:rPr>
          <w:spacing w:val="-6"/>
        </w:rPr>
        <w:t> </w:t>
      </w:r>
      <w:r>
        <w:rPr/>
        <w:t>duyduğunda</w:t>
      </w:r>
      <w:r>
        <w:rPr>
          <w:spacing w:val="-9"/>
        </w:rPr>
        <w:t> </w:t>
      </w:r>
      <w:r>
        <w:rPr/>
        <w:t>kaynağa soru sorarak iletişim sürecini başlatır (Bansal ve Voyer, 2000). Ancak, bu durum elektronik ağızdan</w:t>
      </w:r>
      <w:r>
        <w:rPr>
          <w:spacing w:val="-8"/>
        </w:rPr>
        <w:t> </w:t>
      </w:r>
      <w:r>
        <w:rPr/>
        <w:t>ağıza</w:t>
      </w:r>
      <w:r>
        <w:rPr>
          <w:spacing w:val="-10"/>
        </w:rPr>
        <w:t> </w:t>
      </w:r>
      <w:r>
        <w:rPr/>
        <w:t>iletişim</w:t>
      </w:r>
      <w:r>
        <w:rPr>
          <w:spacing w:val="-7"/>
        </w:rPr>
        <w:t> </w:t>
      </w:r>
      <w:r>
        <w:rPr/>
        <w:t>için</w:t>
      </w:r>
      <w:r>
        <w:rPr>
          <w:spacing w:val="-7"/>
        </w:rPr>
        <w:t> </w:t>
      </w:r>
      <w:r>
        <w:rPr/>
        <w:t>geçerli</w:t>
      </w:r>
      <w:r>
        <w:rPr>
          <w:spacing w:val="-8"/>
        </w:rPr>
        <w:t> </w:t>
      </w:r>
      <w:r>
        <w:rPr/>
        <w:t>değildir.</w:t>
      </w:r>
      <w:r>
        <w:rPr>
          <w:spacing w:val="-9"/>
        </w:rPr>
        <w:t> </w:t>
      </w:r>
      <w:r>
        <w:rPr/>
        <w:t>Elektronik</w:t>
      </w:r>
      <w:r>
        <w:rPr>
          <w:spacing w:val="-7"/>
        </w:rPr>
        <w:t> </w:t>
      </w:r>
      <w:r>
        <w:rPr/>
        <w:t>ağızdan</w:t>
      </w:r>
      <w:r>
        <w:rPr>
          <w:spacing w:val="-8"/>
        </w:rPr>
        <w:t> </w:t>
      </w:r>
      <w:r>
        <w:rPr/>
        <w:t>ağıza</w:t>
      </w:r>
      <w:r>
        <w:rPr>
          <w:spacing w:val="-10"/>
        </w:rPr>
        <w:t> </w:t>
      </w:r>
      <w:r>
        <w:rPr/>
        <w:t>iletişimde,</w:t>
      </w:r>
      <w:r>
        <w:rPr>
          <w:spacing w:val="-7"/>
        </w:rPr>
        <w:t> </w:t>
      </w:r>
      <w:r>
        <w:rPr/>
        <w:t>sıklıkla,</w:t>
      </w:r>
      <w:r>
        <w:rPr>
          <w:spacing w:val="-8"/>
        </w:rPr>
        <w:t> </w:t>
      </w:r>
      <w:r>
        <w:rPr/>
        <w:t>alıcı tarafından herhangi bir bilgi talebi olmadan kaynak mesajı bir platformda (blog, forum, sosyal medya gibi) yayınlar, daha sonra ilgili ürün, hizmet, marka ya da firmayla ilgili bilgi arayan alıcı(lar) bu mesajla</w:t>
      </w:r>
      <w:r>
        <w:rPr>
          <w:spacing w:val="1"/>
        </w:rPr>
        <w:t> </w:t>
      </w:r>
      <w:r>
        <w:rPr/>
        <w:t>karşılaşır.</w:t>
      </w:r>
    </w:p>
    <w:p>
      <w:pPr>
        <w:pStyle w:val="Heading1"/>
        <w:numPr>
          <w:ilvl w:val="2"/>
          <w:numId w:val="1"/>
        </w:numPr>
        <w:tabs>
          <w:tab w:pos="1857" w:val="left" w:leader="none"/>
        </w:tabs>
        <w:spacing w:line="240" w:lineRule="auto" w:before="162" w:after="0"/>
        <w:ind w:left="1856" w:right="0" w:hanging="601"/>
        <w:jc w:val="both"/>
      </w:pPr>
      <w:r>
        <w:rPr/>
        <w:t>Ağızdan Ağıza İletişim Teorisinin</w:t>
      </w:r>
      <w:r>
        <w:rPr>
          <w:spacing w:val="1"/>
        </w:rPr>
        <w:t> </w:t>
      </w:r>
      <w:r>
        <w:rPr/>
        <w:t>Evrimi</w:t>
      </w:r>
    </w:p>
    <w:p>
      <w:pPr>
        <w:pStyle w:val="BodyText"/>
        <w:spacing w:line="360" w:lineRule="auto" w:before="137"/>
        <w:ind w:right="309" w:firstLine="708"/>
      </w:pPr>
      <w:r>
        <w:rPr/>
        <w:t>Pazar</w:t>
      </w:r>
      <w:r>
        <w:rPr>
          <w:spacing w:val="-5"/>
        </w:rPr>
        <w:t> </w:t>
      </w:r>
      <w:r>
        <w:rPr/>
        <w:t>çevrelerinde</w:t>
      </w:r>
      <w:r>
        <w:rPr>
          <w:spacing w:val="-5"/>
        </w:rPr>
        <w:t> </w:t>
      </w:r>
      <w:r>
        <w:rPr/>
        <w:t>yaşanan</w:t>
      </w:r>
      <w:r>
        <w:rPr>
          <w:spacing w:val="-7"/>
        </w:rPr>
        <w:t> </w:t>
      </w:r>
      <w:r>
        <w:rPr/>
        <w:t>değişimler</w:t>
      </w:r>
      <w:r>
        <w:rPr>
          <w:spacing w:val="-7"/>
        </w:rPr>
        <w:t> </w:t>
      </w:r>
      <w:r>
        <w:rPr/>
        <w:t>pazarları</w:t>
      </w:r>
      <w:r>
        <w:rPr>
          <w:spacing w:val="-8"/>
        </w:rPr>
        <w:t> </w:t>
      </w:r>
      <w:r>
        <w:rPr/>
        <w:t>değiştirmekte,</w:t>
      </w:r>
      <w:r>
        <w:rPr>
          <w:spacing w:val="-7"/>
        </w:rPr>
        <w:t> </w:t>
      </w:r>
      <w:r>
        <w:rPr/>
        <w:t>pazarlar</w:t>
      </w:r>
      <w:r>
        <w:rPr>
          <w:spacing w:val="-7"/>
        </w:rPr>
        <w:t> </w:t>
      </w:r>
      <w:r>
        <w:rPr/>
        <w:t>değiştikçe</w:t>
      </w:r>
      <w:r>
        <w:rPr>
          <w:spacing w:val="-9"/>
        </w:rPr>
        <w:t> </w:t>
      </w:r>
      <w:r>
        <w:rPr/>
        <w:t>de pazarlama teorileri de yeni duruma uymak için evrilmektedir. Ağızdan ağıza iletişim uygulamalarında ve bu uygulamaları açıklamayı hedefleyen teorilerde de zaman içerisinde değişimler</w:t>
      </w:r>
      <w:r>
        <w:rPr>
          <w:spacing w:val="-6"/>
        </w:rPr>
        <w:t> </w:t>
      </w:r>
      <w:r>
        <w:rPr/>
        <w:t>meydana</w:t>
      </w:r>
      <w:r>
        <w:rPr>
          <w:spacing w:val="-3"/>
        </w:rPr>
        <w:t> </w:t>
      </w:r>
      <w:r>
        <w:rPr/>
        <w:t>gelmiştir.</w:t>
      </w:r>
      <w:r>
        <w:rPr>
          <w:spacing w:val="-4"/>
        </w:rPr>
        <w:t> </w:t>
      </w:r>
      <w:r>
        <w:rPr/>
        <w:t>Kozinets</w:t>
      </w:r>
      <w:r>
        <w:rPr>
          <w:spacing w:val="-4"/>
        </w:rPr>
        <w:t> </w:t>
      </w:r>
      <w:r>
        <w:rPr/>
        <w:t>vd.</w:t>
      </w:r>
      <w:r>
        <w:rPr>
          <w:spacing w:val="-4"/>
        </w:rPr>
        <w:t> </w:t>
      </w:r>
      <w:r>
        <w:rPr/>
        <w:t>(2010)</w:t>
      </w:r>
      <w:r>
        <w:rPr>
          <w:spacing w:val="-6"/>
        </w:rPr>
        <w:t> </w:t>
      </w:r>
      <w:r>
        <w:rPr/>
        <w:t>ağızdan</w:t>
      </w:r>
      <w:r>
        <w:rPr>
          <w:spacing w:val="-4"/>
        </w:rPr>
        <w:t> </w:t>
      </w:r>
      <w:r>
        <w:rPr/>
        <w:t>ağıza</w:t>
      </w:r>
      <w:r>
        <w:rPr>
          <w:spacing w:val="-5"/>
        </w:rPr>
        <w:t> </w:t>
      </w:r>
      <w:r>
        <w:rPr/>
        <w:t>iletişim</w:t>
      </w:r>
      <w:r>
        <w:rPr>
          <w:spacing w:val="-4"/>
        </w:rPr>
        <w:t> </w:t>
      </w:r>
      <w:r>
        <w:rPr/>
        <w:t>teorisi</w:t>
      </w:r>
      <w:r>
        <w:rPr>
          <w:spacing w:val="-3"/>
        </w:rPr>
        <w:t> </w:t>
      </w:r>
      <w:r>
        <w:rPr/>
        <w:t>evrimini</w:t>
      </w:r>
      <w:r>
        <w:rPr>
          <w:spacing w:val="-4"/>
        </w:rPr>
        <w:t> </w:t>
      </w:r>
      <w:r>
        <w:rPr/>
        <w:t>üç model ile açıklamaktadır. Takip eden alt başlıklarda açıklanan bu üç model tarihsel olarak birbirini takip etse de farklı koşullara uygun olarak günümüzde geçerliliklerini sürdürmektedir.</w:t>
      </w:r>
    </w:p>
    <w:p>
      <w:pPr>
        <w:pStyle w:val="Heading1"/>
        <w:numPr>
          <w:ilvl w:val="3"/>
          <w:numId w:val="1"/>
        </w:numPr>
        <w:tabs>
          <w:tab w:pos="2037" w:val="left" w:leader="none"/>
        </w:tabs>
        <w:spacing w:line="240" w:lineRule="auto" w:before="160" w:after="0"/>
        <w:ind w:left="2036" w:right="0" w:hanging="781"/>
        <w:jc w:val="both"/>
      </w:pPr>
      <w:r>
        <w:rPr/>
        <w:t>Tüketiciler Arası Organik Etki</w:t>
      </w:r>
      <w:r>
        <w:rPr>
          <w:spacing w:val="-2"/>
        </w:rPr>
        <w:t> </w:t>
      </w:r>
      <w:r>
        <w:rPr/>
        <w:t>Modeli</w:t>
      </w:r>
    </w:p>
    <w:p>
      <w:pPr>
        <w:pStyle w:val="BodyText"/>
        <w:spacing w:line="360" w:lineRule="auto" w:before="139"/>
        <w:ind w:right="311" w:firstLine="708"/>
      </w:pPr>
      <w:r>
        <w:rPr/>
        <w:t>Literatürde</w:t>
      </w:r>
      <w:r>
        <w:rPr>
          <w:spacing w:val="-12"/>
        </w:rPr>
        <w:t> </w:t>
      </w:r>
      <w:r>
        <w:rPr/>
        <w:t>yer</w:t>
      </w:r>
      <w:r>
        <w:rPr>
          <w:spacing w:val="-10"/>
        </w:rPr>
        <w:t> </w:t>
      </w:r>
      <w:r>
        <w:rPr/>
        <w:t>alan</w:t>
      </w:r>
      <w:r>
        <w:rPr>
          <w:spacing w:val="-9"/>
        </w:rPr>
        <w:t> </w:t>
      </w:r>
      <w:r>
        <w:rPr/>
        <w:t>erken</w:t>
      </w:r>
      <w:r>
        <w:rPr>
          <w:spacing w:val="-10"/>
        </w:rPr>
        <w:t> </w:t>
      </w:r>
      <w:r>
        <w:rPr/>
        <w:t>dönem</w:t>
      </w:r>
      <w:r>
        <w:rPr>
          <w:spacing w:val="-10"/>
        </w:rPr>
        <w:t> </w:t>
      </w:r>
      <w:r>
        <w:rPr/>
        <w:t>çalışmalarda,</w:t>
      </w:r>
      <w:r>
        <w:rPr>
          <w:spacing w:val="-7"/>
        </w:rPr>
        <w:t> </w:t>
      </w:r>
      <w:r>
        <w:rPr/>
        <w:t>ağızdan</w:t>
      </w:r>
      <w:r>
        <w:rPr>
          <w:spacing w:val="-11"/>
        </w:rPr>
        <w:t> </w:t>
      </w:r>
      <w:r>
        <w:rPr/>
        <w:t>ağıza</w:t>
      </w:r>
      <w:r>
        <w:rPr>
          <w:spacing w:val="-11"/>
        </w:rPr>
        <w:t> </w:t>
      </w:r>
      <w:r>
        <w:rPr/>
        <w:t>iletişim</w:t>
      </w:r>
      <w:r>
        <w:rPr>
          <w:spacing w:val="-10"/>
        </w:rPr>
        <w:t> </w:t>
      </w:r>
      <w:r>
        <w:rPr/>
        <w:t>kişiler</w:t>
      </w:r>
      <w:r>
        <w:rPr>
          <w:spacing w:val="-11"/>
        </w:rPr>
        <w:t> </w:t>
      </w:r>
      <w:r>
        <w:rPr/>
        <w:t>arasında firmaların etkisinden bağımsız bir süreç olarak ele alınmıştır (Arndt, 1967). Kozinets vd. (2010), ağızdan ağıza iletişime dair bu erken ve basit anlayışı tüketiciler arası organik etki modeli</w:t>
      </w:r>
      <w:r>
        <w:rPr>
          <w:spacing w:val="24"/>
        </w:rPr>
        <w:t> </w:t>
      </w:r>
      <w:r>
        <w:rPr/>
        <w:t>olarak</w:t>
      </w:r>
      <w:r>
        <w:rPr>
          <w:spacing w:val="27"/>
        </w:rPr>
        <w:t> </w:t>
      </w:r>
      <w:r>
        <w:rPr/>
        <w:t>adlandırmaktadır</w:t>
      </w:r>
      <w:r>
        <w:rPr>
          <w:spacing w:val="24"/>
        </w:rPr>
        <w:t> </w:t>
      </w:r>
      <w:r>
        <w:rPr/>
        <w:t>(bk.</w:t>
      </w:r>
      <w:r>
        <w:rPr>
          <w:spacing w:val="27"/>
        </w:rPr>
        <w:t> </w:t>
      </w:r>
      <w:r>
        <w:rPr/>
        <w:t>Şekil</w:t>
      </w:r>
      <w:r>
        <w:rPr>
          <w:spacing w:val="26"/>
        </w:rPr>
        <w:t> </w:t>
      </w:r>
      <w:r>
        <w:rPr/>
        <w:t>3).</w:t>
      </w:r>
      <w:r>
        <w:rPr>
          <w:spacing w:val="26"/>
        </w:rPr>
        <w:t> </w:t>
      </w:r>
      <w:r>
        <w:rPr/>
        <w:t>Organik</w:t>
      </w:r>
      <w:r>
        <w:rPr>
          <w:spacing w:val="25"/>
        </w:rPr>
        <w:t> </w:t>
      </w:r>
      <w:r>
        <w:rPr/>
        <w:t>olarak</w:t>
      </w:r>
      <w:r>
        <w:rPr>
          <w:spacing w:val="25"/>
        </w:rPr>
        <w:t> </w:t>
      </w:r>
      <w:r>
        <w:rPr/>
        <w:t>değerlendirilmesinin</w:t>
      </w:r>
      <w:r>
        <w:rPr>
          <w:spacing w:val="25"/>
        </w:rPr>
        <w:t> </w:t>
      </w:r>
      <w:r>
        <w:rPr/>
        <w:t>nedeni</w:t>
      </w:r>
    </w:p>
    <w:p>
      <w:pPr>
        <w:spacing w:after="0" w:line="360" w:lineRule="auto"/>
        <w:sectPr>
          <w:pgSz w:w="12240" w:h="15840"/>
          <w:pgMar w:header="718" w:footer="0" w:top="1300" w:bottom="280" w:left="1720" w:right="820"/>
        </w:sectPr>
      </w:pPr>
    </w:p>
    <w:p>
      <w:pPr>
        <w:pStyle w:val="BodyText"/>
        <w:spacing w:line="360" w:lineRule="auto" w:before="100"/>
        <w:ind w:right="311"/>
      </w:pPr>
      <w:r>
        <w:rPr/>
        <w:drawing>
          <wp:anchor distT="0" distB="0" distL="0" distR="0" allowOverlap="1" layoutInCell="1" locked="0" behindDoc="0" simplePos="0" relativeHeight="29">
            <wp:simplePos x="0" y="0"/>
            <wp:positionH relativeFrom="page">
              <wp:posOffset>1440180</wp:posOffset>
            </wp:positionH>
            <wp:positionV relativeFrom="paragraph">
              <wp:posOffset>1980096</wp:posOffset>
            </wp:positionV>
            <wp:extent cx="3649892" cy="1796796"/>
            <wp:effectExtent l="0" t="0" r="0" b="0"/>
            <wp:wrapTopAndBottom/>
            <wp:docPr id="9" name="image9.png"/>
            <wp:cNvGraphicFramePr>
              <a:graphicFrameLocks noChangeAspect="1"/>
            </wp:cNvGraphicFramePr>
            <a:graphic>
              <a:graphicData uri="http://schemas.openxmlformats.org/drawingml/2006/picture">
                <pic:pic>
                  <pic:nvPicPr>
                    <pic:cNvPr id="10" name="image9.png"/>
                    <pic:cNvPicPr/>
                  </pic:nvPicPr>
                  <pic:blipFill>
                    <a:blip r:embed="rId15" cstate="print"/>
                    <a:stretch>
                      <a:fillRect/>
                    </a:stretch>
                  </pic:blipFill>
                  <pic:spPr>
                    <a:xfrm>
                      <a:off x="0" y="0"/>
                      <a:ext cx="3649892" cy="1796796"/>
                    </a:xfrm>
                    <a:prstGeom prst="rect">
                      <a:avLst/>
                    </a:prstGeom>
                  </pic:spPr>
                </pic:pic>
              </a:graphicData>
            </a:graphic>
          </wp:anchor>
        </w:drawing>
      </w:r>
      <w:r>
        <w:rPr/>
        <w:t>iletişimin iki tüketici arasında, firmanın yönlendirmesi, etkilemesi veya ölçme çabası olmaksızın gerçekleşmesidir. Bu modele göre, ağızdan ağıza iletişim, pazarlamacıların işlerinin (ürün geliştirme, fiyat güncelleme, reklam, tutundurma faaliyetleri gibi) sonucunda doğal bir süreç içerisinde gerçekleşmektedir (Kozinets vd., 2010). Organik etki modelinde, iletişimin başlamasının arkasındaki güdü başkalarına yardım etme, kötü hizmet konusunda başkalarını uyarma ve/veya mevcut durum hakkında bilgi verme arzusudur (Hennig-Thurau vd., 2004; Van Doorn vd., 2010).</w:t>
      </w:r>
    </w:p>
    <w:p>
      <w:pPr>
        <w:pStyle w:val="BodyText"/>
        <w:spacing w:before="136"/>
        <w:ind w:right="4612"/>
        <w:jc w:val="left"/>
      </w:pPr>
      <w:r>
        <w:rPr>
          <w:b/>
        </w:rPr>
        <w:t>Şekil 3: </w:t>
      </w:r>
      <w:r>
        <w:rPr/>
        <w:t>Tüketiciler Arası Organik Etki Modeli Kaynak: Kozinets vd. (2010)</w:t>
      </w:r>
    </w:p>
    <w:p>
      <w:pPr>
        <w:pStyle w:val="BodyText"/>
        <w:spacing w:before="4"/>
        <w:ind w:left="0"/>
        <w:jc w:val="left"/>
        <w:rPr>
          <w:sz w:val="22"/>
        </w:rPr>
      </w:pPr>
    </w:p>
    <w:p>
      <w:pPr>
        <w:pStyle w:val="Heading1"/>
        <w:numPr>
          <w:ilvl w:val="3"/>
          <w:numId w:val="1"/>
        </w:numPr>
        <w:tabs>
          <w:tab w:pos="2037" w:val="left" w:leader="none"/>
        </w:tabs>
        <w:spacing w:line="240" w:lineRule="auto" w:before="0" w:after="0"/>
        <w:ind w:left="2036" w:right="0" w:hanging="781"/>
        <w:jc w:val="both"/>
      </w:pPr>
      <w:r>
        <w:rPr/>
        <w:t>Doğrusal Pazarlamacı Etkisi</w:t>
      </w:r>
      <w:r>
        <w:rPr>
          <w:spacing w:val="-2"/>
        </w:rPr>
        <w:t> </w:t>
      </w:r>
      <w:r>
        <w:rPr/>
        <w:t>Modeli</w:t>
      </w:r>
    </w:p>
    <w:p>
      <w:pPr>
        <w:pStyle w:val="BodyText"/>
        <w:spacing w:line="360" w:lineRule="auto" w:before="139"/>
        <w:ind w:right="308" w:firstLine="708"/>
      </w:pPr>
      <w:r>
        <w:rPr/>
        <w:t>Ağızdan</w:t>
      </w:r>
      <w:r>
        <w:rPr>
          <w:spacing w:val="-6"/>
        </w:rPr>
        <w:t> </w:t>
      </w:r>
      <w:r>
        <w:rPr/>
        <w:t>ağıza</w:t>
      </w:r>
      <w:r>
        <w:rPr>
          <w:spacing w:val="-7"/>
        </w:rPr>
        <w:t> </w:t>
      </w:r>
      <w:r>
        <w:rPr/>
        <w:t>iletişim</w:t>
      </w:r>
      <w:r>
        <w:rPr>
          <w:spacing w:val="-5"/>
        </w:rPr>
        <w:t> </w:t>
      </w:r>
      <w:r>
        <w:rPr/>
        <w:t>uygulamaları</w:t>
      </w:r>
      <w:r>
        <w:rPr>
          <w:spacing w:val="-5"/>
        </w:rPr>
        <w:t> </w:t>
      </w:r>
      <w:r>
        <w:rPr/>
        <w:t>ve</w:t>
      </w:r>
      <w:r>
        <w:rPr>
          <w:spacing w:val="-7"/>
        </w:rPr>
        <w:t> </w:t>
      </w:r>
      <w:r>
        <w:rPr/>
        <w:t>bilimsel</w:t>
      </w:r>
      <w:r>
        <w:rPr>
          <w:spacing w:val="-5"/>
        </w:rPr>
        <w:t> </w:t>
      </w:r>
      <w:r>
        <w:rPr/>
        <w:t>çalışmalar</w:t>
      </w:r>
      <w:r>
        <w:rPr>
          <w:spacing w:val="-7"/>
        </w:rPr>
        <w:t> </w:t>
      </w:r>
      <w:r>
        <w:rPr/>
        <w:t>ilerledikçe,</w:t>
      </w:r>
      <w:r>
        <w:rPr>
          <w:spacing w:val="-6"/>
        </w:rPr>
        <w:t> </w:t>
      </w:r>
      <w:r>
        <w:rPr/>
        <w:t>ağızdan</w:t>
      </w:r>
      <w:r>
        <w:rPr>
          <w:spacing w:val="-6"/>
        </w:rPr>
        <w:t> </w:t>
      </w:r>
      <w:r>
        <w:rPr/>
        <w:t>ağıza iletişim</w:t>
      </w:r>
      <w:r>
        <w:rPr>
          <w:spacing w:val="-12"/>
        </w:rPr>
        <w:t> </w:t>
      </w:r>
      <w:r>
        <w:rPr/>
        <w:t>teorileri</w:t>
      </w:r>
      <w:r>
        <w:rPr>
          <w:spacing w:val="-10"/>
        </w:rPr>
        <w:t> </w:t>
      </w:r>
      <w:r>
        <w:rPr/>
        <w:t>fikir</w:t>
      </w:r>
      <w:r>
        <w:rPr>
          <w:spacing w:val="-10"/>
        </w:rPr>
        <w:t> </w:t>
      </w:r>
      <w:r>
        <w:rPr/>
        <w:t>liderlerinin</w:t>
      </w:r>
      <w:r>
        <w:rPr>
          <w:spacing w:val="-10"/>
        </w:rPr>
        <w:t> </w:t>
      </w:r>
      <w:r>
        <w:rPr/>
        <w:t>süreçteki</w:t>
      </w:r>
      <w:r>
        <w:rPr>
          <w:spacing w:val="-10"/>
        </w:rPr>
        <w:t> </w:t>
      </w:r>
      <w:r>
        <w:rPr/>
        <w:t>önemine</w:t>
      </w:r>
      <w:r>
        <w:rPr>
          <w:spacing w:val="-12"/>
        </w:rPr>
        <w:t> </w:t>
      </w:r>
      <w:r>
        <w:rPr/>
        <w:t>vurgu</w:t>
      </w:r>
      <w:r>
        <w:rPr>
          <w:spacing w:val="-10"/>
        </w:rPr>
        <w:t> </w:t>
      </w:r>
      <w:r>
        <w:rPr/>
        <w:t>yapmaya</w:t>
      </w:r>
      <w:r>
        <w:rPr>
          <w:spacing w:val="-12"/>
        </w:rPr>
        <w:t> </w:t>
      </w:r>
      <w:r>
        <w:rPr/>
        <w:t>başlamışlardır</w:t>
      </w:r>
      <w:r>
        <w:rPr>
          <w:spacing w:val="-10"/>
        </w:rPr>
        <w:t> </w:t>
      </w:r>
      <w:r>
        <w:rPr/>
        <w:t>(Kozinets vd., 2010). Uzmanlığı ve bilgisiyle diğer tüketicilerin satın alma kararlarını etkileyebilen tüketiciler fikir lideri olarak tanımlanmaktadır (Dichter, 1966; Feick vd., 1986). Fikir liderleri, firmaların birlikte çalışabileceği, ürünü denemiş ve ürüne güvenen “arkadaşlar” olarak</w:t>
      </w:r>
      <w:r>
        <w:rPr>
          <w:spacing w:val="-14"/>
        </w:rPr>
        <w:t> </w:t>
      </w:r>
      <w:r>
        <w:rPr/>
        <w:t>değerlendirilmiş</w:t>
      </w:r>
      <w:r>
        <w:rPr>
          <w:spacing w:val="-13"/>
        </w:rPr>
        <w:t> </w:t>
      </w:r>
      <w:r>
        <w:rPr/>
        <w:t>(Dichter,</w:t>
      </w:r>
      <w:r>
        <w:rPr>
          <w:spacing w:val="-14"/>
        </w:rPr>
        <w:t> </w:t>
      </w:r>
      <w:r>
        <w:rPr/>
        <w:t>1966)</w:t>
      </w:r>
      <w:r>
        <w:rPr>
          <w:spacing w:val="-15"/>
        </w:rPr>
        <w:t> </w:t>
      </w:r>
      <w:r>
        <w:rPr/>
        <w:t>ve</w:t>
      </w:r>
      <w:r>
        <w:rPr>
          <w:spacing w:val="-14"/>
        </w:rPr>
        <w:t> </w:t>
      </w:r>
      <w:r>
        <w:rPr/>
        <w:t>dolayısıyla,</w:t>
      </w:r>
      <w:r>
        <w:rPr>
          <w:spacing w:val="-13"/>
        </w:rPr>
        <w:t> </w:t>
      </w:r>
      <w:r>
        <w:rPr/>
        <w:t>pazarlama</w:t>
      </w:r>
      <w:r>
        <w:rPr>
          <w:spacing w:val="-14"/>
        </w:rPr>
        <w:t> </w:t>
      </w:r>
      <w:r>
        <w:rPr/>
        <w:t>yöneticileri</w:t>
      </w:r>
      <w:r>
        <w:rPr>
          <w:spacing w:val="-15"/>
        </w:rPr>
        <w:t> </w:t>
      </w:r>
      <w:r>
        <w:rPr/>
        <w:t>potansiyel</w:t>
      </w:r>
      <w:r>
        <w:rPr>
          <w:spacing w:val="-13"/>
        </w:rPr>
        <w:t> </w:t>
      </w:r>
      <w:r>
        <w:rPr/>
        <w:t>fikir liderlerini belirlemeye ve etkilemeye önem vermişlerdir (Leonard-Barton, 1985). Reklam</w:t>
      </w:r>
      <w:r>
        <w:rPr>
          <w:spacing w:val="-42"/>
        </w:rPr>
        <w:t> </w:t>
      </w:r>
      <w:r>
        <w:rPr/>
        <w:t>ve diğer tutundurma faaliyetleri yoluyla firmaların tüketici ağızdan ağıza iletişim sürecini doğrudan</w:t>
      </w:r>
      <w:r>
        <w:rPr>
          <w:spacing w:val="-7"/>
        </w:rPr>
        <w:t> </w:t>
      </w:r>
      <w:r>
        <w:rPr/>
        <w:t>etkileme</w:t>
      </w:r>
      <w:r>
        <w:rPr>
          <w:spacing w:val="-8"/>
        </w:rPr>
        <w:t> </w:t>
      </w:r>
      <w:r>
        <w:rPr/>
        <w:t>çabaları</w:t>
      </w:r>
      <w:r>
        <w:rPr>
          <w:spacing w:val="-7"/>
        </w:rPr>
        <w:t> </w:t>
      </w:r>
      <w:r>
        <w:rPr/>
        <w:t>nedeniyle,</w:t>
      </w:r>
      <w:r>
        <w:rPr>
          <w:spacing w:val="-7"/>
        </w:rPr>
        <w:t> </w:t>
      </w:r>
      <w:r>
        <w:rPr/>
        <w:t>Kozinets</w:t>
      </w:r>
      <w:r>
        <w:rPr>
          <w:spacing w:val="-7"/>
        </w:rPr>
        <w:t> </w:t>
      </w:r>
      <w:r>
        <w:rPr/>
        <w:t>vd.</w:t>
      </w:r>
      <w:r>
        <w:rPr>
          <w:spacing w:val="-6"/>
        </w:rPr>
        <w:t> </w:t>
      </w:r>
      <w:r>
        <w:rPr/>
        <w:t>(2010)</w:t>
      </w:r>
      <w:r>
        <w:rPr>
          <w:spacing w:val="-8"/>
        </w:rPr>
        <w:t> </w:t>
      </w:r>
      <w:r>
        <w:rPr/>
        <w:t>bu</w:t>
      </w:r>
      <w:r>
        <w:rPr>
          <w:spacing w:val="-6"/>
        </w:rPr>
        <w:t> </w:t>
      </w:r>
      <w:r>
        <w:rPr/>
        <w:t>aşamayı</w:t>
      </w:r>
      <w:r>
        <w:rPr>
          <w:spacing w:val="-7"/>
        </w:rPr>
        <w:t> </w:t>
      </w:r>
      <w:r>
        <w:rPr/>
        <w:t>doğrusal</w:t>
      </w:r>
      <w:r>
        <w:rPr>
          <w:spacing w:val="-7"/>
        </w:rPr>
        <w:t> </w:t>
      </w:r>
      <w:r>
        <w:rPr/>
        <w:t>pazarlamacı etkisi modeli olarak adlandırmaktadır (bk. Şekil</w:t>
      </w:r>
      <w:r>
        <w:rPr>
          <w:spacing w:val="-2"/>
        </w:rPr>
        <w:t> </w:t>
      </w:r>
      <w:r>
        <w:rPr/>
        <w:t>4).</w:t>
      </w:r>
    </w:p>
    <w:p>
      <w:pPr>
        <w:pStyle w:val="BodyText"/>
        <w:spacing w:line="357" w:lineRule="auto" w:before="1"/>
        <w:ind w:right="308" w:firstLine="708"/>
      </w:pPr>
      <w:r>
        <w:rPr/>
        <w:t>İnternetteki fikir liderleri, popülerlikleri ve geniş kitlelere fikirlerini açıkça ulaştırabilmeleri nedeniyle yüksek inanılırlığa ve güvenilirliğe sahiptirler </w:t>
      </w:r>
      <w:r>
        <w:rPr>
          <w:rFonts w:ascii="Carlito" w:hAnsi="Carlito"/>
          <w:sz w:val="22"/>
        </w:rPr>
        <w:t>(</w:t>
      </w:r>
      <w:r>
        <w:rPr/>
        <w:t>Pauliene ve Sedneva, 2019). Firmalar internetteki fikir liderleri vasıtasıyla, geçmişe nazaran, daha geniş kitlelere</w:t>
      </w:r>
      <w:r>
        <w:rPr>
          <w:spacing w:val="-14"/>
        </w:rPr>
        <w:t> </w:t>
      </w:r>
      <w:r>
        <w:rPr/>
        <w:t>ulaşabilme</w:t>
      </w:r>
      <w:r>
        <w:rPr>
          <w:spacing w:val="-12"/>
        </w:rPr>
        <w:t> </w:t>
      </w:r>
      <w:r>
        <w:rPr/>
        <w:t>imkânına</w:t>
      </w:r>
      <w:r>
        <w:rPr>
          <w:spacing w:val="-12"/>
        </w:rPr>
        <w:t> </w:t>
      </w:r>
      <w:r>
        <w:rPr/>
        <w:t>sahip</w:t>
      </w:r>
      <w:r>
        <w:rPr>
          <w:spacing w:val="-12"/>
        </w:rPr>
        <w:t> </w:t>
      </w:r>
      <w:r>
        <w:rPr/>
        <w:t>olmuştur.</w:t>
      </w:r>
      <w:r>
        <w:rPr>
          <w:spacing w:val="-11"/>
        </w:rPr>
        <w:t> </w:t>
      </w:r>
      <w:r>
        <w:rPr/>
        <w:t>İnternet,</w:t>
      </w:r>
      <w:r>
        <w:rPr>
          <w:spacing w:val="-12"/>
        </w:rPr>
        <w:t> </w:t>
      </w:r>
      <w:r>
        <w:rPr/>
        <w:t>firmaların</w:t>
      </w:r>
      <w:r>
        <w:rPr>
          <w:spacing w:val="-12"/>
        </w:rPr>
        <w:t> </w:t>
      </w:r>
      <w:r>
        <w:rPr/>
        <w:t>forumlarda,</w:t>
      </w:r>
      <w:r>
        <w:rPr>
          <w:spacing w:val="-12"/>
        </w:rPr>
        <w:t> </w:t>
      </w:r>
      <w:r>
        <w:rPr/>
        <w:t>bloglarda</w:t>
      </w:r>
      <w:r>
        <w:rPr>
          <w:spacing w:val="-14"/>
        </w:rPr>
        <w:t> </w:t>
      </w:r>
      <w:r>
        <w:rPr/>
        <w:t>veya</w:t>
      </w:r>
    </w:p>
    <w:p>
      <w:pPr>
        <w:spacing w:after="0" w:line="357" w:lineRule="auto"/>
        <w:sectPr>
          <w:pgSz w:w="12240" w:h="15840"/>
          <w:pgMar w:header="718" w:footer="0" w:top="1300" w:bottom="280" w:left="1720" w:right="820"/>
        </w:sectPr>
      </w:pPr>
    </w:p>
    <w:p>
      <w:pPr>
        <w:pStyle w:val="BodyText"/>
        <w:spacing w:line="360" w:lineRule="auto" w:before="100"/>
        <w:ind w:right="312"/>
        <w:jc w:val="left"/>
      </w:pPr>
      <w:r>
        <w:rPr/>
        <w:t>sosyal medyada kendileri için en uygun fikir liderlerini, geçmişe nazaran, daha kolay tespit edebilmesine de olanak sağlamaktadır (Bao ve Chang, 2014a; Demiray ve Burnaz, 2019).</w:t>
      </w:r>
    </w:p>
    <w:p>
      <w:pPr>
        <w:pStyle w:val="BodyText"/>
        <w:spacing w:before="6"/>
        <w:ind w:left="0"/>
        <w:jc w:val="left"/>
        <w:rPr>
          <w:sz w:val="10"/>
        </w:rPr>
      </w:pPr>
      <w:r>
        <w:rPr/>
        <w:drawing>
          <wp:anchor distT="0" distB="0" distL="0" distR="0" allowOverlap="1" layoutInCell="1" locked="0" behindDoc="0" simplePos="0" relativeHeight="30">
            <wp:simplePos x="0" y="0"/>
            <wp:positionH relativeFrom="page">
              <wp:posOffset>1440180</wp:posOffset>
            </wp:positionH>
            <wp:positionV relativeFrom="paragraph">
              <wp:posOffset>102210</wp:posOffset>
            </wp:positionV>
            <wp:extent cx="3633988" cy="1957197"/>
            <wp:effectExtent l="0" t="0" r="0" b="0"/>
            <wp:wrapTopAndBottom/>
            <wp:docPr id="11" name="image10.png"/>
            <wp:cNvGraphicFramePr>
              <a:graphicFrameLocks noChangeAspect="1"/>
            </wp:cNvGraphicFramePr>
            <a:graphic>
              <a:graphicData uri="http://schemas.openxmlformats.org/drawingml/2006/picture">
                <pic:pic>
                  <pic:nvPicPr>
                    <pic:cNvPr id="12" name="image10.png"/>
                    <pic:cNvPicPr/>
                  </pic:nvPicPr>
                  <pic:blipFill>
                    <a:blip r:embed="rId16" cstate="print"/>
                    <a:stretch>
                      <a:fillRect/>
                    </a:stretch>
                  </pic:blipFill>
                  <pic:spPr>
                    <a:xfrm>
                      <a:off x="0" y="0"/>
                      <a:ext cx="3633988" cy="1957197"/>
                    </a:xfrm>
                    <a:prstGeom prst="rect">
                      <a:avLst/>
                    </a:prstGeom>
                  </pic:spPr>
                </pic:pic>
              </a:graphicData>
            </a:graphic>
          </wp:anchor>
        </w:drawing>
      </w:r>
    </w:p>
    <w:p>
      <w:pPr>
        <w:pStyle w:val="BodyText"/>
        <w:spacing w:before="108"/>
        <w:ind w:right="4819"/>
        <w:jc w:val="left"/>
      </w:pPr>
      <w:r>
        <w:rPr>
          <w:b/>
        </w:rPr>
        <w:t>Şekil 4: </w:t>
      </w:r>
      <w:r>
        <w:rPr/>
        <w:t>Doğrusal Pazarlamacı Etkisi Modeli Kaynak: Kozinets vd. (2010)</w:t>
      </w:r>
    </w:p>
    <w:p>
      <w:pPr>
        <w:pStyle w:val="BodyText"/>
        <w:spacing w:before="6"/>
        <w:ind w:left="0"/>
        <w:jc w:val="left"/>
        <w:rPr>
          <w:sz w:val="22"/>
        </w:rPr>
      </w:pPr>
    </w:p>
    <w:p>
      <w:pPr>
        <w:pStyle w:val="Heading1"/>
        <w:numPr>
          <w:ilvl w:val="3"/>
          <w:numId w:val="1"/>
        </w:numPr>
        <w:tabs>
          <w:tab w:pos="2037" w:val="left" w:leader="none"/>
        </w:tabs>
        <w:spacing w:line="240" w:lineRule="auto" w:before="1" w:after="0"/>
        <w:ind w:left="2036" w:right="0" w:hanging="781"/>
        <w:jc w:val="both"/>
      </w:pPr>
      <w:r>
        <w:rPr/>
        <w:t>Ağ Ortak Üretim</w:t>
      </w:r>
      <w:r>
        <w:rPr>
          <w:spacing w:val="-1"/>
        </w:rPr>
        <w:t> </w:t>
      </w:r>
      <w:r>
        <w:rPr/>
        <w:t>Modeli</w:t>
      </w:r>
    </w:p>
    <w:p>
      <w:pPr>
        <w:pStyle w:val="BodyText"/>
        <w:spacing w:line="360" w:lineRule="auto" w:before="136"/>
        <w:ind w:right="311" w:firstLine="708"/>
      </w:pPr>
      <w:r>
        <w:rPr/>
        <w:t>Ağızdan ağıza iletişim teorilerinin son aşaması internetin gelişimi ve benimsenmesi ile yakından ilgilidir. Web 2.0 olarak adlandırılan, katılımcı ve interaktif olarak insanların birbirleriyle etkileşime girmesine olanak sağlayan modern internet, tüketicilerin bir araya gelerek geniş ağlar ve topluluklar oluşturmasını ve bu topluluklarda ağızdan ağıza iletişim mesajları paylaşmalarını sağlamıştır (King vd., 2014; Sahelices-Pinto vd., 2018). Gün geçtikçe,</w:t>
      </w:r>
      <w:r>
        <w:rPr>
          <w:spacing w:val="-12"/>
        </w:rPr>
        <w:t> </w:t>
      </w:r>
      <w:r>
        <w:rPr/>
        <w:t>daha</w:t>
      </w:r>
      <w:r>
        <w:rPr>
          <w:spacing w:val="-13"/>
        </w:rPr>
        <w:t> </w:t>
      </w:r>
      <w:r>
        <w:rPr/>
        <w:t>fazla</w:t>
      </w:r>
      <w:r>
        <w:rPr>
          <w:spacing w:val="-12"/>
        </w:rPr>
        <w:t> </w:t>
      </w:r>
      <w:r>
        <w:rPr/>
        <w:t>tüketici</w:t>
      </w:r>
      <w:r>
        <w:rPr>
          <w:spacing w:val="-12"/>
        </w:rPr>
        <w:t> </w:t>
      </w:r>
      <w:r>
        <w:rPr/>
        <w:t>forumlar,</w:t>
      </w:r>
      <w:r>
        <w:rPr>
          <w:spacing w:val="-13"/>
        </w:rPr>
        <w:t> </w:t>
      </w:r>
      <w:r>
        <w:rPr/>
        <w:t>inceleme</w:t>
      </w:r>
      <w:r>
        <w:rPr>
          <w:spacing w:val="-12"/>
        </w:rPr>
        <w:t> </w:t>
      </w:r>
      <w:r>
        <w:rPr/>
        <w:t>siteleri,</w:t>
      </w:r>
      <w:r>
        <w:rPr>
          <w:spacing w:val="-12"/>
        </w:rPr>
        <w:t> </w:t>
      </w:r>
      <w:r>
        <w:rPr/>
        <w:t>bloglar</w:t>
      </w:r>
      <w:r>
        <w:rPr>
          <w:spacing w:val="-13"/>
        </w:rPr>
        <w:t> </w:t>
      </w:r>
      <w:r>
        <w:rPr/>
        <w:t>ve</w:t>
      </w:r>
      <w:r>
        <w:rPr>
          <w:spacing w:val="-13"/>
        </w:rPr>
        <w:t> </w:t>
      </w:r>
      <w:r>
        <w:rPr/>
        <w:t>sosyal</w:t>
      </w:r>
      <w:r>
        <w:rPr>
          <w:spacing w:val="-12"/>
        </w:rPr>
        <w:t> </w:t>
      </w:r>
      <w:r>
        <w:rPr/>
        <w:t>ağ</w:t>
      </w:r>
      <w:r>
        <w:rPr>
          <w:spacing w:val="-10"/>
        </w:rPr>
        <w:t> </w:t>
      </w:r>
      <w:r>
        <w:rPr/>
        <w:t>siteleri</w:t>
      </w:r>
      <w:r>
        <w:rPr>
          <w:spacing w:val="-12"/>
        </w:rPr>
        <w:t> </w:t>
      </w:r>
      <w:r>
        <w:rPr/>
        <w:t>gibi</w:t>
      </w:r>
      <w:r>
        <w:rPr>
          <w:spacing w:val="-10"/>
        </w:rPr>
        <w:t> </w:t>
      </w:r>
      <w:r>
        <w:rPr/>
        <w:t>Web</w:t>
      </w:r>
    </w:p>
    <w:p>
      <w:pPr>
        <w:pStyle w:val="BodyText"/>
        <w:spacing w:line="360" w:lineRule="auto" w:before="1"/>
        <w:ind w:right="308"/>
      </w:pPr>
      <w:r>
        <w:rPr/>
        <w:t>2.0 platformlarında ürünler, firmalar veya markalar hakkında fikirlerini paylaşmakta ve diğerlerinin fikirlerini okumaktadır (Cheung ve Thadani, 2012). Firmalar bu platformlarda gerçekleşen</w:t>
      </w:r>
      <w:r>
        <w:rPr>
          <w:spacing w:val="-10"/>
        </w:rPr>
        <w:t> </w:t>
      </w:r>
      <w:r>
        <w:rPr/>
        <w:t>fikir</w:t>
      </w:r>
      <w:r>
        <w:rPr>
          <w:spacing w:val="-10"/>
        </w:rPr>
        <w:t> </w:t>
      </w:r>
      <w:r>
        <w:rPr/>
        <w:t>alışverişini</w:t>
      </w:r>
      <w:r>
        <w:rPr>
          <w:spacing w:val="-9"/>
        </w:rPr>
        <w:t> </w:t>
      </w:r>
      <w:r>
        <w:rPr/>
        <w:t>viral</w:t>
      </w:r>
      <w:r>
        <w:rPr>
          <w:spacing w:val="-8"/>
        </w:rPr>
        <w:t> </w:t>
      </w:r>
      <w:r>
        <w:rPr/>
        <w:t>ve</w:t>
      </w:r>
      <w:r>
        <w:rPr>
          <w:spacing w:val="-11"/>
        </w:rPr>
        <w:t> </w:t>
      </w:r>
      <w:r>
        <w:rPr/>
        <w:t>bire</w:t>
      </w:r>
      <w:r>
        <w:rPr>
          <w:spacing w:val="-11"/>
        </w:rPr>
        <w:t> </w:t>
      </w:r>
      <w:r>
        <w:rPr/>
        <w:t>bir</w:t>
      </w:r>
      <w:r>
        <w:rPr>
          <w:spacing w:val="-10"/>
        </w:rPr>
        <w:t> </w:t>
      </w:r>
      <w:r>
        <w:rPr/>
        <w:t>iletişim</w:t>
      </w:r>
      <w:r>
        <w:rPr>
          <w:spacing w:val="-8"/>
        </w:rPr>
        <w:t> </w:t>
      </w:r>
      <w:r>
        <w:rPr/>
        <w:t>yoluyla</w:t>
      </w:r>
      <w:r>
        <w:rPr>
          <w:spacing w:val="-7"/>
        </w:rPr>
        <w:t> </w:t>
      </w:r>
      <w:r>
        <w:rPr/>
        <w:t>etkileyebilme</w:t>
      </w:r>
      <w:r>
        <w:rPr>
          <w:spacing w:val="-9"/>
        </w:rPr>
        <w:t> </w:t>
      </w:r>
      <w:r>
        <w:rPr/>
        <w:t>imkanına</w:t>
      </w:r>
      <w:r>
        <w:rPr>
          <w:spacing w:val="-11"/>
        </w:rPr>
        <w:t> </w:t>
      </w:r>
      <w:r>
        <w:rPr/>
        <w:t>sahiptir (Kozinets vd., 2010). Tüketicilerin sanal ağlarda ağızdan ağıza iletişimi ortak bir şekilde üretmeleri (Duan vd., 2008b) ve firmaların tüketicilere ulaşmak ve onların fikirlerini etkilemek için yeni imkanların ortaya çıkması (Duan vd., 2008a) ağ ortak üretim modelini (bk. Şekil 5) diğer iki modelden ayıran iki önemli özelliktir.</w:t>
      </w:r>
    </w:p>
    <w:p>
      <w:pPr>
        <w:pStyle w:val="BodyText"/>
        <w:spacing w:line="360" w:lineRule="auto"/>
        <w:ind w:right="312" w:firstLine="708"/>
      </w:pPr>
      <w:r>
        <w:rPr/>
        <w:t>Firmaların viral ya da bire bir pazarlama çabaları olsun ya da olmasın, tüketiciler internetteki sanal topluluklar ve ağlar üzerinden tüketim deneyimlerini ve tavsiyelerini birbirleriyle paylaşmaktadır (Gharib, 2019). Bu sanal ağlarda ve topluluklarda gerçekleşen elektronik ağızdan ağıza iletişim mesajları firmalar tarafından gözlemlenebilmekte,</w:t>
      </w:r>
    </w:p>
    <w:p>
      <w:pPr>
        <w:spacing w:after="0" w:line="360" w:lineRule="auto"/>
        <w:sectPr>
          <w:pgSz w:w="12240" w:h="15840"/>
          <w:pgMar w:header="718" w:footer="0" w:top="1300" w:bottom="280" w:left="1720" w:right="820"/>
        </w:sectPr>
      </w:pPr>
    </w:p>
    <w:p>
      <w:pPr>
        <w:pStyle w:val="BodyText"/>
        <w:spacing w:line="360" w:lineRule="auto" w:before="100"/>
        <w:jc w:val="left"/>
      </w:pPr>
      <w:r>
        <w:rPr/>
        <w:t>ölçülebilmekte ve kontrol edilebilmektedir. Dolayısıyla, firmalar için pazardaki değişimlere daha hızlı adapte olma imkânı sunmaktadır (Dellarocas, 2003).</w:t>
      </w:r>
    </w:p>
    <w:p>
      <w:pPr>
        <w:pStyle w:val="BodyText"/>
        <w:spacing w:before="6"/>
        <w:ind w:left="0"/>
        <w:jc w:val="left"/>
        <w:rPr>
          <w:sz w:val="10"/>
        </w:rPr>
      </w:pPr>
      <w:r>
        <w:rPr/>
        <w:drawing>
          <wp:anchor distT="0" distB="0" distL="0" distR="0" allowOverlap="1" layoutInCell="1" locked="0" behindDoc="0" simplePos="0" relativeHeight="31">
            <wp:simplePos x="0" y="0"/>
            <wp:positionH relativeFrom="page">
              <wp:posOffset>1440180</wp:posOffset>
            </wp:positionH>
            <wp:positionV relativeFrom="paragraph">
              <wp:posOffset>102210</wp:posOffset>
            </wp:positionV>
            <wp:extent cx="3631990" cy="1898523"/>
            <wp:effectExtent l="0" t="0" r="0" b="0"/>
            <wp:wrapTopAndBottom/>
            <wp:docPr id="13" name="image11.png"/>
            <wp:cNvGraphicFramePr>
              <a:graphicFrameLocks noChangeAspect="1"/>
            </wp:cNvGraphicFramePr>
            <a:graphic>
              <a:graphicData uri="http://schemas.openxmlformats.org/drawingml/2006/picture">
                <pic:pic>
                  <pic:nvPicPr>
                    <pic:cNvPr id="14" name="image11.png"/>
                    <pic:cNvPicPr/>
                  </pic:nvPicPr>
                  <pic:blipFill>
                    <a:blip r:embed="rId17" cstate="print"/>
                    <a:stretch>
                      <a:fillRect/>
                    </a:stretch>
                  </pic:blipFill>
                  <pic:spPr>
                    <a:xfrm>
                      <a:off x="0" y="0"/>
                      <a:ext cx="3631990" cy="1898523"/>
                    </a:xfrm>
                    <a:prstGeom prst="rect">
                      <a:avLst/>
                    </a:prstGeom>
                  </pic:spPr>
                </pic:pic>
              </a:graphicData>
            </a:graphic>
          </wp:anchor>
        </w:drawing>
      </w:r>
    </w:p>
    <w:p>
      <w:pPr>
        <w:pStyle w:val="BodyText"/>
        <w:spacing w:before="71"/>
        <w:ind w:right="5912"/>
        <w:jc w:val="left"/>
      </w:pPr>
      <w:r>
        <w:rPr>
          <w:b/>
        </w:rPr>
        <w:t>Şekil 5: </w:t>
      </w:r>
      <w:r>
        <w:rPr/>
        <w:t>Ağ Ortak Üretim Modeli Kaynak: Kozinets vd. (2010)</w:t>
      </w:r>
    </w:p>
    <w:p>
      <w:pPr>
        <w:pStyle w:val="BodyText"/>
        <w:spacing w:before="4"/>
        <w:ind w:left="0"/>
        <w:jc w:val="left"/>
        <w:rPr>
          <w:sz w:val="22"/>
        </w:rPr>
      </w:pPr>
    </w:p>
    <w:p>
      <w:pPr>
        <w:pStyle w:val="Heading1"/>
        <w:numPr>
          <w:ilvl w:val="2"/>
          <w:numId w:val="1"/>
        </w:numPr>
        <w:tabs>
          <w:tab w:pos="1857" w:val="left" w:leader="none"/>
        </w:tabs>
        <w:spacing w:line="240" w:lineRule="auto" w:before="0" w:after="0"/>
        <w:ind w:left="1856" w:right="0" w:hanging="601"/>
        <w:jc w:val="both"/>
      </w:pPr>
      <w:r>
        <w:rPr/>
        <w:t>Ağızdan Ağıza İletişime Katılım</w:t>
      </w:r>
      <w:r>
        <w:rPr>
          <w:spacing w:val="-1"/>
        </w:rPr>
        <w:t> </w:t>
      </w:r>
      <w:r>
        <w:rPr/>
        <w:t>Güdüleri</w:t>
      </w:r>
    </w:p>
    <w:p>
      <w:pPr>
        <w:pStyle w:val="BodyText"/>
        <w:spacing w:line="360" w:lineRule="auto" w:before="139"/>
        <w:ind w:right="314" w:firstLine="708"/>
      </w:pPr>
      <w:r>
        <w:rPr/>
        <w:t>Ağızdan ağıza iletişim paydaşlarından alıcı ve kaynak kendilerine has güdülerle sürece taraf olmaktadır. Alt başlıklarda, alıcı ve kaynağın sahip olduğu bu güdüler tartışılmaktadır.</w:t>
      </w:r>
    </w:p>
    <w:p>
      <w:pPr>
        <w:pStyle w:val="Heading1"/>
        <w:numPr>
          <w:ilvl w:val="3"/>
          <w:numId w:val="1"/>
        </w:numPr>
        <w:tabs>
          <w:tab w:pos="2037" w:val="left" w:leader="none"/>
        </w:tabs>
        <w:spacing w:line="240" w:lineRule="auto" w:before="119" w:after="0"/>
        <w:ind w:left="2036" w:right="0" w:hanging="781"/>
        <w:jc w:val="both"/>
      </w:pPr>
      <w:r>
        <w:rPr/>
        <w:t>Alıcının Güdüleri</w:t>
      </w:r>
    </w:p>
    <w:p>
      <w:pPr>
        <w:pStyle w:val="BodyText"/>
        <w:spacing w:line="360" w:lineRule="auto" w:before="140"/>
        <w:ind w:right="309" w:firstLine="708"/>
      </w:pPr>
      <w:r>
        <w:rPr/>
        <w:t>Öncelikli olarak, tüketiciyi diğer tüketicilerin görüşlerine başvurmaya iten temel sebep bilgi elde etmektir (Berger, 2014). Tüketiciler genellikle, ürün veya hizmet tercihlerinde kararsızlık yaşayabilmekte ve bu kararsızlığın üstesinden gelmek adına diğerlerinin fikirlerine ve tavsiyelerine başvurabilmektedir. Özellikle, ürün veya markaların kullanım kolaylığı, ömrü ve dayanıklılığı gibi ancak deneyimle öğrenilebilecek özelliklere dair fikir sahibi olabilmek için en önemli bilgi kaynağı diğer tüketicilerin görüşleridir (Hennig</w:t>
      </w:r>
      <w:r>
        <w:rPr>
          <w:rFonts w:ascii="DejaVu Serif Condensed" w:hAnsi="DejaVu Serif Condensed"/>
        </w:rPr>
        <w:t>‐</w:t>
      </w:r>
      <w:r>
        <w:rPr/>
        <w:t>Thurau vd., 2004). Aynı zamanda, ağızdan ağıza iletişim, reklamlardan daha inandırıcı</w:t>
      </w:r>
      <w:r>
        <w:rPr>
          <w:spacing w:val="-10"/>
        </w:rPr>
        <w:t> </w:t>
      </w:r>
      <w:r>
        <w:rPr/>
        <w:t>ve</w:t>
      </w:r>
      <w:r>
        <w:rPr>
          <w:spacing w:val="-10"/>
        </w:rPr>
        <w:t> </w:t>
      </w:r>
      <w:r>
        <w:rPr/>
        <w:t>güvenilir</w:t>
      </w:r>
      <w:r>
        <w:rPr>
          <w:spacing w:val="-9"/>
        </w:rPr>
        <w:t> </w:t>
      </w:r>
      <w:r>
        <w:rPr/>
        <w:t>bir</w:t>
      </w:r>
      <w:r>
        <w:rPr>
          <w:spacing w:val="-7"/>
        </w:rPr>
        <w:t> </w:t>
      </w:r>
      <w:r>
        <w:rPr/>
        <w:t>bilgi</w:t>
      </w:r>
      <w:r>
        <w:rPr>
          <w:spacing w:val="-8"/>
        </w:rPr>
        <w:t> </w:t>
      </w:r>
      <w:r>
        <w:rPr/>
        <w:t>kaynağı</w:t>
      </w:r>
      <w:r>
        <w:rPr>
          <w:spacing w:val="-8"/>
        </w:rPr>
        <w:t> </w:t>
      </w:r>
      <w:r>
        <w:rPr/>
        <w:t>olarak</w:t>
      </w:r>
      <w:r>
        <w:rPr>
          <w:spacing w:val="-9"/>
        </w:rPr>
        <w:t> </w:t>
      </w:r>
      <w:r>
        <w:rPr/>
        <w:t>kabul</w:t>
      </w:r>
      <w:r>
        <w:rPr>
          <w:spacing w:val="-9"/>
        </w:rPr>
        <w:t> </w:t>
      </w:r>
      <w:r>
        <w:rPr/>
        <w:t>edilmektedir</w:t>
      </w:r>
      <w:r>
        <w:rPr>
          <w:spacing w:val="-9"/>
        </w:rPr>
        <w:t> </w:t>
      </w:r>
      <w:r>
        <w:rPr/>
        <w:t>(Borgida</w:t>
      </w:r>
      <w:r>
        <w:rPr>
          <w:spacing w:val="-7"/>
        </w:rPr>
        <w:t> </w:t>
      </w:r>
      <w:r>
        <w:rPr/>
        <w:t>ve</w:t>
      </w:r>
      <w:r>
        <w:rPr>
          <w:spacing w:val="-10"/>
        </w:rPr>
        <w:t> </w:t>
      </w:r>
      <w:r>
        <w:rPr/>
        <w:t>Nisbett,</w:t>
      </w:r>
      <w:r>
        <w:rPr>
          <w:spacing w:val="-9"/>
        </w:rPr>
        <w:t> </w:t>
      </w:r>
      <w:r>
        <w:rPr/>
        <w:t>1977; Herr vd., 1991; Grewal vd., 2003; Hussain vd., 2019). Nielsen’in (2015) dünya genelinde yaptığı araştırmaya göre, tüketiciler tanıdıklarının görüşlerini ve tavsiyelerini ve</w:t>
      </w:r>
      <w:r>
        <w:rPr>
          <w:spacing w:val="-26"/>
        </w:rPr>
        <w:t> </w:t>
      </w:r>
      <w:r>
        <w:rPr/>
        <w:t>internetteki tüketici yorumlarını reklamlardan daha güvenilir</w:t>
      </w:r>
      <w:r>
        <w:rPr>
          <w:spacing w:val="-2"/>
        </w:rPr>
        <w:t> </w:t>
      </w:r>
      <w:r>
        <w:rPr/>
        <w:t>bulmaktadır.</w:t>
      </w:r>
    </w:p>
    <w:p>
      <w:pPr>
        <w:pStyle w:val="BodyText"/>
        <w:spacing w:line="360" w:lineRule="auto" w:before="3"/>
        <w:ind w:right="317" w:firstLine="708"/>
      </w:pPr>
      <w:r>
        <w:rPr/>
        <w:t>Alıcı bağlamında, diğer bir güdü de risk azaltmadır (Arndt, 1967). Her satın alma kararı</w:t>
      </w:r>
      <w:r>
        <w:rPr>
          <w:spacing w:val="-16"/>
        </w:rPr>
        <w:t> </w:t>
      </w:r>
      <w:r>
        <w:rPr/>
        <w:t>bir</w:t>
      </w:r>
      <w:r>
        <w:rPr>
          <w:spacing w:val="-16"/>
        </w:rPr>
        <w:t> </w:t>
      </w:r>
      <w:r>
        <w:rPr/>
        <w:t>miktar</w:t>
      </w:r>
      <w:r>
        <w:rPr>
          <w:spacing w:val="-14"/>
        </w:rPr>
        <w:t> </w:t>
      </w:r>
      <w:r>
        <w:rPr/>
        <w:t>risk</w:t>
      </w:r>
      <w:r>
        <w:rPr>
          <w:spacing w:val="-16"/>
        </w:rPr>
        <w:t> </w:t>
      </w:r>
      <w:r>
        <w:rPr/>
        <w:t>barındırır</w:t>
      </w:r>
      <w:r>
        <w:rPr>
          <w:spacing w:val="-16"/>
        </w:rPr>
        <w:t> </w:t>
      </w:r>
      <w:r>
        <w:rPr/>
        <w:t>(Kim</w:t>
      </w:r>
      <w:r>
        <w:rPr>
          <w:spacing w:val="-14"/>
        </w:rPr>
        <w:t> </w:t>
      </w:r>
      <w:r>
        <w:rPr/>
        <w:t>vd.,</w:t>
      </w:r>
      <w:r>
        <w:rPr>
          <w:spacing w:val="-16"/>
        </w:rPr>
        <w:t> </w:t>
      </w:r>
      <w:r>
        <w:rPr/>
        <w:t>2008).</w:t>
      </w:r>
      <w:r>
        <w:rPr>
          <w:spacing w:val="-16"/>
        </w:rPr>
        <w:t> </w:t>
      </w:r>
      <w:r>
        <w:rPr/>
        <w:t>Ürüne</w:t>
      </w:r>
      <w:r>
        <w:rPr>
          <w:spacing w:val="-17"/>
        </w:rPr>
        <w:t> </w:t>
      </w:r>
      <w:r>
        <w:rPr/>
        <w:t>harcanacak</w:t>
      </w:r>
      <w:r>
        <w:rPr>
          <w:spacing w:val="-16"/>
        </w:rPr>
        <w:t> </w:t>
      </w:r>
      <w:r>
        <w:rPr/>
        <w:t>para</w:t>
      </w:r>
      <w:r>
        <w:rPr>
          <w:spacing w:val="-18"/>
        </w:rPr>
        <w:t> </w:t>
      </w:r>
      <w:r>
        <w:rPr/>
        <w:t>veya</w:t>
      </w:r>
      <w:r>
        <w:rPr>
          <w:spacing w:val="-14"/>
        </w:rPr>
        <w:t> </w:t>
      </w:r>
      <w:r>
        <w:rPr/>
        <w:t>zamanın</w:t>
      </w:r>
      <w:r>
        <w:rPr>
          <w:spacing w:val="-16"/>
        </w:rPr>
        <w:t> </w:t>
      </w:r>
      <w:r>
        <w:rPr/>
        <w:t>ürünün sağlayacağı</w:t>
      </w:r>
      <w:r>
        <w:rPr>
          <w:spacing w:val="41"/>
        </w:rPr>
        <w:t> </w:t>
      </w:r>
      <w:r>
        <w:rPr/>
        <w:t>faydadan</w:t>
      </w:r>
      <w:r>
        <w:rPr>
          <w:spacing w:val="40"/>
        </w:rPr>
        <w:t> </w:t>
      </w:r>
      <w:r>
        <w:rPr/>
        <w:t>fazla</w:t>
      </w:r>
      <w:r>
        <w:rPr>
          <w:spacing w:val="40"/>
        </w:rPr>
        <w:t> </w:t>
      </w:r>
      <w:r>
        <w:rPr/>
        <w:t>olma</w:t>
      </w:r>
      <w:r>
        <w:rPr>
          <w:spacing w:val="40"/>
        </w:rPr>
        <w:t> </w:t>
      </w:r>
      <w:r>
        <w:rPr/>
        <w:t>ihtimaliyle</w:t>
      </w:r>
      <w:r>
        <w:rPr>
          <w:spacing w:val="38"/>
        </w:rPr>
        <w:t> </w:t>
      </w:r>
      <w:r>
        <w:rPr/>
        <w:t>artan</w:t>
      </w:r>
      <w:r>
        <w:rPr>
          <w:spacing w:val="40"/>
        </w:rPr>
        <w:t> </w:t>
      </w:r>
      <w:r>
        <w:rPr/>
        <w:t>risk</w:t>
      </w:r>
      <w:r>
        <w:rPr>
          <w:spacing w:val="40"/>
        </w:rPr>
        <w:t> </w:t>
      </w:r>
      <w:r>
        <w:rPr/>
        <w:t>(finansal</w:t>
      </w:r>
      <w:r>
        <w:rPr>
          <w:spacing w:val="41"/>
        </w:rPr>
        <w:t> </w:t>
      </w:r>
      <w:r>
        <w:rPr/>
        <w:t>risk),</w:t>
      </w:r>
      <w:r>
        <w:rPr>
          <w:spacing w:val="40"/>
        </w:rPr>
        <w:t> </w:t>
      </w:r>
      <w:r>
        <w:rPr/>
        <w:t>üründen</w:t>
      </w:r>
      <w:r>
        <w:rPr>
          <w:spacing w:val="40"/>
        </w:rPr>
        <w:t> </w:t>
      </w:r>
      <w:r>
        <w:rPr/>
        <w:t>beklenen</w:t>
      </w:r>
    </w:p>
    <w:p>
      <w:pPr>
        <w:spacing w:after="0" w:line="360" w:lineRule="auto"/>
        <w:sectPr>
          <w:pgSz w:w="12240" w:h="15840"/>
          <w:pgMar w:header="718" w:footer="0" w:top="1300" w:bottom="280" w:left="1720" w:right="820"/>
        </w:sectPr>
      </w:pPr>
    </w:p>
    <w:p>
      <w:pPr>
        <w:pStyle w:val="BodyText"/>
        <w:spacing w:line="360" w:lineRule="auto" w:before="100"/>
        <w:ind w:right="309"/>
      </w:pPr>
      <w:r>
        <w:rPr/>
        <w:t>fonksiyonel faydanın elde edilememe riski (performans riski), ürünün fiziksel zarara yol açma</w:t>
      </w:r>
      <w:r>
        <w:rPr>
          <w:spacing w:val="-14"/>
        </w:rPr>
        <w:t> </w:t>
      </w:r>
      <w:r>
        <w:rPr/>
        <w:t>riski</w:t>
      </w:r>
      <w:r>
        <w:rPr>
          <w:spacing w:val="-13"/>
        </w:rPr>
        <w:t> </w:t>
      </w:r>
      <w:r>
        <w:rPr/>
        <w:t>(fiziksel</w:t>
      </w:r>
      <w:r>
        <w:rPr>
          <w:spacing w:val="-12"/>
        </w:rPr>
        <w:t> </w:t>
      </w:r>
      <w:r>
        <w:rPr/>
        <w:t>risk),</w:t>
      </w:r>
      <w:r>
        <w:rPr>
          <w:spacing w:val="-12"/>
        </w:rPr>
        <w:t> </w:t>
      </w:r>
      <w:r>
        <w:rPr/>
        <w:t>ürünün</w:t>
      </w:r>
      <w:r>
        <w:rPr>
          <w:spacing w:val="-12"/>
        </w:rPr>
        <w:t> </w:t>
      </w:r>
      <w:r>
        <w:rPr/>
        <w:t>tüketici</w:t>
      </w:r>
      <w:r>
        <w:rPr>
          <w:spacing w:val="-13"/>
        </w:rPr>
        <w:t> </w:t>
      </w:r>
      <w:r>
        <w:rPr/>
        <w:t>imajıyla</w:t>
      </w:r>
      <w:r>
        <w:rPr>
          <w:spacing w:val="-13"/>
        </w:rPr>
        <w:t> </w:t>
      </w:r>
      <w:r>
        <w:rPr/>
        <w:t>uyuşmama</w:t>
      </w:r>
      <w:r>
        <w:rPr>
          <w:spacing w:val="-14"/>
        </w:rPr>
        <w:t> </w:t>
      </w:r>
      <w:r>
        <w:rPr/>
        <w:t>riski</w:t>
      </w:r>
      <w:r>
        <w:rPr>
          <w:spacing w:val="-13"/>
        </w:rPr>
        <w:t> </w:t>
      </w:r>
      <w:r>
        <w:rPr/>
        <w:t>(psikolojik</w:t>
      </w:r>
      <w:r>
        <w:rPr>
          <w:spacing w:val="-12"/>
        </w:rPr>
        <w:t> </w:t>
      </w:r>
      <w:r>
        <w:rPr/>
        <w:t>risk)</w:t>
      </w:r>
      <w:r>
        <w:rPr>
          <w:spacing w:val="-14"/>
        </w:rPr>
        <w:t> </w:t>
      </w:r>
      <w:r>
        <w:rPr/>
        <w:t>ve</w:t>
      </w:r>
      <w:r>
        <w:rPr>
          <w:spacing w:val="-13"/>
        </w:rPr>
        <w:t> </w:t>
      </w:r>
      <w:r>
        <w:rPr/>
        <w:t>ürünün tüketicinin sosyal çevresinden kabul görmeme riski (sosyal risk) olmak üzere satın alma sürecinde tüketicin algılayabileceği beş temel risk tanımlanmaktadır (Yang vd., 2016).</w:t>
      </w:r>
      <w:r>
        <w:rPr>
          <w:spacing w:val="-33"/>
        </w:rPr>
        <w:t> </w:t>
      </w:r>
      <w:r>
        <w:rPr/>
        <w:t>Satın alma sürecinde karşılaşılabilecek riskleri azaltmak için tüketiciler diğer tüketicilerin görüşlerine başvurmaktadır. Başkalarıyla konuşmak riski azaltabilir, karmaşıklığı basitleştirebilir ve tüketicilerin doğru şeyi yaptıklarına dair güvenini artırabilir (Hennig- Thurau ve Walsh, 2003). Online alışveriş, geleneksel mağazalardan yapılan alışverişe göre daha riskli algılanmakta ve bu riski azaltmak için tüketiciler online alışveriş sürecinde daha fazla ağızdan ağıza iletişim mesajına ulaşarak daha fazla bilgi elde etmeye çalışmaktadır (Bulut ve Karabulut,</w:t>
      </w:r>
      <w:r>
        <w:rPr>
          <w:spacing w:val="-2"/>
        </w:rPr>
        <w:t> </w:t>
      </w:r>
      <w:r>
        <w:rPr/>
        <w:t>2017).</w:t>
      </w:r>
    </w:p>
    <w:p>
      <w:pPr>
        <w:pStyle w:val="BodyText"/>
        <w:spacing w:line="360" w:lineRule="auto"/>
        <w:ind w:right="314" w:firstLine="708"/>
      </w:pPr>
      <w:r>
        <w:rPr/>
        <w:t>Bilgi arama süresini kısaltmak da alıcı için başka bir güdüdür (Schiffman ve Wisenblit, 2015: 246). Tüketici, satın alma sürecinde alternatifleri belirlemek ve değerlendirmek için yeterli zamana sahip olmayabilir. Zaman tasarrufu sağlamak adına ürünle ilgili bilgi ve tecrübeye sahip olduğu düşünülen diğer tüketiciler önemli bir başvuru kaynağı olarak kabul edilir (Dhar ve Nowlis, 1999; Chih vd., 2013). Özellikle online perakendeci sayfasında, belirli bir ürün grubu içinde “en çok yorum alan” ve “en çok beğenilen ürünler” gibi sınıflandırmalar sayesinde tüketici değerlendirme kümesini hızlı ve pratik bir şekilde oluşturabilmektedir. Aynı zamanda, oluşturulan değerlendirme kümesi içindeki ürünler için yapılmış yorumlar incelenerek başka bir referans kaynağa ihtiyaç duymadan kısa sürede kıyaslama yapılabilmektedir.</w:t>
      </w:r>
    </w:p>
    <w:p>
      <w:pPr>
        <w:pStyle w:val="BodyText"/>
        <w:spacing w:line="360" w:lineRule="auto" w:before="1"/>
        <w:ind w:right="312" w:firstLine="708"/>
      </w:pPr>
      <w:r>
        <w:rPr/>
        <w:t>Ağızdan ağıza iletişim, sadece satın alma öncesinde değil satın alma sonrasında da tüketici için önemli bir kaynaktır. Ürün kullanımını öğrenmek ve ürünle ilgili sorunları gidermek</w:t>
      </w:r>
      <w:r>
        <w:rPr>
          <w:spacing w:val="-8"/>
        </w:rPr>
        <w:t> </w:t>
      </w:r>
      <w:r>
        <w:rPr/>
        <w:t>de</w:t>
      </w:r>
      <w:r>
        <w:rPr>
          <w:spacing w:val="-8"/>
        </w:rPr>
        <w:t> </w:t>
      </w:r>
      <w:r>
        <w:rPr/>
        <w:t>alıcı</w:t>
      </w:r>
      <w:r>
        <w:rPr>
          <w:spacing w:val="-6"/>
        </w:rPr>
        <w:t> </w:t>
      </w:r>
      <w:r>
        <w:rPr/>
        <w:t>için</w:t>
      </w:r>
      <w:r>
        <w:rPr>
          <w:spacing w:val="-7"/>
        </w:rPr>
        <w:t> </w:t>
      </w:r>
      <w:r>
        <w:rPr/>
        <w:t>bir</w:t>
      </w:r>
      <w:r>
        <w:rPr>
          <w:spacing w:val="-7"/>
        </w:rPr>
        <w:t> </w:t>
      </w:r>
      <w:r>
        <w:rPr/>
        <w:t>motivasyondur.</w:t>
      </w:r>
      <w:r>
        <w:rPr>
          <w:spacing w:val="-7"/>
        </w:rPr>
        <w:t> </w:t>
      </w:r>
      <w:r>
        <w:rPr/>
        <w:t>Tüketici,</w:t>
      </w:r>
      <w:r>
        <w:rPr>
          <w:spacing w:val="-6"/>
        </w:rPr>
        <w:t> </w:t>
      </w:r>
      <w:r>
        <w:rPr/>
        <w:t>satın</w:t>
      </w:r>
      <w:r>
        <w:rPr>
          <w:spacing w:val="-7"/>
        </w:rPr>
        <w:t> </w:t>
      </w:r>
      <w:r>
        <w:rPr/>
        <w:t>aldığı</w:t>
      </w:r>
      <w:r>
        <w:rPr>
          <w:spacing w:val="-6"/>
        </w:rPr>
        <w:t> </w:t>
      </w:r>
      <w:r>
        <w:rPr/>
        <w:t>ürünün</w:t>
      </w:r>
      <w:r>
        <w:rPr>
          <w:spacing w:val="-7"/>
        </w:rPr>
        <w:t> </w:t>
      </w:r>
      <w:r>
        <w:rPr/>
        <w:t>etkin</w:t>
      </w:r>
      <w:r>
        <w:rPr>
          <w:spacing w:val="-11"/>
        </w:rPr>
        <w:t> </w:t>
      </w:r>
      <w:r>
        <w:rPr/>
        <w:t>kullanım</w:t>
      </w:r>
      <w:r>
        <w:rPr>
          <w:spacing w:val="-7"/>
        </w:rPr>
        <w:t> </w:t>
      </w:r>
      <w:r>
        <w:rPr/>
        <w:t>şeklini ve</w:t>
      </w:r>
      <w:r>
        <w:rPr>
          <w:spacing w:val="-13"/>
        </w:rPr>
        <w:t> </w:t>
      </w:r>
      <w:r>
        <w:rPr/>
        <w:t>yaşadığı</w:t>
      </w:r>
      <w:r>
        <w:rPr>
          <w:spacing w:val="-10"/>
        </w:rPr>
        <w:t> </w:t>
      </w:r>
      <w:r>
        <w:rPr/>
        <w:t>sorunun</w:t>
      </w:r>
      <w:r>
        <w:rPr>
          <w:spacing w:val="-13"/>
        </w:rPr>
        <w:t> </w:t>
      </w:r>
      <w:r>
        <w:rPr/>
        <w:t>çözüm</w:t>
      </w:r>
      <w:r>
        <w:rPr>
          <w:spacing w:val="-11"/>
        </w:rPr>
        <w:t> </w:t>
      </w:r>
      <w:r>
        <w:rPr/>
        <w:t>yolunu</w:t>
      </w:r>
      <w:r>
        <w:rPr>
          <w:spacing w:val="-12"/>
        </w:rPr>
        <w:t> </w:t>
      </w:r>
      <w:r>
        <w:rPr/>
        <w:t>öğrenmek</w:t>
      </w:r>
      <w:r>
        <w:rPr>
          <w:spacing w:val="-12"/>
        </w:rPr>
        <w:t> </w:t>
      </w:r>
      <w:r>
        <w:rPr/>
        <w:t>için</w:t>
      </w:r>
      <w:r>
        <w:rPr>
          <w:spacing w:val="-13"/>
        </w:rPr>
        <w:t> </w:t>
      </w:r>
      <w:r>
        <w:rPr/>
        <w:t>de</w:t>
      </w:r>
      <w:r>
        <w:rPr>
          <w:spacing w:val="-13"/>
        </w:rPr>
        <w:t> </w:t>
      </w:r>
      <w:r>
        <w:rPr/>
        <w:t>diğer</w:t>
      </w:r>
      <w:r>
        <w:rPr>
          <w:spacing w:val="-12"/>
        </w:rPr>
        <w:t> </w:t>
      </w:r>
      <w:r>
        <w:rPr/>
        <w:t>tüketicilerden</w:t>
      </w:r>
      <w:r>
        <w:rPr>
          <w:spacing w:val="-11"/>
        </w:rPr>
        <w:t> </w:t>
      </w:r>
      <w:r>
        <w:rPr/>
        <w:t>bilgi</w:t>
      </w:r>
      <w:r>
        <w:rPr>
          <w:spacing w:val="-12"/>
        </w:rPr>
        <w:t> </w:t>
      </w:r>
      <w:r>
        <w:rPr/>
        <w:t>alabilmektedir (Hennig‐Thurau ve Walsh, 2003). Örneğin, satın aldıktan bir süre sonra </w:t>
      </w:r>
      <w:r>
        <w:rPr>
          <w:spacing w:val="-4"/>
        </w:rPr>
        <w:t>bilgisayarının </w:t>
      </w:r>
      <w:r>
        <w:rPr/>
        <w:t>performansının azaldığı ve yavaşladığını düşünen tüketici, forumlarda ve bloglarda bilgisayar performansını basit işlemlerle nasıl artırabileceğini araştırabilmekte, forum kullanıcılarına ve blog yazarlarına</w:t>
      </w:r>
      <w:r>
        <w:rPr>
          <w:spacing w:val="-5"/>
        </w:rPr>
        <w:t> </w:t>
      </w:r>
      <w:r>
        <w:rPr/>
        <w:t>danışabilmektedir.</w:t>
      </w:r>
    </w:p>
    <w:p>
      <w:pPr>
        <w:pStyle w:val="BodyText"/>
        <w:spacing w:line="360" w:lineRule="auto" w:before="1"/>
        <w:ind w:right="314" w:firstLine="708"/>
      </w:pPr>
      <w:r>
        <w:rPr/>
        <w:t>Son olarak, alıcı, sosyal çevresinin onayladığı ürünleri satın alma güdüsüyle de ağızdan ağıza iletişim çabasına girebilmektedir (Schiffman ve Wisenblit, 2015: 246).</w:t>
      </w:r>
    </w:p>
    <w:p>
      <w:pPr>
        <w:spacing w:after="0" w:line="360" w:lineRule="auto"/>
        <w:sectPr>
          <w:pgSz w:w="12240" w:h="15840"/>
          <w:pgMar w:header="718" w:footer="0" w:top="1300" w:bottom="280" w:left="1720" w:right="820"/>
        </w:sectPr>
      </w:pPr>
    </w:p>
    <w:p>
      <w:pPr>
        <w:pStyle w:val="BodyText"/>
        <w:spacing w:line="360" w:lineRule="auto" w:before="100"/>
        <w:ind w:right="310"/>
      </w:pPr>
      <w:r>
        <w:rPr/>
        <w:t>Tüketiciler, ait oldukları ya da ait olmak istedikleri sosyal çevreyi yansıtan ürünleri keşfetmek için ağızdan ağıza iletişim kaynaklarına başvurabilmektedir (Hennig‐Thurau </w:t>
      </w:r>
      <w:r>
        <w:rPr>
          <w:spacing w:val="-18"/>
        </w:rPr>
        <w:t>ve </w:t>
      </w:r>
      <w:r>
        <w:rPr/>
        <w:t>Walsh, 2003). Bu güdünün özünde, tüketicilerin benzer tüketim tutkularını paylaşan diğer tüketicilerle</w:t>
      </w:r>
      <w:r>
        <w:rPr>
          <w:spacing w:val="-10"/>
        </w:rPr>
        <w:t> </w:t>
      </w:r>
      <w:r>
        <w:rPr/>
        <w:t>etkileşim</w:t>
      </w:r>
      <w:r>
        <w:rPr>
          <w:spacing w:val="-8"/>
        </w:rPr>
        <w:t> </w:t>
      </w:r>
      <w:r>
        <w:rPr/>
        <w:t>içinde</w:t>
      </w:r>
      <w:r>
        <w:rPr>
          <w:spacing w:val="-10"/>
        </w:rPr>
        <w:t> </w:t>
      </w:r>
      <w:r>
        <w:rPr/>
        <w:t>olmak</w:t>
      </w:r>
      <w:r>
        <w:rPr>
          <w:spacing w:val="-9"/>
        </w:rPr>
        <w:t> </w:t>
      </w:r>
      <w:r>
        <w:rPr/>
        <w:t>yatmaktadır</w:t>
      </w:r>
      <w:r>
        <w:rPr>
          <w:spacing w:val="-10"/>
        </w:rPr>
        <w:t> </w:t>
      </w:r>
      <w:r>
        <w:rPr/>
        <w:t>(Granitz</w:t>
      </w:r>
      <w:r>
        <w:rPr>
          <w:spacing w:val="-10"/>
        </w:rPr>
        <w:t> </w:t>
      </w:r>
      <w:r>
        <w:rPr/>
        <w:t>ve</w:t>
      </w:r>
      <w:r>
        <w:rPr>
          <w:spacing w:val="-7"/>
        </w:rPr>
        <w:t> </w:t>
      </w:r>
      <w:r>
        <w:rPr/>
        <w:t>Ward,</w:t>
      </w:r>
      <w:r>
        <w:rPr>
          <w:spacing w:val="-9"/>
        </w:rPr>
        <w:t> </w:t>
      </w:r>
      <w:r>
        <w:rPr/>
        <w:t>1996).</w:t>
      </w:r>
      <w:r>
        <w:rPr>
          <w:spacing w:val="-8"/>
        </w:rPr>
        <w:t> </w:t>
      </w:r>
      <w:r>
        <w:rPr/>
        <w:t>Örneğin,</w:t>
      </w:r>
      <w:r>
        <w:rPr>
          <w:spacing w:val="-8"/>
        </w:rPr>
        <w:t> </w:t>
      </w:r>
      <w:r>
        <w:rPr/>
        <w:t>modifiye otomobillere</w:t>
      </w:r>
      <w:r>
        <w:rPr>
          <w:spacing w:val="-17"/>
        </w:rPr>
        <w:t> </w:t>
      </w:r>
      <w:r>
        <w:rPr/>
        <w:t>ilgi</w:t>
      </w:r>
      <w:r>
        <w:rPr>
          <w:spacing w:val="-14"/>
        </w:rPr>
        <w:t> </w:t>
      </w:r>
      <w:r>
        <w:rPr/>
        <w:t>duyan</w:t>
      </w:r>
      <w:r>
        <w:rPr>
          <w:spacing w:val="-15"/>
        </w:rPr>
        <w:t> </w:t>
      </w:r>
      <w:r>
        <w:rPr/>
        <w:t>ve</w:t>
      </w:r>
      <w:r>
        <w:rPr>
          <w:spacing w:val="-16"/>
        </w:rPr>
        <w:t> </w:t>
      </w:r>
      <w:r>
        <w:rPr/>
        <w:t>otomobilini</w:t>
      </w:r>
      <w:r>
        <w:rPr>
          <w:spacing w:val="-14"/>
        </w:rPr>
        <w:t> </w:t>
      </w:r>
      <w:r>
        <w:rPr/>
        <w:t>modifiye</w:t>
      </w:r>
      <w:r>
        <w:rPr>
          <w:spacing w:val="-16"/>
        </w:rPr>
        <w:t> </w:t>
      </w:r>
      <w:r>
        <w:rPr/>
        <w:t>etmeyi</w:t>
      </w:r>
      <w:r>
        <w:rPr>
          <w:spacing w:val="-15"/>
        </w:rPr>
        <w:t> </w:t>
      </w:r>
      <w:r>
        <w:rPr/>
        <w:t>seven</w:t>
      </w:r>
      <w:r>
        <w:rPr>
          <w:spacing w:val="-13"/>
        </w:rPr>
        <w:t> </w:t>
      </w:r>
      <w:r>
        <w:rPr/>
        <w:t>bir</w:t>
      </w:r>
      <w:r>
        <w:rPr>
          <w:spacing w:val="-15"/>
        </w:rPr>
        <w:t> </w:t>
      </w:r>
      <w:r>
        <w:rPr/>
        <w:t>tüketici,</w:t>
      </w:r>
      <w:r>
        <w:rPr>
          <w:spacing w:val="-15"/>
        </w:rPr>
        <w:t> </w:t>
      </w:r>
      <w:r>
        <w:rPr/>
        <w:t>modifiye</w:t>
      </w:r>
      <w:r>
        <w:rPr>
          <w:spacing w:val="-16"/>
        </w:rPr>
        <w:t> </w:t>
      </w:r>
      <w:r>
        <w:rPr/>
        <w:t>otomobil tutkunlarının bulunduğu forumları takip edip, bu forumlardaki güncel modifiye uygulamalarını okuyup, bu forumlardaki görüşlere ve tavsiyelere göre otomobiline uygulayacağı modifiye ürünleri tercih edebilmektedir.</w:t>
      </w:r>
    </w:p>
    <w:p>
      <w:pPr>
        <w:pStyle w:val="Heading1"/>
        <w:numPr>
          <w:ilvl w:val="3"/>
          <w:numId w:val="1"/>
        </w:numPr>
        <w:tabs>
          <w:tab w:pos="2037" w:val="left" w:leader="none"/>
        </w:tabs>
        <w:spacing w:line="240" w:lineRule="auto" w:before="159" w:after="0"/>
        <w:ind w:left="2036" w:right="0" w:hanging="781"/>
        <w:jc w:val="both"/>
      </w:pPr>
      <w:r>
        <w:rPr/>
        <w:t>Kaynağın Güdüleri</w:t>
      </w:r>
    </w:p>
    <w:p>
      <w:pPr>
        <w:pStyle w:val="BodyText"/>
        <w:spacing w:line="360" w:lineRule="auto" w:before="140"/>
        <w:ind w:right="311" w:firstLine="708"/>
      </w:pPr>
      <w:r>
        <w:rPr/>
        <w:t>Tüketicilerin ürün, hizmet ve firmalar hakkında görüşlerini neden paylaştığı sorusu araştırmalara konu olmuştur (Hennig</w:t>
      </w:r>
      <w:r>
        <w:rPr>
          <w:rFonts w:ascii="DejaVu Serif Condensed" w:hAnsi="DejaVu Serif Condensed"/>
        </w:rPr>
        <w:t>‐</w:t>
      </w:r>
      <w:r>
        <w:rPr/>
        <w:t>Thurau vd., 2004). Ağızdan ağıza iletişim için literatürde tanımlanmış güdüler Tablo 1'de yer almaktadır.</w:t>
      </w:r>
    </w:p>
    <w:p>
      <w:pPr>
        <w:pStyle w:val="BodyText"/>
        <w:spacing w:before="122"/>
      </w:pPr>
      <w:r>
        <w:rPr>
          <w:b/>
        </w:rPr>
        <w:t>Tablo 1: </w:t>
      </w:r>
      <w:r>
        <w:rPr/>
        <w:t>Literatürde Tanımlanmış Ağızdan Ağıza İletişim Davranışı Güdüleri</w:t>
      </w:r>
    </w:p>
    <w:p>
      <w:pPr>
        <w:pStyle w:val="BodyText"/>
        <w:spacing w:before="6"/>
        <w:ind w:left="0"/>
        <w:jc w:val="left"/>
        <w:rPr>
          <w:sz w:val="10"/>
        </w:rPr>
      </w:pPr>
    </w:p>
    <w:tbl>
      <w:tblPr>
        <w:tblW w:w="0" w:type="auto"/>
        <w:jc w:val="lef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6"/>
        <w:gridCol w:w="3019"/>
        <w:gridCol w:w="4039"/>
      </w:tblGrid>
      <w:tr>
        <w:trPr>
          <w:trHeight w:val="350" w:hRule="atLeast"/>
        </w:trPr>
        <w:tc>
          <w:tcPr>
            <w:tcW w:w="1726" w:type="dxa"/>
          </w:tcPr>
          <w:p>
            <w:pPr>
              <w:pStyle w:val="TableParagraph"/>
              <w:ind w:left="511"/>
              <w:rPr>
                <w:b/>
                <w:sz w:val="20"/>
              </w:rPr>
            </w:pPr>
            <w:r>
              <w:rPr>
                <w:b/>
                <w:sz w:val="20"/>
              </w:rPr>
              <w:t>Çalışma</w:t>
            </w:r>
          </w:p>
        </w:tc>
        <w:tc>
          <w:tcPr>
            <w:tcW w:w="3019" w:type="dxa"/>
          </w:tcPr>
          <w:p>
            <w:pPr>
              <w:pStyle w:val="TableParagraph"/>
              <w:ind w:left="1243" w:right="1236"/>
              <w:jc w:val="center"/>
              <w:rPr>
                <w:b/>
                <w:sz w:val="20"/>
              </w:rPr>
            </w:pPr>
            <w:r>
              <w:rPr>
                <w:b/>
                <w:sz w:val="20"/>
              </w:rPr>
              <w:t>Güdü</w:t>
            </w:r>
          </w:p>
        </w:tc>
        <w:tc>
          <w:tcPr>
            <w:tcW w:w="4039" w:type="dxa"/>
          </w:tcPr>
          <w:p>
            <w:pPr>
              <w:pStyle w:val="TableParagraph"/>
              <w:ind w:left="1588" w:right="1577"/>
              <w:jc w:val="center"/>
              <w:rPr>
                <w:b/>
                <w:sz w:val="20"/>
              </w:rPr>
            </w:pPr>
            <w:r>
              <w:rPr>
                <w:b/>
                <w:sz w:val="20"/>
              </w:rPr>
              <w:t>Açıklama</w:t>
            </w:r>
          </w:p>
        </w:tc>
      </w:tr>
      <w:tr>
        <w:trPr>
          <w:trHeight w:val="918" w:hRule="atLeast"/>
        </w:trPr>
        <w:tc>
          <w:tcPr>
            <w:tcW w:w="1726"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3"/>
              <w:ind w:left="0"/>
              <w:rPr>
                <w:sz w:val="23"/>
              </w:rPr>
            </w:pPr>
          </w:p>
          <w:p>
            <w:pPr>
              <w:pStyle w:val="TableParagraph"/>
              <w:ind w:left="271"/>
              <w:rPr>
                <w:sz w:val="20"/>
              </w:rPr>
            </w:pPr>
            <w:r>
              <w:rPr>
                <w:sz w:val="20"/>
              </w:rPr>
              <w:t>Dichter (1966)</w:t>
            </w:r>
          </w:p>
        </w:tc>
        <w:tc>
          <w:tcPr>
            <w:tcW w:w="3019" w:type="dxa"/>
          </w:tcPr>
          <w:p>
            <w:pPr>
              <w:pStyle w:val="TableParagraph"/>
              <w:ind w:left="108" w:right="1088"/>
              <w:rPr>
                <w:sz w:val="20"/>
              </w:rPr>
            </w:pPr>
            <w:r>
              <w:rPr>
                <w:sz w:val="20"/>
              </w:rPr>
              <w:t>Ürün ilgilenimi </w:t>
            </w:r>
            <w:r>
              <w:rPr>
                <w:w w:val="95"/>
                <w:sz w:val="20"/>
              </w:rPr>
              <w:t>(product-involvement)</w:t>
            </w:r>
          </w:p>
        </w:tc>
        <w:tc>
          <w:tcPr>
            <w:tcW w:w="4039" w:type="dxa"/>
          </w:tcPr>
          <w:p>
            <w:pPr>
              <w:pStyle w:val="TableParagraph"/>
              <w:ind w:left="108" w:right="95"/>
              <w:jc w:val="both"/>
              <w:rPr>
                <w:sz w:val="20"/>
              </w:rPr>
            </w:pPr>
            <w:r>
              <w:rPr>
                <w:sz w:val="20"/>
              </w:rPr>
              <w:t>Tüketici ürün (hizmet) deneyiminden kaynaklı güçlü bir heyecan hisseder. Bu heyecan sadece tüketimle giderilmez ve diğerlerine tavsiye</w:t>
            </w:r>
          </w:p>
          <w:p>
            <w:pPr>
              <w:pStyle w:val="TableParagraph"/>
              <w:spacing w:line="209" w:lineRule="exact"/>
              <w:ind w:left="108"/>
              <w:jc w:val="both"/>
              <w:rPr>
                <w:sz w:val="20"/>
              </w:rPr>
            </w:pPr>
            <w:r>
              <w:rPr>
                <w:sz w:val="20"/>
              </w:rPr>
              <w:t>ederek bu heyecan azaltılır.</w:t>
            </w:r>
          </w:p>
        </w:tc>
      </w:tr>
      <w:tr>
        <w:trPr>
          <w:trHeight w:val="691" w:hRule="atLeast"/>
        </w:trPr>
        <w:tc>
          <w:tcPr>
            <w:tcW w:w="1726" w:type="dxa"/>
            <w:vMerge/>
            <w:tcBorders>
              <w:top w:val="nil"/>
            </w:tcBorders>
          </w:tcPr>
          <w:p>
            <w:pPr>
              <w:rPr>
                <w:sz w:val="2"/>
                <w:szCs w:val="2"/>
              </w:rPr>
            </w:pPr>
          </w:p>
        </w:tc>
        <w:tc>
          <w:tcPr>
            <w:tcW w:w="3019" w:type="dxa"/>
          </w:tcPr>
          <w:p>
            <w:pPr>
              <w:pStyle w:val="TableParagraph"/>
              <w:ind w:left="108" w:right="1410"/>
              <w:rPr>
                <w:sz w:val="20"/>
              </w:rPr>
            </w:pPr>
            <w:r>
              <w:rPr>
                <w:sz w:val="20"/>
              </w:rPr>
              <w:t>Kişisel ilgilenim (self-involvement)</w:t>
            </w:r>
          </w:p>
        </w:tc>
        <w:tc>
          <w:tcPr>
            <w:tcW w:w="4039" w:type="dxa"/>
          </w:tcPr>
          <w:p>
            <w:pPr>
              <w:pStyle w:val="TableParagraph"/>
              <w:tabs>
                <w:tab w:pos="1204" w:val="left" w:leader="none"/>
                <w:tab w:pos="2326" w:val="left" w:leader="none"/>
                <w:tab w:pos="3453" w:val="left" w:leader="none"/>
              </w:tabs>
              <w:ind w:left="108"/>
              <w:rPr>
                <w:sz w:val="20"/>
              </w:rPr>
            </w:pPr>
            <w:r>
              <w:rPr>
                <w:sz w:val="20"/>
              </w:rPr>
              <w:t>Tavsiyede</w:t>
              <w:tab/>
              <w:t>bulunmak,</w:t>
              <w:tab/>
              <w:t>tüketicinin</w:t>
              <w:tab/>
              <w:t>belirli</w:t>
            </w:r>
          </w:p>
          <w:p>
            <w:pPr>
              <w:pStyle w:val="TableParagraph"/>
              <w:spacing w:line="230" w:lineRule="atLeast" w:before="1"/>
              <w:ind w:left="108"/>
              <w:rPr>
                <w:sz w:val="20"/>
              </w:rPr>
            </w:pPr>
            <w:r>
              <w:rPr>
                <w:sz w:val="20"/>
              </w:rPr>
              <w:t>duygusal ihtiyaçlarının tatmin edilmesi için bir araç olarak hizmet eder.</w:t>
            </w:r>
          </w:p>
        </w:tc>
      </w:tr>
      <w:tr>
        <w:trPr>
          <w:trHeight w:val="460" w:hRule="atLeast"/>
        </w:trPr>
        <w:tc>
          <w:tcPr>
            <w:tcW w:w="1726" w:type="dxa"/>
            <w:vMerge/>
            <w:tcBorders>
              <w:top w:val="nil"/>
            </w:tcBorders>
          </w:tcPr>
          <w:p>
            <w:pPr>
              <w:rPr>
                <w:sz w:val="2"/>
                <w:szCs w:val="2"/>
              </w:rPr>
            </w:pPr>
          </w:p>
        </w:tc>
        <w:tc>
          <w:tcPr>
            <w:tcW w:w="3019" w:type="dxa"/>
          </w:tcPr>
          <w:p>
            <w:pPr>
              <w:pStyle w:val="TableParagraph"/>
              <w:spacing w:line="230" w:lineRule="atLeast"/>
              <w:ind w:left="108" w:right="1216"/>
              <w:rPr>
                <w:sz w:val="20"/>
              </w:rPr>
            </w:pPr>
            <w:r>
              <w:rPr>
                <w:sz w:val="20"/>
              </w:rPr>
              <w:t>Diğerlerine ilgilenim (other-involvement)</w:t>
            </w:r>
          </w:p>
        </w:tc>
        <w:tc>
          <w:tcPr>
            <w:tcW w:w="4039" w:type="dxa"/>
          </w:tcPr>
          <w:p>
            <w:pPr>
              <w:pStyle w:val="TableParagraph"/>
              <w:tabs>
                <w:tab w:pos="1134" w:val="left" w:leader="none"/>
                <w:tab w:pos="2028" w:val="left" w:leader="none"/>
                <w:tab w:pos="3165" w:val="left" w:leader="none"/>
              </w:tabs>
              <w:spacing w:line="230" w:lineRule="atLeast"/>
              <w:ind w:left="108" w:right="97"/>
              <w:rPr>
                <w:sz w:val="20"/>
              </w:rPr>
            </w:pPr>
            <w:r>
              <w:rPr>
                <w:sz w:val="20"/>
              </w:rPr>
              <w:t>Tavsiyede</w:t>
              <w:tab/>
              <w:t>bulunan,</w:t>
              <w:tab/>
              <w:t>diğerlerinin</w:t>
              <w:tab/>
            </w:r>
            <w:r>
              <w:rPr>
                <w:spacing w:val="-1"/>
                <w:sz w:val="20"/>
              </w:rPr>
              <w:t>faydasına </w:t>
            </w:r>
            <w:r>
              <w:rPr>
                <w:sz w:val="20"/>
              </w:rPr>
              <w:t>olacak bilgileri paylaşarak onlara yardım</w:t>
            </w:r>
            <w:r>
              <w:rPr>
                <w:spacing w:val="-7"/>
                <w:sz w:val="20"/>
              </w:rPr>
              <w:t> </w:t>
            </w:r>
            <w:r>
              <w:rPr>
                <w:sz w:val="20"/>
              </w:rPr>
              <w:t>eder.</w:t>
            </w:r>
          </w:p>
        </w:tc>
      </w:tr>
      <w:tr>
        <w:trPr>
          <w:trHeight w:val="688" w:hRule="atLeast"/>
        </w:trPr>
        <w:tc>
          <w:tcPr>
            <w:tcW w:w="1726" w:type="dxa"/>
            <w:vMerge/>
            <w:tcBorders>
              <w:top w:val="nil"/>
            </w:tcBorders>
          </w:tcPr>
          <w:p>
            <w:pPr>
              <w:rPr>
                <w:sz w:val="2"/>
                <w:szCs w:val="2"/>
              </w:rPr>
            </w:pPr>
          </w:p>
        </w:tc>
        <w:tc>
          <w:tcPr>
            <w:tcW w:w="3019" w:type="dxa"/>
          </w:tcPr>
          <w:p>
            <w:pPr>
              <w:pStyle w:val="TableParagraph"/>
              <w:ind w:left="108" w:right="1021"/>
              <w:rPr>
                <w:sz w:val="20"/>
              </w:rPr>
            </w:pPr>
            <w:r>
              <w:rPr>
                <w:sz w:val="20"/>
              </w:rPr>
              <w:t>Mesaj ilgilenimi (message-involvement)</w:t>
            </w:r>
          </w:p>
        </w:tc>
        <w:tc>
          <w:tcPr>
            <w:tcW w:w="4039" w:type="dxa"/>
          </w:tcPr>
          <w:p>
            <w:pPr>
              <w:pStyle w:val="TableParagraph"/>
              <w:ind w:left="108"/>
              <w:rPr>
                <w:sz w:val="20"/>
              </w:rPr>
            </w:pPr>
            <w:r>
              <w:rPr>
                <w:sz w:val="20"/>
              </w:rPr>
              <w:t>Reklam ya da halkla ilişkiler faaliyetlerinin teşvik ettiği tartışmalar ile ilgili yorumda</w:t>
            </w:r>
          </w:p>
          <w:p>
            <w:pPr>
              <w:pStyle w:val="TableParagraph"/>
              <w:spacing w:line="208" w:lineRule="exact"/>
              <w:ind w:left="108"/>
              <w:rPr>
                <w:sz w:val="20"/>
              </w:rPr>
            </w:pPr>
            <w:r>
              <w:rPr>
                <w:sz w:val="20"/>
              </w:rPr>
              <w:t>bulunulur.</w:t>
            </w:r>
          </w:p>
        </w:tc>
      </w:tr>
      <w:tr>
        <w:trPr>
          <w:trHeight w:val="460" w:hRule="atLeast"/>
        </w:trPr>
        <w:tc>
          <w:tcPr>
            <w:tcW w:w="1726"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8"/>
              <w:ind w:left="0"/>
              <w:rPr>
                <w:sz w:val="21"/>
              </w:rPr>
            </w:pPr>
          </w:p>
          <w:p>
            <w:pPr>
              <w:pStyle w:val="TableParagraph"/>
              <w:ind w:left="187"/>
              <w:rPr>
                <w:sz w:val="20"/>
              </w:rPr>
            </w:pPr>
            <w:r>
              <w:rPr>
                <w:sz w:val="20"/>
              </w:rPr>
              <w:t>Engel vd. (1993)</w:t>
            </w:r>
          </w:p>
        </w:tc>
        <w:tc>
          <w:tcPr>
            <w:tcW w:w="3019" w:type="dxa"/>
          </w:tcPr>
          <w:p>
            <w:pPr>
              <w:pStyle w:val="TableParagraph"/>
              <w:ind w:left="108"/>
              <w:rPr>
                <w:sz w:val="20"/>
              </w:rPr>
            </w:pPr>
            <w:r>
              <w:rPr>
                <w:sz w:val="20"/>
              </w:rPr>
              <w:t>İlgilenim (involvement)</w:t>
            </w:r>
          </w:p>
        </w:tc>
        <w:tc>
          <w:tcPr>
            <w:tcW w:w="4039" w:type="dxa"/>
          </w:tcPr>
          <w:p>
            <w:pPr>
              <w:pStyle w:val="TableParagraph"/>
              <w:spacing w:line="230" w:lineRule="atLeast"/>
              <w:ind w:left="108"/>
              <w:rPr>
                <w:sz w:val="20"/>
              </w:rPr>
            </w:pPr>
            <w:r>
              <w:rPr>
                <w:sz w:val="20"/>
              </w:rPr>
              <w:t>Söz konusu konudaki ilgi veya katılım düzeyi tartışmayı teşvik eder.</w:t>
            </w:r>
          </w:p>
        </w:tc>
      </w:tr>
      <w:tr>
        <w:trPr>
          <w:trHeight w:val="1149" w:hRule="atLeast"/>
        </w:trPr>
        <w:tc>
          <w:tcPr>
            <w:tcW w:w="1726" w:type="dxa"/>
            <w:vMerge/>
            <w:tcBorders>
              <w:top w:val="nil"/>
            </w:tcBorders>
          </w:tcPr>
          <w:p>
            <w:pPr>
              <w:rPr>
                <w:sz w:val="2"/>
                <w:szCs w:val="2"/>
              </w:rPr>
            </w:pPr>
          </w:p>
        </w:tc>
        <w:tc>
          <w:tcPr>
            <w:tcW w:w="3019" w:type="dxa"/>
          </w:tcPr>
          <w:p>
            <w:pPr>
              <w:pStyle w:val="TableParagraph"/>
              <w:ind w:left="108" w:right="1355"/>
              <w:rPr>
                <w:sz w:val="20"/>
              </w:rPr>
            </w:pPr>
            <w:r>
              <w:rPr>
                <w:sz w:val="20"/>
              </w:rPr>
              <w:t>Kendini geliştirme (self-enhancement)</w:t>
            </w:r>
          </w:p>
        </w:tc>
        <w:tc>
          <w:tcPr>
            <w:tcW w:w="4039" w:type="dxa"/>
          </w:tcPr>
          <w:p>
            <w:pPr>
              <w:pStyle w:val="TableParagraph"/>
              <w:ind w:left="108" w:right="94"/>
              <w:jc w:val="both"/>
              <w:rPr>
                <w:sz w:val="20"/>
              </w:rPr>
            </w:pPr>
            <w:r>
              <w:rPr>
                <w:sz w:val="20"/>
              </w:rPr>
              <w:t>Tavsiyeler kişinin dikkat çekmesine, uzmanlık göstermesine, statü göstermesine, şirket içinden sızan bilgilere sahip olduğu izlenimini</w:t>
            </w:r>
          </w:p>
          <w:p>
            <w:pPr>
              <w:pStyle w:val="TableParagraph"/>
              <w:spacing w:line="228" w:lineRule="exact" w:before="6"/>
              <w:ind w:left="108" w:right="98"/>
              <w:jc w:val="both"/>
              <w:rPr>
                <w:sz w:val="20"/>
              </w:rPr>
            </w:pPr>
            <w:r>
              <w:rPr>
                <w:sz w:val="20"/>
              </w:rPr>
              <w:t>vermesine ve üstünlük iddia etmesine olanak sağlar.</w:t>
            </w:r>
          </w:p>
        </w:tc>
      </w:tr>
      <w:tr>
        <w:trPr>
          <w:trHeight w:val="688" w:hRule="atLeast"/>
        </w:trPr>
        <w:tc>
          <w:tcPr>
            <w:tcW w:w="1726" w:type="dxa"/>
            <w:vMerge/>
            <w:tcBorders>
              <w:top w:val="nil"/>
            </w:tcBorders>
          </w:tcPr>
          <w:p>
            <w:pPr>
              <w:rPr>
                <w:sz w:val="2"/>
                <w:szCs w:val="2"/>
              </w:rPr>
            </w:pPr>
          </w:p>
        </w:tc>
        <w:tc>
          <w:tcPr>
            <w:tcW w:w="3019" w:type="dxa"/>
          </w:tcPr>
          <w:p>
            <w:pPr>
              <w:pStyle w:val="TableParagraph"/>
              <w:ind w:left="108" w:right="1214"/>
              <w:rPr>
                <w:sz w:val="20"/>
              </w:rPr>
            </w:pPr>
            <w:r>
              <w:rPr>
                <w:sz w:val="20"/>
              </w:rPr>
              <w:t>Başkaları için endişe (concern for others)</w:t>
            </w:r>
          </w:p>
        </w:tc>
        <w:tc>
          <w:tcPr>
            <w:tcW w:w="4039" w:type="dxa"/>
          </w:tcPr>
          <w:p>
            <w:pPr>
              <w:pStyle w:val="TableParagraph"/>
              <w:spacing w:line="228" w:lineRule="exact"/>
              <w:ind w:left="108"/>
              <w:rPr>
                <w:sz w:val="20"/>
              </w:rPr>
            </w:pPr>
            <w:r>
              <w:rPr>
                <w:sz w:val="20"/>
              </w:rPr>
              <w:t>Bir arkadaşın veya akrabanın daha iyi bir satın</w:t>
            </w:r>
          </w:p>
          <w:p>
            <w:pPr>
              <w:pStyle w:val="TableParagraph"/>
              <w:spacing w:line="230" w:lineRule="atLeast" w:before="1"/>
              <w:ind w:left="108"/>
              <w:rPr>
                <w:sz w:val="20"/>
              </w:rPr>
            </w:pPr>
            <w:r>
              <w:rPr>
                <w:sz w:val="20"/>
              </w:rPr>
              <w:t>alma kararı vermesine yardım etmek için gerçek bir istek duyulur.</w:t>
            </w:r>
          </w:p>
        </w:tc>
      </w:tr>
      <w:tr>
        <w:trPr>
          <w:trHeight w:val="460" w:hRule="atLeast"/>
        </w:trPr>
        <w:tc>
          <w:tcPr>
            <w:tcW w:w="1726" w:type="dxa"/>
            <w:vMerge/>
            <w:tcBorders>
              <w:top w:val="nil"/>
            </w:tcBorders>
          </w:tcPr>
          <w:p>
            <w:pPr>
              <w:rPr>
                <w:sz w:val="2"/>
                <w:szCs w:val="2"/>
              </w:rPr>
            </w:pPr>
          </w:p>
        </w:tc>
        <w:tc>
          <w:tcPr>
            <w:tcW w:w="3019" w:type="dxa"/>
          </w:tcPr>
          <w:p>
            <w:pPr>
              <w:pStyle w:val="TableParagraph"/>
              <w:spacing w:line="230" w:lineRule="atLeast"/>
              <w:ind w:left="108" w:right="1014"/>
              <w:rPr>
                <w:sz w:val="20"/>
              </w:rPr>
            </w:pPr>
            <w:r>
              <w:rPr>
                <w:sz w:val="20"/>
              </w:rPr>
              <w:t>Mesajı eğlenceli bulma (message intrigue)</w:t>
            </w:r>
          </w:p>
        </w:tc>
        <w:tc>
          <w:tcPr>
            <w:tcW w:w="4039" w:type="dxa"/>
          </w:tcPr>
          <w:p>
            <w:pPr>
              <w:pStyle w:val="TableParagraph"/>
              <w:spacing w:line="230" w:lineRule="atLeast"/>
              <w:ind w:left="108"/>
              <w:rPr>
                <w:sz w:val="20"/>
              </w:rPr>
            </w:pPr>
            <w:r>
              <w:rPr>
                <w:sz w:val="20"/>
              </w:rPr>
              <w:t>Belirli reklam veya satış söylemleri hakkında konuşmaktan kaynaklı eğlenme söz konusudur.</w:t>
            </w:r>
          </w:p>
        </w:tc>
      </w:tr>
      <w:tr>
        <w:trPr>
          <w:trHeight w:val="460" w:hRule="atLeast"/>
        </w:trPr>
        <w:tc>
          <w:tcPr>
            <w:tcW w:w="1726" w:type="dxa"/>
            <w:vMerge/>
            <w:tcBorders>
              <w:top w:val="nil"/>
            </w:tcBorders>
          </w:tcPr>
          <w:p>
            <w:pPr>
              <w:rPr>
                <w:sz w:val="2"/>
                <w:szCs w:val="2"/>
              </w:rPr>
            </w:pPr>
          </w:p>
        </w:tc>
        <w:tc>
          <w:tcPr>
            <w:tcW w:w="3019" w:type="dxa"/>
          </w:tcPr>
          <w:p>
            <w:pPr>
              <w:pStyle w:val="TableParagraph"/>
              <w:spacing w:line="230" w:lineRule="atLeast"/>
              <w:ind w:left="108" w:right="1064"/>
              <w:rPr>
                <w:sz w:val="20"/>
              </w:rPr>
            </w:pPr>
            <w:r>
              <w:rPr>
                <w:sz w:val="20"/>
              </w:rPr>
              <w:t>Uyumsuzluk azaltma (dissonance reduction)</w:t>
            </w:r>
          </w:p>
        </w:tc>
        <w:tc>
          <w:tcPr>
            <w:tcW w:w="4039" w:type="dxa"/>
          </w:tcPr>
          <w:p>
            <w:pPr>
              <w:pStyle w:val="TableParagraph"/>
              <w:spacing w:line="230" w:lineRule="atLeast"/>
              <w:ind w:left="108"/>
              <w:rPr>
                <w:sz w:val="20"/>
              </w:rPr>
            </w:pPr>
            <w:r>
              <w:rPr>
                <w:sz w:val="20"/>
              </w:rPr>
              <w:t>Büyük bir satın alma kararını takiben bilişsel uyumsuzluğu (şüphe) azaltır.</w:t>
            </w:r>
          </w:p>
        </w:tc>
      </w:tr>
      <w:tr>
        <w:trPr>
          <w:trHeight w:val="460" w:hRule="atLeast"/>
        </w:trPr>
        <w:tc>
          <w:tcPr>
            <w:tcW w:w="1726" w:type="dxa"/>
          </w:tcPr>
          <w:p>
            <w:pPr>
              <w:pStyle w:val="TableParagraph"/>
              <w:spacing w:line="228" w:lineRule="exact" w:before="4"/>
              <w:ind w:left="595" w:right="278" w:hanging="288"/>
              <w:rPr>
                <w:sz w:val="20"/>
              </w:rPr>
            </w:pPr>
            <w:r>
              <w:rPr>
                <w:sz w:val="20"/>
              </w:rPr>
              <w:t>Sundaram vd. (1998)</w:t>
            </w:r>
          </w:p>
        </w:tc>
        <w:tc>
          <w:tcPr>
            <w:tcW w:w="3019" w:type="dxa"/>
          </w:tcPr>
          <w:p>
            <w:pPr>
              <w:pStyle w:val="TableParagraph"/>
              <w:spacing w:line="228" w:lineRule="exact" w:before="4"/>
              <w:ind w:left="108"/>
              <w:rPr>
                <w:sz w:val="20"/>
              </w:rPr>
            </w:pPr>
            <w:r>
              <w:rPr>
                <w:sz w:val="20"/>
              </w:rPr>
              <w:t>Başkalarını düşünme (altruism) (Olumlu ağızdan ağıza iletişim)</w:t>
            </w:r>
          </w:p>
        </w:tc>
        <w:tc>
          <w:tcPr>
            <w:tcW w:w="4039" w:type="dxa"/>
          </w:tcPr>
          <w:p>
            <w:pPr>
              <w:pStyle w:val="TableParagraph"/>
              <w:spacing w:line="228" w:lineRule="exact" w:before="4"/>
              <w:ind w:left="108"/>
              <w:rPr>
                <w:sz w:val="20"/>
              </w:rPr>
            </w:pPr>
            <w:r>
              <w:rPr>
                <w:sz w:val="20"/>
              </w:rPr>
              <w:t>Karşılığında herhangi bir ödül beklemeden başkaları için bir şeyler yapma eylemidir.</w:t>
            </w:r>
          </w:p>
        </w:tc>
      </w:tr>
    </w:tbl>
    <w:p>
      <w:pPr>
        <w:spacing w:after="0" w:line="228" w:lineRule="exact"/>
        <w:rPr>
          <w:sz w:val="20"/>
        </w:rPr>
        <w:sectPr>
          <w:pgSz w:w="12240" w:h="15840"/>
          <w:pgMar w:header="718" w:footer="0" w:top="1300" w:bottom="280" w:left="1720" w:right="820"/>
        </w:sectPr>
      </w:pPr>
    </w:p>
    <w:p>
      <w:pPr>
        <w:pStyle w:val="BodyText"/>
        <w:spacing w:before="9"/>
        <w:ind w:left="0"/>
        <w:jc w:val="left"/>
        <w:rPr>
          <w:sz w:val="8"/>
        </w:rPr>
      </w:pPr>
    </w:p>
    <w:tbl>
      <w:tblPr>
        <w:tblW w:w="0" w:type="auto"/>
        <w:jc w:val="lef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6"/>
        <w:gridCol w:w="1171"/>
        <w:gridCol w:w="1848"/>
        <w:gridCol w:w="4039"/>
      </w:tblGrid>
      <w:tr>
        <w:trPr>
          <w:trHeight w:val="688" w:hRule="atLeast"/>
        </w:trPr>
        <w:tc>
          <w:tcPr>
            <w:tcW w:w="1726" w:type="dxa"/>
            <w:vMerge w:val="restart"/>
          </w:tcPr>
          <w:p>
            <w:pPr>
              <w:pStyle w:val="TableParagraph"/>
              <w:ind w:left="0"/>
              <w:rPr>
                <w:sz w:val="20"/>
              </w:rPr>
            </w:pPr>
          </w:p>
        </w:tc>
        <w:tc>
          <w:tcPr>
            <w:tcW w:w="3019" w:type="dxa"/>
            <w:gridSpan w:val="2"/>
          </w:tcPr>
          <w:p>
            <w:pPr>
              <w:pStyle w:val="TableParagraph"/>
              <w:ind w:left="108" w:right="1087"/>
              <w:rPr>
                <w:sz w:val="20"/>
              </w:rPr>
            </w:pPr>
            <w:r>
              <w:rPr>
                <w:sz w:val="20"/>
              </w:rPr>
              <w:t>Ürün ilgilenimi (product involvement)</w:t>
            </w:r>
          </w:p>
        </w:tc>
        <w:tc>
          <w:tcPr>
            <w:tcW w:w="4039" w:type="dxa"/>
          </w:tcPr>
          <w:p>
            <w:pPr>
              <w:pStyle w:val="TableParagraph"/>
              <w:ind w:left="108"/>
              <w:rPr>
                <w:sz w:val="20"/>
              </w:rPr>
            </w:pPr>
            <w:r>
              <w:rPr>
                <w:sz w:val="20"/>
              </w:rPr>
              <w:t>Ürüne kişisel ilgi, ürün sahipliği ve ürün</w:t>
            </w:r>
          </w:p>
          <w:p>
            <w:pPr>
              <w:pStyle w:val="TableParagraph"/>
              <w:tabs>
                <w:tab w:pos="1765" w:val="left" w:leader="none"/>
                <w:tab w:pos="3276" w:val="left" w:leader="none"/>
              </w:tabs>
              <w:spacing w:line="228" w:lineRule="exact" w:before="5"/>
              <w:ind w:left="108" w:right="97"/>
              <w:rPr>
                <w:sz w:val="20"/>
              </w:rPr>
            </w:pPr>
            <w:r>
              <w:rPr>
                <w:sz w:val="20"/>
              </w:rPr>
              <w:t>kullanımından</w:t>
              <w:tab/>
              <w:t>kaynaklanan</w:t>
              <w:tab/>
            </w:r>
            <w:r>
              <w:rPr>
                <w:spacing w:val="-3"/>
                <w:sz w:val="20"/>
              </w:rPr>
              <w:t>heyecan </w:t>
            </w:r>
            <w:r>
              <w:rPr>
                <w:sz w:val="20"/>
              </w:rPr>
              <w:t>duyulmasıdır.</w:t>
            </w:r>
          </w:p>
        </w:tc>
      </w:tr>
      <w:tr>
        <w:trPr>
          <w:trHeight w:val="688" w:hRule="atLeast"/>
        </w:trPr>
        <w:tc>
          <w:tcPr>
            <w:tcW w:w="1726" w:type="dxa"/>
            <w:vMerge/>
            <w:tcBorders>
              <w:top w:val="nil"/>
            </w:tcBorders>
          </w:tcPr>
          <w:p>
            <w:pPr>
              <w:rPr>
                <w:sz w:val="2"/>
                <w:szCs w:val="2"/>
              </w:rPr>
            </w:pPr>
          </w:p>
        </w:tc>
        <w:tc>
          <w:tcPr>
            <w:tcW w:w="3019" w:type="dxa"/>
            <w:gridSpan w:val="2"/>
          </w:tcPr>
          <w:p>
            <w:pPr>
              <w:pStyle w:val="TableParagraph"/>
              <w:ind w:left="108" w:right="1355"/>
              <w:rPr>
                <w:sz w:val="20"/>
              </w:rPr>
            </w:pPr>
            <w:r>
              <w:rPr>
                <w:sz w:val="20"/>
              </w:rPr>
              <w:t>Kendini geliştirme (self-enhancement)</w:t>
            </w:r>
          </w:p>
        </w:tc>
        <w:tc>
          <w:tcPr>
            <w:tcW w:w="4039" w:type="dxa"/>
          </w:tcPr>
          <w:p>
            <w:pPr>
              <w:pStyle w:val="TableParagraph"/>
              <w:spacing w:line="230" w:lineRule="exact" w:before="1"/>
              <w:ind w:left="108" w:right="96"/>
              <w:jc w:val="both"/>
              <w:rPr>
                <w:sz w:val="20"/>
              </w:rPr>
            </w:pPr>
            <w:r>
              <w:rPr>
                <w:sz w:val="20"/>
              </w:rPr>
              <w:t>Kendini akıllı tüketici olarak göstererek, diğer tüketiciler arasında imajını zenginleştirme maksatlıdır.</w:t>
            </w:r>
          </w:p>
        </w:tc>
      </w:tr>
      <w:tr>
        <w:trPr>
          <w:trHeight w:val="458" w:hRule="atLeast"/>
        </w:trPr>
        <w:tc>
          <w:tcPr>
            <w:tcW w:w="1726" w:type="dxa"/>
            <w:vMerge/>
            <w:tcBorders>
              <w:top w:val="nil"/>
            </w:tcBorders>
          </w:tcPr>
          <w:p>
            <w:pPr>
              <w:rPr>
                <w:sz w:val="2"/>
                <w:szCs w:val="2"/>
              </w:rPr>
            </w:pPr>
          </w:p>
        </w:tc>
        <w:tc>
          <w:tcPr>
            <w:tcW w:w="3019" w:type="dxa"/>
            <w:gridSpan w:val="2"/>
          </w:tcPr>
          <w:p>
            <w:pPr>
              <w:pStyle w:val="TableParagraph"/>
              <w:spacing w:line="230" w:lineRule="exact"/>
              <w:ind w:left="108" w:right="1070"/>
              <w:rPr>
                <w:sz w:val="20"/>
              </w:rPr>
            </w:pPr>
            <w:r>
              <w:rPr>
                <w:sz w:val="20"/>
              </w:rPr>
              <w:t>Şirkete yardım etme (helping the company)</w:t>
            </w:r>
          </w:p>
        </w:tc>
        <w:tc>
          <w:tcPr>
            <w:tcW w:w="4039" w:type="dxa"/>
          </w:tcPr>
          <w:p>
            <w:pPr>
              <w:pStyle w:val="TableParagraph"/>
              <w:spacing w:line="228" w:lineRule="exact"/>
              <w:ind w:left="108"/>
              <w:rPr>
                <w:sz w:val="20"/>
              </w:rPr>
            </w:pPr>
            <w:r>
              <w:rPr>
                <w:sz w:val="20"/>
              </w:rPr>
              <w:t>Şirkete yardım etme isteği duyulur.</w:t>
            </w:r>
          </w:p>
        </w:tc>
      </w:tr>
      <w:tr>
        <w:trPr>
          <w:trHeight w:val="458" w:hRule="atLeast"/>
        </w:trPr>
        <w:tc>
          <w:tcPr>
            <w:tcW w:w="1726" w:type="dxa"/>
            <w:vMerge/>
            <w:tcBorders>
              <w:top w:val="nil"/>
            </w:tcBorders>
          </w:tcPr>
          <w:p>
            <w:pPr>
              <w:rPr>
                <w:sz w:val="2"/>
                <w:szCs w:val="2"/>
              </w:rPr>
            </w:pPr>
          </w:p>
        </w:tc>
        <w:tc>
          <w:tcPr>
            <w:tcW w:w="3019" w:type="dxa"/>
            <w:gridSpan w:val="2"/>
          </w:tcPr>
          <w:p>
            <w:pPr>
              <w:pStyle w:val="TableParagraph"/>
              <w:spacing w:line="230" w:lineRule="exact" w:before="1"/>
              <w:ind w:left="108"/>
              <w:rPr>
                <w:sz w:val="20"/>
              </w:rPr>
            </w:pPr>
            <w:r>
              <w:rPr>
                <w:sz w:val="20"/>
              </w:rPr>
              <w:t>Başkalarını düşünme (altruism) (Olumsuz ağızdan ağıza iletişim)</w:t>
            </w:r>
          </w:p>
        </w:tc>
        <w:tc>
          <w:tcPr>
            <w:tcW w:w="4039" w:type="dxa"/>
          </w:tcPr>
          <w:p>
            <w:pPr>
              <w:pStyle w:val="TableParagraph"/>
              <w:spacing w:line="230" w:lineRule="exact" w:before="1"/>
              <w:ind w:left="108"/>
              <w:rPr>
                <w:sz w:val="20"/>
              </w:rPr>
            </w:pPr>
            <w:r>
              <w:rPr>
                <w:sz w:val="20"/>
              </w:rPr>
              <w:t>Karşılaşılan sorunu başkalarının yaşamasını engelleme arzusu vardır.</w:t>
            </w:r>
          </w:p>
        </w:tc>
      </w:tr>
      <w:tr>
        <w:trPr>
          <w:trHeight w:val="457" w:hRule="atLeast"/>
        </w:trPr>
        <w:tc>
          <w:tcPr>
            <w:tcW w:w="1726" w:type="dxa"/>
            <w:vMerge/>
            <w:tcBorders>
              <w:top w:val="nil"/>
            </w:tcBorders>
          </w:tcPr>
          <w:p>
            <w:pPr>
              <w:rPr>
                <w:sz w:val="2"/>
                <w:szCs w:val="2"/>
              </w:rPr>
            </w:pPr>
          </w:p>
        </w:tc>
        <w:tc>
          <w:tcPr>
            <w:tcW w:w="3019" w:type="dxa"/>
            <w:gridSpan w:val="2"/>
          </w:tcPr>
          <w:p>
            <w:pPr>
              <w:pStyle w:val="TableParagraph"/>
              <w:spacing w:line="228" w:lineRule="exact"/>
              <w:ind w:left="108"/>
              <w:rPr>
                <w:sz w:val="20"/>
              </w:rPr>
            </w:pPr>
            <w:r>
              <w:rPr>
                <w:sz w:val="20"/>
              </w:rPr>
              <w:t>Kaygı azaltma (anxiety reduction)</w:t>
            </w:r>
          </w:p>
        </w:tc>
        <w:tc>
          <w:tcPr>
            <w:tcW w:w="4039" w:type="dxa"/>
          </w:tcPr>
          <w:p>
            <w:pPr>
              <w:pStyle w:val="TableParagraph"/>
              <w:spacing w:line="230" w:lineRule="exact"/>
              <w:ind w:left="108" w:right="97"/>
              <w:rPr>
                <w:sz w:val="20"/>
              </w:rPr>
            </w:pPr>
            <w:r>
              <w:rPr>
                <w:sz w:val="20"/>
              </w:rPr>
              <w:t>Öfke, endişe ve hayal kırıklığını hafifletme isteği duyulur.</w:t>
            </w:r>
          </w:p>
        </w:tc>
      </w:tr>
      <w:tr>
        <w:trPr>
          <w:trHeight w:val="455" w:hRule="atLeast"/>
        </w:trPr>
        <w:tc>
          <w:tcPr>
            <w:tcW w:w="1726" w:type="dxa"/>
            <w:vMerge/>
            <w:tcBorders>
              <w:top w:val="nil"/>
            </w:tcBorders>
          </w:tcPr>
          <w:p>
            <w:pPr>
              <w:rPr>
                <w:sz w:val="2"/>
                <w:szCs w:val="2"/>
              </w:rPr>
            </w:pPr>
          </w:p>
        </w:tc>
        <w:tc>
          <w:tcPr>
            <w:tcW w:w="3019" w:type="dxa"/>
            <w:gridSpan w:val="2"/>
          </w:tcPr>
          <w:p>
            <w:pPr>
              <w:pStyle w:val="TableParagraph"/>
              <w:spacing w:line="228" w:lineRule="exact"/>
              <w:ind w:left="108"/>
              <w:rPr>
                <w:sz w:val="20"/>
              </w:rPr>
            </w:pPr>
            <w:r>
              <w:rPr>
                <w:sz w:val="20"/>
              </w:rPr>
              <w:t>İntikam (vengeance)</w:t>
            </w:r>
          </w:p>
        </w:tc>
        <w:tc>
          <w:tcPr>
            <w:tcW w:w="4039" w:type="dxa"/>
          </w:tcPr>
          <w:p>
            <w:pPr>
              <w:pStyle w:val="TableParagraph"/>
              <w:spacing w:line="228" w:lineRule="exact" w:before="2"/>
              <w:ind w:left="108"/>
              <w:rPr>
                <w:sz w:val="20"/>
              </w:rPr>
            </w:pPr>
            <w:r>
              <w:rPr>
                <w:sz w:val="20"/>
              </w:rPr>
              <w:t>Olumsuz tüketim tecrübesi sebebiyle şirkete misilleme yapma amacı vardır.</w:t>
            </w:r>
          </w:p>
        </w:tc>
      </w:tr>
      <w:tr>
        <w:trPr>
          <w:trHeight w:val="458" w:hRule="atLeast"/>
        </w:trPr>
        <w:tc>
          <w:tcPr>
            <w:tcW w:w="1726" w:type="dxa"/>
            <w:vMerge/>
            <w:tcBorders>
              <w:top w:val="nil"/>
            </w:tcBorders>
          </w:tcPr>
          <w:p>
            <w:pPr>
              <w:rPr>
                <w:sz w:val="2"/>
                <w:szCs w:val="2"/>
              </w:rPr>
            </w:pPr>
          </w:p>
        </w:tc>
        <w:tc>
          <w:tcPr>
            <w:tcW w:w="3019" w:type="dxa"/>
            <w:gridSpan w:val="2"/>
          </w:tcPr>
          <w:p>
            <w:pPr>
              <w:pStyle w:val="TableParagraph"/>
              <w:spacing w:line="228" w:lineRule="exact"/>
              <w:ind w:left="108"/>
              <w:rPr>
                <w:sz w:val="20"/>
              </w:rPr>
            </w:pPr>
            <w:r>
              <w:rPr>
                <w:sz w:val="20"/>
              </w:rPr>
              <w:t>Tavsiye arama (advice seeking)</w:t>
            </w:r>
          </w:p>
        </w:tc>
        <w:tc>
          <w:tcPr>
            <w:tcW w:w="4039" w:type="dxa"/>
          </w:tcPr>
          <w:p>
            <w:pPr>
              <w:pStyle w:val="TableParagraph"/>
              <w:spacing w:line="230" w:lineRule="exact" w:before="1"/>
              <w:ind w:left="108" w:right="97"/>
              <w:rPr>
                <w:sz w:val="20"/>
              </w:rPr>
            </w:pPr>
            <w:r>
              <w:rPr>
                <w:sz w:val="20"/>
              </w:rPr>
              <w:t>Problemlerin nasıl çözüleceğine dair tavsiye alma amacı bulunmaktadır.</w:t>
            </w:r>
          </w:p>
        </w:tc>
      </w:tr>
      <w:tr>
        <w:trPr>
          <w:trHeight w:val="458" w:hRule="atLeast"/>
        </w:trPr>
        <w:tc>
          <w:tcPr>
            <w:tcW w:w="1726"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3"/>
              <w:ind w:left="0"/>
              <w:rPr>
                <w:sz w:val="25"/>
              </w:rPr>
            </w:pPr>
          </w:p>
          <w:p>
            <w:pPr>
              <w:pStyle w:val="TableParagraph"/>
              <w:ind w:left="446" w:right="4" w:hanging="202"/>
              <w:rPr>
                <w:sz w:val="20"/>
              </w:rPr>
            </w:pPr>
            <w:r>
              <w:rPr>
                <w:spacing w:val="-1"/>
                <w:w w:val="99"/>
                <w:sz w:val="20"/>
              </w:rPr>
              <w:t>He</w:t>
            </w:r>
            <w:r>
              <w:rPr>
                <w:spacing w:val="1"/>
                <w:w w:val="99"/>
                <w:sz w:val="20"/>
              </w:rPr>
              <w:t>nn</w:t>
            </w:r>
            <w:r>
              <w:rPr>
                <w:w w:val="99"/>
                <w:sz w:val="20"/>
              </w:rPr>
              <w:t>ig</w:t>
            </w:r>
            <w:r>
              <w:rPr>
                <w:w w:val="42"/>
                <w:sz w:val="20"/>
              </w:rPr>
              <w:t>‐</w:t>
            </w:r>
            <w:r>
              <w:rPr>
                <w:w w:val="99"/>
                <w:sz w:val="20"/>
              </w:rPr>
              <w:t>T</w:t>
            </w:r>
            <w:r>
              <w:rPr>
                <w:spacing w:val="-2"/>
                <w:w w:val="99"/>
                <w:sz w:val="20"/>
              </w:rPr>
              <w:t>h</w:t>
            </w:r>
            <w:r>
              <w:rPr>
                <w:spacing w:val="1"/>
                <w:w w:val="99"/>
                <w:sz w:val="20"/>
              </w:rPr>
              <w:t>u</w:t>
            </w:r>
            <w:r>
              <w:rPr>
                <w:w w:val="99"/>
                <w:sz w:val="20"/>
              </w:rPr>
              <w:t>rau </w:t>
            </w:r>
            <w:r>
              <w:rPr>
                <w:spacing w:val="1"/>
                <w:w w:val="99"/>
                <w:sz w:val="20"/>
              </w:rPr>
              <w:t>vd</w:t>
            </w:r>
            <w:r>
              <w:rPr>
                <w:w w:val="99"/>
                <w:sz w:val="20"/>
              </w:rPr>
              <w:t>.</w:t>
            </w:r>
            <w:r>
              <w:rPr>
                <w:sz w:val="20"/>
              </w:rPr>
              <w:t> </w:t>
            </w:r>
            <w:r>
              <w:rPr>
                <w:spacing w:val="-2"/>
                <w:w w:val="99"/>
                <w:sz w:val="20"/>
              </w:rPr>
              <w:t>(</w:t>
            </w:r>
            <w:r>
              <w:rPr>
                <w:spacing w:val="1"/>
                <w:w w:val="99"/>
                <w:sz w:val="20"/>
              </w:rPr>
              <w:t>20</w:t>
            </w:r>
            <w:r>
              <w:rPr>
                <w:spacing w:val="-2"/>
                <w:w w:val="99"/>
                <w:sz w:val="20"/>
              </w:rPr>
              <w:t>0</w:t>
            </w:r>
            <w:r>
              <w:rPr>
                <w:spacing w:val="1"/>
                <w:w w:val="99"/>
                <w:sz w:val="20"/>
              </w:rPr>
              <w:t>4</w:t>
            </w:r>
            <w:r>
              <w:rPr>
                <w:w w:val="99"/>
                <w:sz w:val="20"/>
              </w:rPr>
              <w:t>)</w:t>
            </w:r>
          </w:p>
        </w:tc>
        <w:tc>
          <w:tcPr>
            <w:tcW w:w="1171" w:type="dxa"/>
            <w:vMerge w:val="restart"/>
          </w:tcPr>
          <w:p>
            <w:pPr>
              <w:pStyle w:val="TableParagraph"/>
              <w:ind w:left="0"/>
              <w:rPr>
                <w:sz w:val="22"/>
              </w:rPr>
            </w:pPr>
          </w:p>
          <w:p>
            <w:pPr>
              <w:pStyle w:val="TableParagraph"/>
              <w:spacing w:before="2"/>
              <w:ind w:left="0"/>
              <w:rPr>
                <w:sz w:val="30"/>
              </w:rPr>
            </w:pPr>
          </w:p>
          <w:p>
            <w:pPr>
              <w:pStyle w:val="TableParagraph"/>
              <w:ind w:left="148" w:right="121" w:firstLine="146"/>
              <w:rPr>
                <w:sz w:val="20"/>
              </w:rPr>
            </w:pPr>
            <w:r>
              <w:rPr>
                <w:sz w:val="20"/>
              </w:rPr>
              <w:t>Odakla ilgili fayda</w:t>
            </w:r>
          </w:p>
        </w:tc>
        <w:tc>
          <w:tcPr>
            <w:tcW w:w="1848" w:type="dxa"/>
          </w:tcPr>
          <w:p>
            <w:pPr>
              <w:pStyle w:val="TableParagraph"/>
              <w:tabs>
                <w:tab w:pos="1439" w:val="left" w:leader="none"/>
              </w:tabs>
              <w:spacing w:line="230" w:lineRule="exact" w:before="1"/>
              <w:ind w:left="108" w:right="97"/>
              <w:rPr>
                <w:sz w:val="20"/>
              </w:rPr>
            </w:pPr>
            <w:r>
              <w:rPr>
                <w:sz w:val="20"/>
              </w:rPr>
              <w:t>Başkaları</w:t>
              <w:tab/>
            </w:r>
            <w:r>
              <w:rPr>
                <w:spacing w:val="-5"/>
                <w:sz w:val="20"/>
              </w:rPr>
              <w:t>için </w:t>
            </w:r>
            <w:r>
              <w:rPr>
                <w:sz w:val="20"/>
              </w:rPr>
              <w:t>endişe</w:t>
            </w:r>
          </w:p>
        </w:tc>
        <w:tc>
          <w:tcPr>
            <w:tcW w:w="4039" w:type="dxa"/>
          </w:tcPr>
          <w:p>
            <w:pPr>
              <w:pStyle w:val="TableParagraph"/>
              <w:spacing w:line="230" w:lineRule="exact" w:before="1"/>
              <w:ind w:left="108"/>
              <w:rPr>
                <w:sz w:val="20"/>
              </w:rPr>
            </w:pPr>
            <w:r>
              <w:rPr>
                <w:sz w:val="20"/>
              </w:rPr>
              <w:t>Diğerlerinin daha iyi bir satın alma yapmasına yardım etme amaçlanmaktadır.</w:t>
            </w:r>
          </w:p>
        </w:tc>
      </w:tr>
      <w:tr>
        <w:trPr>
          <w:trHeight w:val="354" w:hRule="atLeast"/>
        </w:trPr>
        <w:tc>
          <w:tcPr>
            <w:tcW w:w="1726" w:type="dxa"/>
            <w:vMerge/>
            <w:tcBorders>
              <w:top w:val="nil"/>
            </w:tcBorders>
          </w:tcPr>
          <w:p>
            <w:pPr>
              <w:rPr>
                <w:sz w:val="2"/>
                <w:szCs w:val="2"/>
              </w:rPr>
            </w:pPr>
          </w:p>
        </w:tc>
        <w:tc>
          <w:tcPr>
            <w:tcW w:w="1171" w:type="dxa"/>
            <w:vMerge/>
            <w:tcBorders>
              <w:top w:val="nil"/>
            </w:tcBorders>
          </w:tcPr>
          <w:p>
            <w:pPr>
              <w:rPr>
                <w:sz w:val="2"/>
                <w:szCs w:val="2"/>
              </w:rPr>
            </w:pPr>
          </w:p>
        </w:tc>
        <w:tc>
          <w:tcPr>
            <w:tcW w:w="1848" w:type="dxa"/>
          </w:tcPr>
          <w:p>
            <w:pPr>
              <w:pStyle w:val="TableParagraph"/>
              <w:spacing w:line="227" w:lineRule="exact"/>
              <w:ind w:left="108"/>
              <w:rPr>
                <w:sz w:val="20"/>
              </w:rPr>
            </w:pPr>
            <w:r>
              <w:rPr>
                <w:sz w:val="20"/>
              </w:rPr>
              <w:t>Şirkete yardım etme</w:t>
            </w:r>
          </w:p>
        </w:tc>
        <w:tc>
          <w:tcPr>
            <w:tcW w:w="4039" w:type="dxa"/>
          </w:tcPr>
          <w:p>
            <w:pPr>
              <w:pStyle w:val="TableParagraph"/>
              <w:spacing w:line="227" w:lineRule="exact"/>
              <w:ind w:left="108"/>
              <w:rPr>
                <w:sz w:val="20"/>
              </w:rPr>
            </w:pPr>
            <w:r>
              <w:rPr>
                <w:sz w:val="20"/>
              </w:rPr>
              <w:t>Şirkete yardım etme isteği duyulur.</w:t>
            </w:r>
          </w:p>
        </w:tc>
      </w:tr>
      <w:tr>
        <w:trPr>
          <w:trHeight w:val="357" w:hRule="atLeast"/>
        </w:trPr>
        <w:tc>
          <w:tcPr>
            <w:tcW w:w="1726" w:type="dxa"/>
            <w:vMerge/>
            <w:tcBorders>
              <w:top w:val="nil"/>
            </w:tcBorders>
          </w:tcPr>
          <w:p>
            <w:pPr>
              <w:rPr>
                <w:sz w:val="2"/>
                <w:szCs w:val="2"/>
              </w:rPr>
            </w:pPr>
          </w:p>
        </w:tc>
        <w:tc>
          <w:tcPr>
            <w:tcW w:w="1171" w:type="dxa"/>
            <w:vMerge/>
            <w:tcBorders>
              <w:top w:val="nil"/>
            </w:tcBorders>
          </w:tcPr>
          <w:p>
            <w:pPr>
              <w:rPr>
                <w:sz w:val="2"/>
                <w:szCs w:val="2"/>
              </w:rPr>
            </w:pPr>
          </w:p>
        </w:tc>
        <w:tc>
          <w:tcPr>
            <w:tcW w:w="1848" w:type="dxa"/>
          </w:tcPr>
          <w:p>
            <w:pPr>
              <w:pStyle w:val="TableParagraph"/>
              <w:ind w:left="108"/>
              <w:rPr>
                <w:sz w:val="20"/>
              </w:rPr>
            </w:pPr>
            <w:r>
              <w:rPr>
                <w:sz w:val="20"/>
              </w:rPr>
              <w:t>Sosyal faydalar</w:t>
            </w:r>
          </w:p>
        </w:tc>
        <w:tc>
          <w:tcPr>
            <w:tcW w:w="4039" w:type="dxa"/>
          </w:tcPr>
          <w:p>
            <w:pPr>
              <w:pStyle w:val="TableParagraph"/>
              <w:ind w:left="108"/>
              <w:rPr>
                <w:sz w:val="20"/>
              </w:rPr>
            </w:pPr>
            <w:r>
              <w:rPr>
                <w:sz w:val="20"/>
              </w:rPr>
              <w:t>Sosyal topluluklara dahil olma isteği duyulur.</w:t>
            </w:r>
          </w:p>
        </w:tc>
      </w:tr>
      <w:tr>
        <w:trPr>
          <w:trHeight w:val="460" w:hRule="atLeast"/>
        </w:trPr>
        <w:tc>
          <w:tcPr>
            <w:tcW w:w="1726" w:type="dxa"/>
            <w:vMerge/>
            <w:tcBorders>
              <w:top w:val="nil"/>
            </w:tcBorders>
          </w:tcPr>
          <w:p>
            <w:pPr>
              <w:rPr>
                <w:sz w:val="2"/>
                <w:szCs w:val="2"/>
              </w:rPr>
            </w:pPr>
          </w:p>
        </w:tc>
        <w:tc>
          <w:tcPr>
            <w:tcW w:w="1171" w:type="dxa"/>
            <w:vMerge/>
            <w:tcBorders>
              <w:top w:val="nil"/>
            </w:tcBorders>
          </w:tcPr>
          <w:p>
            <w:pPr>
              <w:rPr>
                <w:sz w:val="2"/>
                <w:szCs w:val="2"/>
              </w:rPr>
            </w:pPr>
          </w:p>
        </w:tc>
        <w:tc>
          <w:tcPr>
            <w:tcW w:w="1848" w:type="dxa"/>
          </w:tcPr>
          <w:p>
            <w:pPr>
              <w:pStyle w:val="TableParagraph"/>
              <w:ind w:left="108"/>
              <w:rPr>
                <w:sz w:val="20"/>
              </w:rPr>
            </w:pPr>
            <w:r>
              <w:rPr>
                <w:sz w:val="20"/>
              </w:rPr>
              <w:t>Güç kullanma</w:t>
            </w:r>
          </w:p>
        </w:tc>
        <w:tc>
          <w:tcPr>
            <w:tcW w:w="4039" w:type="dxa"/>
          </w:tcPr>
          <w:p>
            <w:pPr>
              <w:pStyle w:val="TableParagraph"/>
              <w:spacing w:line="230" w:lineRule="atLeast"/>
              <w:ind w:left="108"/>
              <w:rPr>
                <w:sz w:val="20"/>
              </w:rPr>
            </w:pPr>
            <w:r>
              <w:rPr>
                <w:sz w:val="20"/>
              </w:rPr>
              <w:t>Olumsuz deneyim sonrası şirkete karşı güç kullanma amaçlanmaktadır.</w:t>
            </w:r>
          </w:p>
        </w:tc>
      </w:tr>
      <w:tr>
        <w:trPr>
          <w:trHeight w:val="688" w:hRule="atLeast"/>
        </w:trPr>
        <w:tc>
          <w:tcPr>
            <w:tcW w:w="1726" w:type="dxa"/>
            <w:vMerge/>
            <w:tcBorders>
              <w:top w:val="nil"/>
            </w:tcBorders>
          </w:tcPr>
          <w:p>
            <w:pPr>
              <w:rPr>
                <w:sz w:val="2"/>
                <w:szCs w:val="2"/>
              </w:rPr>
            </w:pPr>
          </w:p>
        </w:tc>
        <w:tc>
          <w:tcPr>
            <w:tcW w:w="1171" w:type="dxa"/>
          </w:tcPr>
          <w:p>
            <w:pPr>
              <w:pStyle w:val="TableParagraph"/>
              <w:ind w:left="108" w:right="355"/>
              <w:rPr>
                <w:sz w:val="20"/>
              </w:rPr>
            </w:pPr>
            <w:r>
              <w:rPr>
                <w:sz w:val="20"/>
              </w:rPr>
              <w:t>Tüketim faydası</w:t>
            </w:r>
          </w:p>
        </w:tc>
        <w:tc>
          <w:tcPr>
            <w:tcW w:w="1848" w:type="dxa"/>
          </w:tcPr>
          <w:p>
            <w:pPr>
              <w:pStyle w:val="TableParagraph"/>
              <w:ind w:left="108" w:right="97"/>
              <w:rPr>
                <w:sz w:val="20"/>
              </w:rPr>
            </w:pPr>
            <w:r>
              <w:rPr>
                <w:sz w:val="20"/>
              </w:rPr>
              <w:t>Satın alma sonrası tavsiye arama</w:t>
            </w:r>
          </w:p>
        </w:tc>
        <w:tc>
          <w:tcPr>
            <w:tcW w:w="4039" w:type="dxa"/>
          </w:tcPr>
          <w:p>
            <w:pPr>
              <w:pStyle w:val="TableParagraph"/>
              <w:ind w:left="108"/>
              <w:rPr>
                <w:sz w:val="20"/>
              </w:rPr>
            </w:pPr>
            <w:r>
              <w:rPr>
                <w:sz w:val="20"/>
              </w:rPr>
              <w:t>Ürünü daha iyi kullanmak, çalıştırmak, tamir etmek ve/veya geliştirmek için gerekli bilgilerin</w:t>
            </w:r>
          </w:p>
          <w:p>
            <w:pPr>
              <w:pStyle w:val="TableParagraph"/>
              <w:spacing w:line="208" w:lineRule="exact"/>
              <w:ind w:left="108"/>
              <w:rPr>
                <w:sz w:val="20"/>
              </w:rPr>
            </w:pPr>
            <w:r>
              <w:rPr>
                <w:sz w:val="20"/>
              </w:rPr>
              <w:t>edinilmesi amaçlanmaktadır.</w:t>
            </w:r>
          </w:p>
        </w:tc>
      </w:tr>
      <w:tr>
        <w:trPr>
          <w:trHeight w:val="690" w:hRule="atLeast"/>
        </w:trPr>
        <w:tc>
          <w:tcPr>
            <w:tcW w:w="1726" w:type="dxa"/>
            <w:vMerge/>
            <w:tcBorders>
              <w:top w:val="nil"/>
            </w:tcBorders>
          </w:tcPr>
          <w:p>
            <w:pPr>
              <w:rPr>
                <w:sz w:val="2"/>
                <w:szCs w:val="2"/>
              </w:rPr>
            </w:pPr>
          </w:p>
        </w:tc>
        <w:tc>
          <w:tcPr>
            <w:tcW w:w="1171" w:type="dxa"/>
            <w:vMerge w:val="restart"/>
          </w:tcPr>
          <w:p>
            <w:pPr>
              <w:pStyle w:val="TableParagraph"/>
              <w:ind w:left="0"/>
              <w:rPr>
                <w:sz w:val="22"/>
              </w:rPr>
            </w:pPr>
          </w:p>
          <w:p>
            <w:pPr>
              <w:pStyle w:val="TableParagraph"/>
              <w:spacing w:before="5"/>
              <w:ind w:left="0"/>
              <w:rPr>
                <w:sz w:val="18"/>
              </w:rPr>
            </w:pPr>
          </w:p>
          <w:p>
            <w:pPr>
              <w:pStyle w:val="TableParagraph"/>
              <w:spacing w:before="1"/>
              <w:ind w:left="295" w:right="268" w:firstLine="72"/>
              <w:rPr>
                <w:sz w:val="20"/>
              </w:rPr>
            </w:pPr>
            <w:r>
              <w:rPr>
                <w:sz w:val="20"/>
              </w:rPr>
              <w:t>Onay faydası</w:t>
            </w:r>
          </w:p>
        </w:tc>
        <w:tc>
          <w:tcPr>
            <w:tcW w:w="1848" w:type="dxa"/>
          </w:tcPr>
          <w:p>
            <w:pPr>
              <w:pStyle w:val="TableParagraph"/>
              <w:ind w:left="108"/>
              <w:rPr>
                <w:sz w:val="20"/>
              </w:rPr>
            </w:pPr>
            <w:r>
              <w:rPr>
                <w:sz w:val="20"/>
              </w:rPr>
              <w:t>Kendini geliştirme</w:t>
            </w:r>
          </w:p>
        </w:tc>
        <w:tc>
          <w:tcPr>
            <w:tcW w:w="4039" w:type="dxa"/>
          </w:tcPr>
          <w:p>
            <w:pPr>
              <w:pStyle w:val="TableParagraph"/>
              <w:spacing w:line="230" w:lineRule="atLeast"/>
              <w:ind w:left="108" w:right="96"/>
              <w:jc w:val="both"/>
              <w:rPr>
                <w:sz w:val="20"/>
              </w:rPr>
            </w:pPr>
            <w:r>
              <w:rPr>
                <w:sz w:val="20"/>
              </w:rPr>
              <w:t>Kendini akıllı tüketici olarak göstererek, diğer tüketiciler arasında imajını zenginleştirme maksatlıdır.</w:t>
            </w:r>
          </w:p>
        </w:tc>
      </w:tr>
      <w:tr>
        <w:trPr>
          <w:trHeight w:val="691" w:hRule="atLeast"/>
        </w:trPr>
        <w:tc>
          <w:tcPr>
            <w:tcW w:w="1726" w:type="dxa"/>
            <w:vMerge/>
            <w:tcBorders>
              <w:top w:val="nil"/>
            </w:tcBorders>
          </w:tcPr>
          <w:p>
            <w:pPr>
              <w:rPr>
                <w:sz w:val="2"/>
                <w:szCs w:val="2"/>
              </w:rPr>
            </w:pPr>
          </w:p>
        </w:tc>
        <w:tc>
          <w:tcPr>
            <w:tcW w:w="1171" w:type="dxa"/>
            <w:vMerge/>
            <w:tcBorders>
              <w:top w:val="nil"/>
            </w:tcBorders>
          </w:tcPr>
          <w:p>
            <w:pPr>
              <w:rPr>
                <w:sz w:val="2"/>
                <w:szCs w:val="2"/>
              </w:rPr>
            </w:pPr>
          </w:p>
        </w:tc>
        <w:tc>
          <w:tcPr>
            <w:tcW w:w="1848" w:type="dxa"/>
          </w:tcPr>
          <w:p>
            <w:pPr>
              <w:pStyle w:val="TableParagraph"/>
              <w:ind w:left="108"/>
              <w:rPr>
                <w:sz w:val="20"/>
              </w:rPr>
            </w:pPr>
            <w:r>
              <w:rPr>
                <w:sz w:val="20"/>
              </w:rPr>
              <w:t>Ekonomik ödüller</w:t>
            </w:r>
          </w:p>
        </w:tc>
        <w:tc>
          <w:tcPr>
            <w:tcW w:w="4039" w:type="dxa"/>
          </w:tcPr>
          <w:p>
            <w:pPr>
              <w:pStyle w:val="TableParagraph"/>
              <w:ind w:left="108"/>
              <w:rPr>
                <w:sz w:val="20"/>
              </w:rPr>
            </w:pPr>
            <w:r>
              <w:rPr>
                <w:sz w:val="20"/>
              </w:rPr>
              <w:t>Yorumların yer aldığı platformun sunduğu</w:t>
            </w:r>
          </w:p>
          <w:p>
            <w:pPr>
              <w:pStyle w:val="TableParagraph"/>
              <w:tabs>
                <w:tab w:pos="1475" w:val="left" w:leader="none"/>
                <w:tab w:pos="2897" w:val="left" w:leader="none"/>
              </w:tabs>
              <w:spacing w:line="230" w:lineRule="atLeast" w:before="1"/>
              <w:ind w:left="108" w:right="97"/>
              <w:rPr>
                <w:sz w:val="20"/>
              </w:rPr>
            </w:pPr>
            <w:r>
              <w:rPr>
                <w:sz w:val="20"/>
              </w:rPr>
              <w:t>ekonomik</w:t>
              <w:tab/>
              <w:t>ödüllerden</w:t>
              <w:tab/>
            </w:r>
            <w:r>
              <w:rPr>
                <w:spacing w:val="-1"/>
                <w:sz w:val="20"/>
              </w:rPr>
              <w:t>faydalanmak </w:t>
            </w:r>
            <w:r>
              <w:rPr>
                <w:sz w:val="20"/>
              </w:rPr>
              <w:t>amaçlanmaktadır.</w:t>
            </w:r>
          </w:p>
        </w:tc>
      </w:tr>
      <w:tr>
        <w:trPr>
          <w:trHeight w:val="688" w:hRule="atLeast"/>
        </w:trPr>
        <w:tc>
          <w:tcPr>
            <w:tcW w:w="1726" w:type="dxa"/>
            <w:vMerge/>
            <w:tcBorders>
              <w:top w:val="nil"/>
            </w:tcBorders>
          </w:tcPr>
          <w:p>
            <w:pPr>
              <w:rPr>
                <w:sz w:val="2"/>
                <w:szCs w:val="2"/>
              </w:rPr>
            </w:pPr>
          </w:p>
        </w:tc>
        <w:tc>
          <w:tcPr>
            <w:tcW w:w="1171" w:type="dxa"/>
            <w:vMerge w:val="restart"/>
          </w:tcPr>
          <w:p>
            <w:pPr>
              <w:pStyle w:val="TableParagraph"/>
              <w:spacing w:before="3"/>
              <w:ind w:left="0"/>
              <w:rPr>
                <w:sz w:val="20"/>
              </w:rPr>
            </w:pPr>
          </w:p>
          <w:p>
            <w:pPr>
              <w:pStyle w:val="TableParagraph"/>
              <w:ind w:left="136" w:right="127"/>
              <w:jc w:val="center"/>
              <w:rPr>
                <w:sz w:val="20"/>
              </w:rPr>
            </w:pPr>
            <w:r>
              <w:rPr>
                <w:sz w:val="20"/>
              </w:rPr>
              <w:t>Ara bulucu ile ilgili fayda</w:t>
            </w:r>
          </w:p>
        </w:tc>
        <w:tc>
          <w:tcPr>
            <w:tcW w:w="1848" w:type="dxa"/>
          </w:tcPr>
          <w:p>
            <w:pPr>
              <w:pStyle w:val="TableParagraph"/>
              <w:ind w:left="108"/>
              <w:rPr>
                <w:sz w:val="20"/>
              </w:rPr>
            </w:pPr>
            <w:r>
              <w:rPr>
                <w:sz w:val="20"/>
              </w:rPr>
              <w:t>Kolaylık</w:t>
            </w:r>
          </w:p>
        </w:tc>
        <w:tc>
          <w:tcPr>
            <w:tcW w:w="4039" w:type="dxa"/>
          </w:tcPr>
          <w:p>
            <w:pPr>
              <w:pStyle w:val="TableParagraph"/>
              <w:ind w:left="108"/>
              <w:rPr>
                <w:sz w:val="20"/>
              </w:rPr>
            </w:pPr>
            <w:r>
              <w:rPr>
                <w:sz w:val="20"/>
              </w:rPr>
              <w:t>Tüketici, şikayetini daha kolay iletebildiğini düşündüğü için online platformları tercih</w:t>
            </w:r>
          </w:p>
          <w:p>
            <w:pPr>
              <w:pStyle w:val="TableParagraph"/>
              <w:spacing w:line="208" w:lineRule="exact"/>
              <w:ind w:left="108"/>
              <w:rPr>
                <w:sz w:val="20"/>
              </w:rPr>
            </w:pPr>
            <w:r>
              <w:rPr>
                <w:sz w:val="20"/>
              </w:rPr>
              <w:t>edebilmektedir.</w:t>
            </w:r>
          </w:p>
        </w:tc>
      </w:tr>
      <w:tr>
        <w:trPr>
          <w:trHeight w:val="460" w:hRule="atLeast"/>
        </w:trPr>
        <w:tc>
          <w:tcPr>
            <w:tcW w:w="1726" w:type="dxa"/>
            <w:vMerge/>
            <w:tcBorders>
              <w:top w:val="nil"/>
            </w:tcBorders>
          </w:tcPr>
          <w:p>
            <w:pPr>
              <w:rPr>
                <w:sz w:val="2"/>
                <w:szCs w:val="2"/>
              </w:rPr>
            </w:pPr>
          </w:p>
        </w:tc>
        <w:tc>
          <w:tcPr>
            <w:tcW w:w="1171" w:type="dxa"/>
            <w:vMerge/>
            <w:tcBorders>
              <w:top w:val="nil"/>
            </w:tcBorders>
          </w:tcPr>
          <w:p>
            <w:pPr>
              <w:rPr>
                <w:sz w:val="2"/>
                <w:szCs w:val="2"/>
              </w:rPr>
            </w:pPr>
          </w:p>
        </w:tc>
        <w:tc>
          <w:tcPr>
            <w:tcW w:w="1848" w:type="dxa"/>
          </w:tcPr>
          <w:p>
            <w:pPr>
              <w:pStyle w:val="TableParagraph"/>
              <w:tabs>
                <w:tab w:pos="1218" w:val="left" w:leader="none"/>
              </w:tabs>
              <w:spacing w:line="230" w:lineRule="atLeast"/>
              <w:ind w:left="108" w:right="94"/>
              <w:rPr>
                <w:sz w:val="20"/>
              </w:rPr>
            </w:pPr>
            <w:r>
              <w:rPr>
                <w:sz w:val="20"/>
              </w:rPr>
              <w:t>Problem</w:t>
              <w:tab/>
            </w:r>
            <w:r>
              <w:rPr>
                <w:spacing w:val="-4"/>
                <w:sz w:val="20"/>
              </w:rPr>
              <w:t>çözme </w:t>
            </w:r>
            <w:r>
              <w:rPr>
                <w:sz w:val="20"/>
              </w:rPr>
              <w:t>desteği</w:t>
            </w:r>
          </w:p>
        </w:tc>
        <w:tc>
          <w:tcPr>
            <w:tcW w:w="4039" w:type="dxa"/>
          </w:tcPr>
          <w:p>
            <w:pPr>
              <w:pStyle w:val="TableParagraph"/>
              <w:spacing w:line="230" w:lineRule="atLeast"/>
              <w:ind w:left="108"/>
              <w:rPr>
                <w:sz w:val="20"/>
              </w:rPr>
            </w:pPr>
            <w:r>
              <w:rPr>
                <w:sz w:val="20"/>
              </w:rPr>
              <w:t>Platformun, sorunun çözümünde tüketiciye yardımcı olması istenmektedir.</w:t>
            </w:r>
          </w:p>
        </w:tc>
      </w:tr>
      <w:tr>
        <w:trPr>
          <w:trHeight w:val="690" w:hRule="atLeast"/>
        </w:trPr>
        <w:tc>
          <w:tcPr>
            <w:tcW w:w="1726" w:type="dxa"/>
            <w:vMerge/>
            <w:tcBorders>
              <w:top w:val="nil"/>
            </w:tcBorders>
          </w:tcPr>
          <w:p>
            <w:pPr>
              <w:rPr>
                <w:sz w:val="2"/>
                <w:szCs w:val="2"/>
              </w:rPr>
            </w:pPr>
          </w:p>
        </w:tc>
        <w:tc>
          <w:tcPr>
            <w:tcW w:w="1171" w:type="dxa"/>
            <w:vMerge w:val="restart"/>
          </w:tcPr>
          <w:p>
            <w:pPr>
              <w:pStyle w:val="TableParagraph"/>
              <w:spacing w:before="5"/>
              <w:ind w:left="0"/>
              <w:rPr>
                <w:sz w:val="30"/>
              </w:rPr>
            </w:pPr>
          </w:p>
          <w:p>
            <w:pPr>
              <w:pStyle w:val="TableParagraph"/>
              <w:ind w:left="295" w:right="78" w:hanging="188"/>
              <w:rPr>
                <w:sz w:val="20"/>
              </w:rPr>
            </w:pPr>
            <w:r>
              <w:rPr>
                <w:sz w:val="20"/>
              </w:rPr>
              <w:t>Dengeleşim faydası</w:t>
            </w:r>
          </w:p>
        </w:tc>
        <w:tc>
          <w:tcPr>
            <w:tcW w:w="1848" w:type="dxa"/>
          </w:tcPr>
          <w:p>
            <w:pPr>
              <w:pStyle w:val="TableParagraph"/>
              <w:tabs>
                <w:tab w:pos="873" w:val="left" w:leader="none"/>
              </w:tabs>
              <w:ind w:left="108" w:right="96"/>
              <w:rPr>
                <w:sz w:val="20"/>
              </w:rPr>
            </w:pPr>
            <w:r>
              <w:rPr>
                <w:sz w:val="20"/>
              </w:rPr>
              <w:t>Pozitif</w:t>
              <w:tab/>
            </w:r>
            <w:r>
              <w:rPr>
                <w:spacing w:val="-1"/>
                <w:sz w:val="20"/>
              </w:rPr>
              <w:t>duyguların </w:t>
            </w:r>
            <w:r>
              <w:rPr>
                <w:sz w:val="20"/>
              </w:rPr>
              <w:t>ifade</w:t>
            </w:r>
            <w:r>
              <w:rPr>
                <w:spacing w:val="-1"/>
                <w:sz w:val="20"/>
              </w:rPr>
              <w:t> </w:t>
            </w:r>
            <w:r>
              <w:rPr>
                <w:sz w:val="20"/>
              </w:rPr>
              <w:t>edilmesi</w:t>
            </w:r>
          </w:p>
        </w:tc>
        <w:tc>
          <w:tcPr>
            <w:tcW w:w="4039" w:type="dxa"/>
          </w:tcPr>
          <w:p>
            <w:pPr>
              <w:pStyle w:val="TableParagraph"/>
              <w:spacing w:line="230" w:lineRule="atLeast"/>
              <w:ind w:left="108" w:right="97"/>
              <w:jc w:val="both"/>
              <w:rPr>
                <w:sz w:val="20"/>
              </w:rPr>
            </w:pPr>
            <w:r>
              <w:rPr>
                <w:sz w:val="20"/>
              </w:rPr>
              <w:t>Ürün tatmini sonrası duyulan heyecanın paylaşılarak duygusal çoşkunun dengelenmesi amaçlanmaktadır.</w:t>
            </w:r>
          </w:p>
        </w:tc>
      </w:tr>
      <w:tr>
        <w:trPr>
          <w:trHeight w:val="460" w:hRule="atLeast"/>
        </w:trPr>
        <w:tc>
          <w:tcPr>
            <w:tcW w:w="1726" w:type="dxa"/>
            <w:vMerge/>
            <w:tcBorders>
              <w:top w:val="nil"/>
            </w:tcBorders>
          </w:tcPr>
          <w:p>
            <w:pPr>
              <w:rPr>
                <w:sz w:val="2"/>
                <w:szCs w:val="2"/>
              </w:rPr>
            </w:pPr>
          </w:p>
        </w:tc>
        <w:tc>
          <w:tcPr>
            <w:tcW w:w="1171" w:type="dxa"/>
            <w:vMerge/>
            <w:tcBorders>
              <w:top w:val="nil"/>
            </w:tcBorders>
          </w:tcPr>
          <w:p>
            <w:pPr>
              <w:rPr>
                <w:sz w:val="2"/>
                <w:szCs w:val="2"/>
              </w:rPr>
            </w:pPr>
          </w:p>
        </w:tc>
        <w:tc>
          <w:tcPr>
            <w:tcW w:w="1848" w:type="dxa"/>
          </w:tcPr>
          <w:p>
            <w:pPr>
              <w:pStyle w:val="TableParagraph"/>
              <w:spacing w:line="230" w:lineRule="atLeast"/>
              <w:ind w:left="108" w:right="97"/>
              <w:rPr>
                <w:sz w:val="20"/>
              </w:rPr>
            </w:pPr>
            <w:r>
              <w:rPr>
                <w:sz w:val="20"/>
              </w:rPr>
              <w:t>Negatif duyguların yansıtılması</w:t>
            </w:r>
          </w:p>
        </w:tc>
        <w:tc>
          <w:tcPr>
            <w:tcW w:w="4039" w:type="dxa"/>
          </w:tcPr>
          <w:p>
            <w:pPr>
              <w:pStyle w:val="TableParagraph"/>
              <w:spacing w:line="230" w:lineRule="atLeast"/>
              <w:ind w:left="108" w:right="97"/>
              <w:rPr>
                <w:sz w:val="20"/>
              </w:rPr>
            </w:pPr>
            <w:r>
              <w:rPr>
                <w:sz w:val="20"/>
              </w:rPr>
              <w:t>Olumsuz deneyim sonucu ortaya çıkan hüsran ve sinir halinin yatıştırılması amaçlanmaktadır.</w:t>
            </w:r>
          </w:p>
        </w:tc>
      </w:tr>
    </w:tbl>
    <w:p>
      <w:pPr>
        <w:spacing w:before="4"/>
        <w:ind w:left="548" w:right="0" w:firstLine="0"/>
        <w:jc w:val="left"/>
        <w:rPr>
          <w:sz w:val="24"/>
        </w:rPr>
      </w:pPr>
      <w:r>
        <w:rPr>
          <w:b/>
          <w:sz w:val="24"/>
        </w:rPr>
        <w:t>Kaynak: </w:t>
      </w:r>
      <w:r>
        <w:rPr>
          <w:sz w:val="24"/>
        </w:rPr>
        <w:t>Hennig</w:t>
      </w:r>
      <w:r>
        <w:rPr>
          <w:rFonts w:ascii="DejaVu Serif Condensed" w:hAnsi="DejaVu Serif Condensed"/>
          <w:sz w:val="24"/>
        </w:rPr>
        <w:t>‐</w:t>
      </w:r>
      <w:r>
        <w:rPr>
          <w:sz w:val="24"/>
        </w:rPr>
        <w:t>Thurau vd., 2004</w:t>
      </w:r>
    </w:p>
    <w:p>
      <w:pPr>
        <w:pStyle w:val="BodyText"/>
        <w:spacing w:before="3"/>
        <w:ind w:left="0"/>
        <w:jc w:val="left"/>
        <w:rPr>
          <w:sz w:val="22"/>
        </w:rPr>
      </w:pPr>
    </w:p>
    <w:p>
      <w:pPr>
        <w:pStyle w:val="BodyText"/>
        <w:spacing w:line="360" w:lineRule="auto" w:before="1"/>
        <w:ind w:right="312" w:firstLine="708"/>
      </w:pPr>
      <w:r>
        <w:rPr/>
        <w:t>Dichter</w:t>
      </w:r>
      <w:r>
        <w:rPr>
          <w:spacing w:val="-11"/>
        </w:rPr>
        <w:t> </w:t>
      </w:r>
      <w:r>
        <w:rPr/>
        <w:t>(1966)</w:t>
      </w:r>
      <w:r>
        <w:rPr>
          <w:spacing w:val="-9"/>
        </w:rPr>
        <w:t> </w:t>
      </w:r>
      <w:r>
        <w:rPr/>
        <w:t>tüketicilerin</w:t>
      </w:r>
      <w:r>
        <w:rPr>
          <w:spacing w:val="-9"/>
        </w:rPr>
        <w:t> </w:t>
      </w:r>
      <w:r>
        <w:rPr/>
        <w:t>ağızdan</w:t>
      </w:r>
      <w:r>
        <w:rPr>
          <w:spacing w:val="-10"/>
        </w:rPr>
        <w:t> </w:t>
      </w:r>
      <w:r>
        <w:rPr/>
        <w:t>ağıza</w:t>
      </w:r>
      <w:r>
        <w:rPr>
          <w:spacing w:val="-11"/>
        </w:rPr>
        <w:t> </w:t>
      </w:r>
      <w:r>
        <w:rPr/>
        <w:t>iletişim</w:t>
      </w:r>
      <w:r>
        <w:rPr>
          <w:spacing w:val="-9"/>
        </w:rPr>
        <w:t> </w:t>
      </w:r>
      <w:r>
        <w:rPr/>
        <w:t>çabasına</w:t>
      </w:r>
      <w:r>
        <w:rPr>
          <w:spacing w:val="-10"/>
        </w:rPr>
        <w:t> </w:t>
      </w:r>
      <w:r>
        <w:rPr/>
        <w:t>girmesinin</w:t>
      </w:r>
      <w:r>
        <w:rPr>
          <w:spacing w:val="-10"/>
        </w:rPr>
        <w:t> </w:t>
      </w:r>
      <w:r>
        <w:rPr/>
        <w:t>arkasında</w:t>
      </w:r>
      <w:r>
        <w:rPr>
          <w:spacing w:val="-10"/>
        </w:rPr>
        <w:t> </w:t>
      </w:r>
      <w:r>
        <w:rPr/>
        <w:t>dört temel güdü olduğunu belirtmiştir. Bu dört güdünün hepsi de olumlu ağızdan ağıza iletişimle ilgilidir. Engel vd. (1993) güdüleri yeniden isimlendirip bir tane de olumsuz ağızdan ağıza iletişim güdüsü (uyumsuzluk azaltma) ekleyerek Dichter'in tipolojisini geliştirmişlerdir. Bugüne kadar, geleneksel ağızdan ağıza iletişim güdüleri konusunda yapılan en kapsamlı çalışma</w:t>
      </w:r>
      <w:r>
        <w:rPr>
          <w:spacing w:val="32"/>
        </w:rPr>
        <w:t> </w:t>
      </w:r>
      <w:r>
        <w:rPr/>
        <w:t>Sundaram</w:t>
      </w:r>
      <w:r>
        <w:rPr>
          <w:spacing w:val="32"/>
        </w:rPr>
        <w:t> </w:t>
      </w:r>
      <w:r>
        <w:rPr/>
        <w:t>vd.'ne</w:t>
      </w:r>
      <w:r>
        <w:rPr>
          <w:spacing w:val="32"/>
        </w:rPr>
        <w:t> </w:t>
      </w:r>
      <w:r>
        <w:rPr/>
        <w:t>(1998)</w:t>
      </w:r>
      <w:r>
        <w:rPr>
          <w:spacing w:val="31"/>
        </w:rPr>
        <w:t> </w:t>
      </w:r>
      <w:r>
        <w:rPr/>
        <w:t>aittir.</w:t>
      </w:r>
      <w:r>
        <w:rPr>
          <w:spacing w:val="31"/>
        </w:rPr>
        <w:t> </w:t>
      </w:r>
      <w:r>
        <w:rPr/>
        <w:t>Sundaram</w:t>
      </w:r>
      <w:r>
        <w:rPr>
          <w:spacing w:val="33"/>
        </w:rPr>
        <w:t> </w:t>
      </w:r>
      <w:r>
        <w:rPr/>
        <w:t>vd.</w:t>
      </w:r>
      <w:r>
        <w:rPr>
          <w:spacing w:val="32"/>
        </w:rPr>
        <w:t> </w:t>
      </w:r>
      <w:r>
        <w:rPr/>
        <w:t>(1998)</w:t>
      </w:r>
      <w:r>
        <w:rPr>
          <w:spacing w:val="32"/>
        </w:rPr>
        <w:t> </w:t>
      </w:r>
      <w:r>
        <w:rPr/>
        <w:t>olumlu</w:t>
      </w:r>
      <w:r>
        <w:rPr>
          <w:spacing w:val="32"/>
        </w:rPr>
        <w:t> </w:t>
      </w:r>
      <w:r>
        <w:rPr/>
        <w:t>ve</w:t>
      </w:r>
      <w:r>
        <w:rPr>
          <w:spacing w:val="31"/>
        </w:rPr>
        <w:t> </w:t>
      </w:r>
      <w:r>
        <w:rPr/>
        <w:t>olumsuz</w:t>
      </w:r>
      <w:r>
        <w:rPr>
          <w:spacing w:val="32"/>
        </w:rPr>
        <w:t> </w:t>
      </w:r>
      <w:r>
        <w:rPr/>
        <w:t>ağızdan</w:t>
      </w:r>
    </w:p>
    <w:p>
      <w:pPr>
        <w:spacing w:after="0" w:line="360" w:lineRule="auto"/>
        <w:sectPr>
          <w:pgSz w:w="12240" w:h="15840"/>
          <w:pgMar w:header="718" w:footer="0" w:top="1300" w:bottom="280" w:left="1720" w:right="820"/>
        </w:sectPr>
      </w:pPr>
    </w:p>
    <w:p>
      <w:pPr>
        <w:pStyle w:val="BodyText"/>
        <w:spacing w:line="360" w:lineRule="auto" w:before="100"/>
        <w:ind w:right="313"/>
      </w:pPr>
      <w:r>
        <w:rPr/>
        <w:t>ağıza iletişimle ilgili dörder tane güdü tanımlamışlardır. Tanımlanan olumlu güdüler şunlardır; başkalarını düşünme, ürün ilgilenimi, kendini geliştirme ve şirkete yardım etme. Tanımlanan olumsuz güdüler ise şunlardır; başkalarını düşünme, kaygı azaltma, intikam ve tavsiye arama (bk. Tablo 1).</w:t>
      </w:r>
    </w:p>
    <w:p>
      <w:pPr>
        <w:pStyle w:val="BodyText"/>
        <w:spacing w:line="360" w:lineRule="auto" w:before="1"/>
        <w:ind w:right="308" w:firstLine="708"/>
      </w:pPr>
      <w:r>
        <w:rPr/>
        <w:t>Dichter (1966), Engel vd. (1993) ve Sundaram vd. (1998) tarafından tanımlanan güdüler geleneksel ağızdan ağıza iletişim çerçevesinde oluşturulmuştur. Bu güdüler elektronik ağızdan ağıza iletişim bağlamında da geçerlidir. Ancak, elektronik ağızdan ağıza iletişimin kendine has özellikleri ile ilişkili olarak mesaj kaynağının gelenekselden farklı başka motivasyonları da bulunmaktadır. Hennig‐Thurau vd. (2004), Balasubramanian </w:t>
      </w:r>
      <w:r>
        <w:rPr>
          <w:spacing w:val="-19"/>
        </w:rPr>
        <w:t>ve </w:t>
      </w:r>
      <w:r>
        <w:rPr/>
        <w:t>Mahajan'ın (2001) fayda tipolojisinden yola çıkarak 11 güdü tanımlamışlardır (bk. Tablo</w:t>
      </w:r>
      <w:r>
        <w:rPr>
          <w:spacing w:val="-17"/>
        </w:rPr>
        <w:t> </w:t>
      </w:r>
      <w:r>
        <w:rPr/>
        <w:t>1). Bu güdüleri; odakla ilgili fayda, tüketim faydası, onay faydası, ara bulucu (moderatör) ile ilgili fayda ve dengeleşim (homeostase) faydası olmak üzere beş ana başlık altında toplamışlardır.</w:t>
      </w:r>
    </w:p>
    <w:p>
      <w:pPr>
        <w:pStyle w:val="BodyText"/>
        <w:spacing w:line="360" w:lineRule="auto"/>
        <w:ind w:right="309" w:firstLine="708"/>
      </w:pPr>
      <w:r>
        <w:rPr/>
        <w:t>Hennig‐Thurau</w:t>
      </w:r>
      <w:r>
        <w:rPr>
          <w:spacing w:val="-12"/>
        </w:rPr>
        <w:t> </w:t>
      </w:r>
      <w:r>
        <w:rPr/>
        <w:t>vd.'nin</w:t>
      </w:r>
      <w:r>
        <w:rPr>
          <w:spacing w:val="-8"/>
        </w:rPr>
        <w:t> </w:t>
      </w:r>
      <w:r>
        <w:rPr/>
        <w:t>(2004)</w:t>
      </w:r>
      <w:r>
        <w:rPr>
          <w:spacing w:val="-12"/>
        </w:rPr>
        <w:t> </w:t>
      </w:r>
      <w:r>
        <w:rPr/>
        <w:t>tanımladığı</w:t>
      </w:r>
      <w:r>
        <w:rPr>
          <w:spacing w:val="-11"/>
        </w:rPr>
        <w:t> </w:t>
      </w:r>
      <w:r>
        <w:rPr/>
        <w:t>bu</w:t>
      </w:r>
      <w:r>
        <w:rPr>
          <w:spacing w:val="-11"/>
        </w:rPr>
        <w:t> </w:t>
      </w:r>
      <w:r>
        <w:rPr/>
        <w:t>güdülerden</w:t>
      </w:r>
      <w:r>
        <w:rPr>
          <w:spacing w:val="-11"/>
        </w:rPr>
        <w:t> </w:t>
      </w:r>
      <w:r>
        <w:rPr/>
        <w:t>bazıları</w:t>
      </w:r>
      <w:r>
        <w:rPr>
          <w:spacing w:val="-10"/>
        </w:rPr>
        <w:t> </w:t>
      </w:r>
      <w:r>
        <w:rPr/>
        <w:t>elektronik</w:t>
      </w:r>
      <w:r>
        <w:rPr>
          <w:spacing w:val="-11"/>
        </w:rPr>
        <w:t> </w:t>
      </w:r>
      <w:r>
        <w:rPr>
          <w:spacing w:val="-8"/>
        </w:rPr>
        <w:t>ağızdan </w:t>
      </w:r>
      <w:r>
        <w:rPr/>
        <w:t>ağıza iletişime özgüdür. Tüketiciler, sosyal bir topluluğa dahil olma ve aidiyet hissetme güdüsüyle online mecralarda ağızdan ağıza iletişim mesajları yayınlayabilmektedir (McWilliam, 2000). Bu sayede, topluluk üyesi olmanın sağladığı sosyal faydalardan yaralanmaktadırlar. Olumsuz yorumlar, şirketleri etkileyebilmesi nedeniyle tüketiciler tarafından bir güç kullanma aracı olarak kullanılabilmektedir. Özellikle, şikayet ve boykot siteleri</w:t>
      </w:r>
      <w:r>
        <w:rPr>
          <w:spacing w:val="-12"/>
        </w:rPr>
        <w:t> </w:t>
      </w:r>
      <w:r>
        <w:rPr/>
        <w:t>gibi</w:t>
      </w:r>
      <w:r>
        <w:rPr>
          <w:spacing w:val="-10"/>
        </w:rPr>
        <w:t> </w:t>
      </w:r>
      <w:r>
        <w:rPr/>
        <w:t>memnuniyetsiz</w:t>
      </w:r>
      <w:r>
        <w:rPr>
          <w:spacing w:val="-11"/>
        </w:rPr>
        <w:t> </w:t>
      </w:r>
      <w:r>
        <w:rPr/>
        <w:t>tüketicilerin</w:t>
      </w:r>
      <w:r>
        <w:rPr>
          <w:spacing w:val="-11"/>
        </w:rPr>
        <w:t> </w:t>
      </w:r>
      <w:r>
        <w:rPr/>
        <w:t>bir</w:t>
      </w:r>
      <w:r>
        <w:rPr>
          <w:spacing w:val="-11"/>
        </w:rPr>
        <w:t> </w:t>
      </w:r>
      <w:r>
        <w:rPr/>
        <w:t>araya</w:t>
      </w:r>
      <w:r>
        <w:rPr>
          <w:spacing w:val="-12"/>
        </w:rPr>
        <w:t> </w:t>
      </w:r>
      <w:r>
        <w:rPr/>
        <w:t>geldiği</w:t>
      </w:r>
      <w:r>
        <w:rPr>
          <w:spacing w:val="-12"/>
        </w:rPr>
        <w:t> </w:t>
      </w:r>
      <w:r>
        <w:rPr/>
        <w:t>platformlarda</w:t>
      </w:r>
      <w:r>
        <w:rPr>
          <w:spacing w:val="-13"/>
        </w:rPr>
        <w:t> </w:t>
      </w:r>
      <w:r>
        <w:rPr/>
        <w:t>bu</w:t>
      </w:r>
      <w:r>
        <w:rPr>
          <w:spacing w:val="-11"/>
        </w:rPr>
        <w:t> </w:t>
      </w:r>
      <w:r>
        <w:rPr/>
        <w:t>güç</w:t>
      </w:r>
      <w:r>
        <w:rPr>
          <w:spacing w:val="-12"/>
        </w:rPr>
        <w:t> </w:t>
      </w:r>
      <w:r>
        <w:rPr/>
        <w:t>kümülatif</w:t>
      </w:r>
      <w:r>
        <w:rPr>
          <w:spacing w:val="-12"/>
        </w:rPr>
        <w:t> </w:t>
      </w:r>
      <w:r>
        <w:rPr/>
        <w:t>etki oluşturma potansiyeline sahiptir (Hennig‐Thurau vd., 2004). Bir başka özgün </w:t>
      </w:r>
      <w:r>
        <w:rPr>
          <w:spacing w:val="-5"/>
        </w:rPr>
        <w:t>motivasyon </w:t>
      </w:r>
      <w:r>
        <w:rPr/>
        <w:t>ise, tüketicinin satın alma sonrası ürünün daha etkin kullanımını, tamiratını ve/veya geliştirilmesini öğrenmek amacını taşımasıdır (Kreis ve Gottschalk, 2015). Tüketici, bu durumda, daha önceki yorumları okumaktan ziyade edinmek istediği bilgiyi online platformda diğer tüketicilere sorarak elde etmeye çalışır. Bazı platformlar tüketicilere ekonomik ödüller sunarak fikirlerini diğer tüketicilerle paylaşmalarını istemektedirler. Sağlanan bu ekonomik ödüller tüketiciyi online mecralarda yorum yazmaya teşvik edebilmektedir (Van Doorn vd., 2010). Online platformlar, tüketicilere şikayetlerini yetkililere ulaştırmaları konusunda da kolaylık sunabilmektedir. Online platformlar, şikayetin yetkililere kolay ulaştırılmasının yanı sıra, sorunun çözümünde aracı olarak tüketiciye yardımcı da olabilmektedir (Hennig‐Thurau vd.,</w:t>
      </w:r>
      <w:r>
        <w:rPr>
          <w:spacing w:val="-17"/>
        </w:rPr>
        <w:t> </w:t>
      </w:r>
      <w:r>
        <w:rPr/>
        <w:t>2004).</w:t>
      </w:r>
    </w:p>
    <w:p>
      <w:pPr>
        <w:spacing w:after="0" w:line="360" w:lineRule="auto"/>
        <w:sectPr>
          <w:pgSz w:w="12240" w:h="15840"/>
          <w:pgMar w:header="718" w:footer="0" w:top="1300" w:bottom="280" w:left="1720" w:right="820"/>
        </w:sectPr>
      </w:pPr>
    </w:p>
    <w:p>
      <w:pPr>
        <w:pStyle w:val="Heading1"/>
        <w:numPr>
          <w:ilvl w:val="2"/>
          <w:numId w:val="1"/>
        </w:numPr>
        <w:tabs>
          <w:tab w:pos="1857" w:val="left" w:leader="none"/>
        </w:tabs>
        <w:spacing w:line="240" w:lineRule="auto" w:before="100" w:after="0"/>
        <w:ind w:left="1856" w:right="0" w:hanging="601"/>
        <w:jc w:val="both"/>
      </w:pPr>
      <w:r>
        <w:rPr/>
        <w:t>Ağızdan Ağıza İletişimin</w:t>
      </w:r>
      <w:r>
        <w:rPr>
          <w:spacing w:val="-3"/>
        </w:rPr>
        <w:t> </w:t>
      </w:r>
      <w:r>
        <w:rPr/>
        <w:t>Gücü</w:t>
      </w:r>
    </w:p>
    <w:p>
      <w:pPr>
        <w:pStyle w:val="BodyText"/>
        <w:spacing w:line="360" w:lineRule="auto" w:before="137"/>
        <w:ind w:right="308" w:firstLine="708"/>
      </w:pPr>
      <w:r>
        <w:rPr/>
        <w:t>Ağızdan</w:t>
      </w:r>
      <w:r>
        <w:rPr>
          <w:spacing w:val="-12"/>
        </w:rPr>
        <w:t> </w:t>
      </w:r>
      <w:r>
        <w:rPr/>
        <w:t>ağıza</w:t>
      </w:r>
      <w:r>
        <w:rPr>
          <w:spacing w:val="-12"/>
        </w:rPr>
        <w:t> </w:t>
      </w:r>
      <w:r>
        <w:rPr/>
        <w:t>iletişim,</w:t>
      </w:r>
      <w:r>
        <w:rPr>
          <w:spacing w:val="-12"/>
        </w:rPr>
        <w:t> </w:t>
      </w:r>
      <w:r>
        <w:rPr/>
        <w:t>tüketiciler</w:t>
      </w:r>
      <w:r>
        <w:rPr>
          <w:spacing w:val="-12"/>
        </w:rPr>
        <w:t> </w:t>
      </w:r>
      <w:r>
        <w:rPr/>
        <w:t>üzerinde</w:t>
      </w:r>
      <w:r>
        <w:rPr>
          <w:spacing w:val="-12"/>
        </w:rPr>
        <w:t> </w:t>
      </w:r>
      <w:r>
        <w:rPr/>
        <w:t>diğer</w:t>
      </w:r>
      <w:r>
        <w:rPr>
          <w:spacing w:val="-10"/>
        </w:rPr>
        <w:t> </w:t>
      </w:r>
      <w:r>
        <w:rPr/>
        <w:t>pazarlama</w:t>
      </w:r>
      <w:r>
        <w:rPr>
          <w:spacing w:val="-11"/>
        </w:rPr>
        <w:t> </w:t>
      </w:r>
      <w:r>
        <w:rPr/>
        <w:t>iletişimi</w:t>
      </w:r>
      <w:r>
        <w:rPr>
          <w:spacing w:val="-11"/>
        </w:rPr>
        <w:t> </w:t>
      </w:r>
      <w:r>
        <w:rPr/>
        <w:t>türlerinden</w:t>
      </w:r>
      <w:r>
        <w:rPr>
          <w:spacing w:val="-12"/>
        </w:rPr>
        <w:t> </w:t>
      </w:r>
      <w:r>
        <w:rPr/>
        <w:t>daha büyük bir etkiye sahiptir (Day, 1971; Grewal vd., 2003; Hussain vd., 2019). Tüketicilerce reklamlardan daha güvenilir bulunan ağızdan ağıza iletişim (Nielsen, 2015) tüketicilerdeki farkındalığı, beklentileri, algıları, tutumları, davranışsal niyeti ve davranışı etkilemektedir (Buttle,</w:t>
      </w:r>
      <w:r>
        <w:rPr>
          <w:spacing w:val="-16"/>
        </w:rPr>
        <w:t> </w:t>
      </w:r>
      <w:r>
        <w:rPr/>
        <w:t>1998).</w:t>
      </w:r>
      <w:r>
        <w:rPr>
          <w:spacing w:val="-14"/>
        </w:rPr>
        <w:t> </w:t>
      </w:r>
      <w:r>
        <w:rPr/>
        <w:t>Bir</w:t>
      </w:r>
      <w:r>
        <w:rPr>
          <w:spacing w:val="-15"/>
        </w:rPr>
        <w:t> </w:t>
      </w:r>
      <w:r>
        <w:rPr/>
        <w:t>araştırmaya</w:t>
      </w:r>
      <w:r>
        <w:rPr>
          <w:spacing w:val="-15"/>
        </w:rPr>
        <w:t> </w:t>
      </w:r>
      <w:r>
        <w:rPr/>
        <w:t>göre,</w:t>
      </w:r>
      <w:r>
        <w:rPr>
          <w:spacing w:val="-15"/>
        </w:rPr>
        <w:t> </w:t>
      </w:r>
      <w:r>
        <w:rPr/>
        <w:t>ağızdan</w:t>
      </w:r>
      <w:r>
        <w:rPr>
          <w:spacing w:val="-14"/>
        </w:rPr>
        <w:t> </w:t>
      </w:r>
      <w:r>
        <w:rPr/>
        <w:t>ağıza</w:t>
      </w:r>
      <w:r>
        <w:rPr>
          <w:spacing w:val="-14"/>
        </w:rPr>
        <w:t> </w:t>
      </w:r>
      <w:r>
        <w:rPr/>
        <w:t>iletişim</w:t>
      </w:r>
      <w:r>
        <w:rPr>
          <w:spacing w:val="-14"/>
        </w:rPr>
        <w:t> </w:t>
      </w:r>
      <w:r>
        <w:rPr/>
        <w:t>televizyon</w:t>
      </w:r>
      <w:r>
        <w:rPr>
          <w:spacing w:val="-16"/>
        </w:rPr>
        <w:t> </w:t>
      </w:r>
      <w:r>
        <w:rPr/>
        <w:t>reklamları,</w:t>
      </w:r>
      <w:r>
        <w:rPr>
          <w:spacing w:val="-14"/>
        </w:rPr>
        <w:t> </w:t>
      </w:r>
      <w:r>
        <w:rPr/>
        <w:t>kişisel</w:t>
      </w:r>
      <w:r>
        <w:rPr>
          <w:spacing w:val="-14"/>
        </w:rPr>
        <w:t> </w:t>
      </w:r>
      <w:r>
        <w:rPr/>
        <w:t>satış ve radyo reklamları gibi diğer pazarlama iletişimi biçimlerinden daha ikna edicidir</w:t>
      </w:r>
      <w:r>
        <w:rPr>
          <w:spacing w:val="-40"/>
        </w:rPr>
        <w:t> </w:t>
      </w:r>
      <w:r>
        <w:rPr/>
        <w:t>(Nielsen, 2015). López ve Sicilia (2013), yeni ürünler piyasaya sürülürken, ağızdan ağıza iletişimin reklamlara</w:t>
      </w:r>
      <w:r>
        <w:rPr>
          <w:spacing w:val="-8"/>
        </w:rPr>
        <w:t> </w:t>
      </w:r>
      <w:r>
        <w:rPr/>
        <w:t>nazaran</w:t>
      </w:r>
      <w:r>
        <w:rPr>
          <w:spacing w:val="-6"/>
        </w:rPr>
        <w:t> </w:t>
      </w:r>
      <w:r>
        <w:rPr/>
        <w:t>daha</w:t>
      </w:r>
      <w:r>
        <w:rPr>
          <w:spacing w:val="-6"/>
        </w:rPr>
        <w:t> </w:t>
      </w:r>
      <w:r>
        <w:rPr/>
        <w:t>fazla</w:t>
      </w:r>
      <w:r>
        <w:rPr>
          <w:spacing w:val="-7"/>
        </w:rPr>
        <w:t> </w:t>
      </w:r>
      <w:r>
        <w:rPr/>
        <w:t>ürün</w:t>
      </w:r>
      <w:r>
        <w:rPr>
          <w:spacing w:val="-6"/>
        </w:rPr>
        <w:t> </w:t>
      </w:r>
      <w:r>
        <w:rPr/>
        <w:t>farkındalığı</w:t>
      </w:r>
      <w:r>
        <w:rPr>
          <w:spacing w:val="-6"/>
        </w:rPr>
        <w:t> </w:t>
      </w:r>
      <w:r>
        <w:rPr/>
        <w:t>oluşturduğunu</w:t>
      </w:r>
      <w:r>
        <w:rPr>
          <w:spacing w:val="-7"/>
        </w:rPr>
        <w:t> </w:t>
      </w:r>
      <w:r>
        <w:rPr/>
        <w:t>ortaya</w:t>
      </w:r>
      <w:r>
        <w:rPr>
          <w:spacing w:val="-7"/>
        </w:rPr>
        <w:t> </w:t>
      </w:r>
      <w:r>
        <w:rPr/>
        <w:t>koymuşlardır.</w:t>
      </w:r>
      <w:r>
        <w:rPr>
          <w:spacing w:val="-7"/>
        </w:rPr>
        <w:t> </w:t>
      </w:r>
      <w:r>
        <w:rPr/>
        <w:t>Filmler, müzik albümleri ve video oyunları piyasaya sürülmeden önce gerçekleşen ağızdan ağıza iletişim, önce farkındalık ve beklenti, sonrasında da davranışsal niyet oluşturarak piyasaya sürüldükten</w:t>
      </w:r>
      <w:r>
        <w:rPr>
          <w:spacing w:val="-15"/>
        </w:rPr>
        <w:t> </w:t>
      </w:r>
      <w:r>
        <w:rPr/>
        <w:t>sonraki</w:t>
      </w:r>
      <w:r>
        <w:rPr>
          <w:spacing w:val="-14"/>
        </w:rPr>
        <w:t> </w:t>
      </w:r>
      <w:r>
        <w:rPr/>
        <w:t>hasılatları</w:t>
      </w:r>
      <w:r>
        <w:rPr>
          <w:spacing w:val="-15"/>
        </w:rPr>
        <w:t> </w:t>
      </w:r>
      <w:r>
        <w:rPr/>
        <w:t>ve</w:t>
      </w:r>
      <w:r>
        <w:rPr>
          <w:spacing w:val="-14"/>
        </w:rPr>
        <w:t> </w:t>
      </w:r>
      <w:r>
        <w:rPr/>
        <w:t>satış</w:t>
      </w:r>
      <w:r>
        <w:rPr>
          <w:spacing w:val="-14"/>
        </w:rPr>
        <w:t> </w:t>
      </w:r>
      <w:r>
        <w:rPr/>
        <w:t>miktarını</w:t>
      </w:r>
      <w:r>
        <w:rPr>
          <w:spacing w:val="-14"/>
        </w:rPr>
        <w:t> </w:t>
      </w:r>
      <w:r>
        <w:rPr/>
        <w:t>etkilemektedir</w:t>
      </w:r>
      <w:r>
        <w:rPr>
          <w:spacing w:val="-15"/>
        </w:rPr>
        <w:t> </w:t>
      </w:r>
      <w:r>
        <w:rPr/>
        <w:t>(Dhar</w:t>
      </w:r>
      <w:r>
        <w:rPr>
          <w:spacing w:val="-14"/>
        </w:rPr>
        <w:t> </w:t>
      </w:r>
      <w:r>
        <w:rPr/>
        <w:t>ve</w:t>
      </w:r>
      <w:r>
        <w:rPr>
          <w:spacing w:val="-15"/>
        </w:rPr>
        <w:t> </w:t>
      </w:r>
      <w:r>
        <w:rPr/>
        <w:t>Chang,</w:t>
      </w:r>
      <w:r>
        <w:rPr>
          <w:spacing w:val="-14"/>
        </w:rPr>
        <w:t> </w:t>
      </w:r>
      <w:r>
        <w:rPr/>
        <w:t>2009;</w:t>
      </w:r>
      <w:r>
        <w:rPr>
          <w:spacing w:val="-14"/>
        </w:rPr>
        <w:t> </w:t>
      </w:r>
      <w:r>
        <w:rPr/>
        <w:t>Tsang ve</w:t>
      </w:r>
      <w:r>
        <w:rPr>
          <w:spacing w:val="-17"/>
        </w:rPr>
        <w:t> </w:t>
      </w:r>
      <w:r>
        <w:rPr/>
        <w:t>Prendergast,</w:t>
      </w:r>
      <w:r>
        <w:rPr>
          <w:spacing w:val="-15"/>
        </w:rPr>
        <w:t> </w:t>
      </w:r>
      <w:r>
        <w:rPr/>
        <w:t>2009;</w:t>
      </w:r>
      <w:r>
        <w:rPr>
          <w:spacing w:val="-15"/>
        </w:rPr>
        <w:t> </w:t>
      </w:r>
      <w:r>
        <w:rPr/>
        <w:t>Xiong</w:t>
      </w:r>
      <w:r>
        <w:rPr>
          <w:spacing w:val="-16"/>
        </w:rPr>
        <w:t> </w:t>
      </w:r>
      <w:r>
        <w:rPr/>
        <w:t>ve</w:t>
      </w:r>
      <w:r>
        <w:rPr>
          <w:spacing w:val="-17"/>
        </w:rPr>
        <w:t> </w:t>
      </w:r>
      <w:r>
        <w:rPr/>
        <w:t>Bharadwaj,</w:t>
      </w:r>
      <w:r>
        <w:rPr>
          <w:spacing w:val="-15"/>
        </w:rPr>
        <w:t> </w:t>
      </w:r>
      <w:r>
        <w:rPr/>
        <w:t>2014;</w:t>
      </w:r>
      <w:r>
        <w:rPr>
          <w:spacing w:val="-13"/>
        </w:rPr>
        <w:t> </w:t>
      </w:r>
      <w:r>
        <w:rPr/>
        <w:t>Craig</w:t>
      </w:r>
      <w:r>
        <w:rPr>
          <w:spacing w:val="-15"/>
        </w:rPr>
        <w:t> </w:t>
      </w:r>
      <w:r>
        <w:rPr/>
        <w:t>vd.,</w:t>
      </w:r>
      <w:r>
        <w:rPr>
          <w:spacing w:val="-16"/>
        </w:rPr>
        <w:t> </w:t>
      </w:r>
      <w:r>
        <w:rPr/>
        <w:t>2015;</w:t>
      </w:r>
      <w:r>
        <w:rPr>
          <w:spacing w:val="-15"/>
        </w:rPr>
        <w:t> </w:t>
      </w:r>
      <w:r>
        <w:rPr/>
        <w:t>Gelper</w:t>
      </w:r>
      <w:r>
        <w:rPr>
          <w:spacing w:val="-17"/>
        </w:rPr>
        <w:t> </w:t>
      </w:r>
      <w:r>
        <w:rPr/>
        <w:t>vd.,</w:t>
      </w:r>
      <w:r>
        <w:rPr>
          <w:spacing w:val="-16"/>
        </w:rPr>
        <w:t> </w:t>
      </w:r>
      <w:r>
        <w:rPr/>
        <w:t>2018;</w:t>
      </w:r>
      <w:r>
        <w:rPr>
          <w:spacing w:val="-15"/>
        </w:rPr>
        <w:t> </w:t>
      </w:r>
      <w:r>
        <w:rPr/>
        <w:t>Houston vd., 2018).</w:t>
      </w:r>
    </w:p>
    <w:p>
      <w:pPr>
        <w:pStyle w:val="BodyText"/>
        <w:spacing w:line="360" w:lineRule="auto" w:before="3"/>
        <w:ind w:right="309" w:firstLine="708"/>
      </w:pPr>
      <w:r>
        <w:rPr/>
        <w:t>Ağızdan</w:t>
      </w:r>
      <w:r>
        <w:rPr>
          <w:spacing w:val="-12"/>
        </w:rPr>
        <w:t> </w:t>
      </w:r>
      <w:r>
        <w:rPr/>
        <w:t>ağıza</w:t>
      </w:r>
      <w:r>
        <w:rPr>
          <w:spacing w:val="-13"/>
        </w:rPr>
        <w:t> </w:t>
      </w:r>
      <w:r>
        <w:rPr/>
        <w:t>iletişim</w:t>
      </w:r>
      <w:r>
        <w:rPr>
          <w:spacing w:val="-11"/>
        </w:rPr>
        <w:t> </w:t>
      </w:r>
      <w:r>
        <w:rPr/>
        <w:t>mesajı</w:t>
      </w:r>
      <w:r>
        <w:rPr>
          <w:spacing w:val="-10"/>
        </w:rPr>
        <w:t> </w:t>
      </w:r>
      <w:r>
        <w:rPr/>
        <w:t>olumlu</w:t>
      </w:r>
      <w:r>
        <w:rPr>
          <w:spacing w:val="-12"/>
        </w:rPr>
        <w:t> </w:t>
      </w:r>
      <w:r>
        <w:rPr/>
        <w:t>ya</w:t>
      </w:r>
      <w:r>
        <w:rPr>
          <w:spacing w:val="-13"/>
        </w:rPr>
        <w:t> </w:t>
      </w:r>
      <w:r>
        <w:rPr/>
        <w:t>da</w:t>
      </w:r>
      <w:r>
        <w:rPr>
          <w:spacing w:val="-10"/>
        </w:rPr>
        <w:t> </w:t>
      </w:r>
      <w:r>
        <w:rPr/>
        <w:t>olumsuz</w:t>
      </w:r>
      <w:r>
        <w:rPr>
          <w:spacing w:val="-13"/>
        </w:rPr>
        <w:t> </w:t>
      </w:r>
      <w:r>
        <w:rPr/>
        <w:t>olabilmektedir.</w:t>
      </w:r>
      <w:r>
        <w:rPr>
          <w:spacing w:val="-12"/>
        </w:rPr>
        <w:t> </w:t>
      </w:r>
      <w:r>
        <w:rPr/>
        <w:t>Olumlu</w:t>
      </w:r>
      <w:r>
        <w:rPr>
          <w:spacing w:val="-11"/>
        </w:rPr>
        <w:t> </w:t>
      </w:r>
      <w:r>
        <w:rPr/>
        <w:t>mesajlar ya</w:t>
      </w:r>
      <w:r>
        <w:rPr>
          <w:spacing w:val="-14"/>
        </w:rPr>
        <w:t> </w:t>
      </w:r>
      <w:r>
        <w:rPr/>
        <w:t>da</w:t>
      </w:r>
      <w:r>
        <w:rPr>
          <w:spacing w:val="-12"/>
        </w:rPr>
        <w:t> </w:t>
      </w:r>
      <w:r>
        <w:rPr/>
        <w:t>yorumlar,</w:t>
      </w:r>
      <w:r>
        <w:rPr>
          <w:spacing w:val="-10"/>
        </w:rPr>
        <w:t> </w:t>
      </w:r>
      <w:r>
        <w:rPr/>
        <w:t>ürün</w:t>
      </w:r>
      <w:r>
        <w:rPr>
          <w:spacing w:val="-14"/>
        </w:rPr>
        <w:t> </w:t>
      </w:r>
      <w:r>
        <w:rPr/>
        <w:t>satın</w:t>
      </w:r>
      <w:r>
        <w:rPr>
          <w:spacing w:val="-11"/>
        </w:rPr>
        <w:t> </w:t>
      </w:r>
      <w:r>
        <w:rPr/>
        <w:t>alımı</w:t>
      </w:r>
      <w:r>
        <w:rPr>
          <w:spacing w:val="-12"/>
        </w:rPr>
        <w:t> </w:t>
      </w:r>
      <w:r>
        <w:rPr/>
        <w:t>için</w:t>
      </w:r>
      <w:r>
        <w:rPr>
          <w:spacing w:val="-12"/>
        </w:rPr>
        <w:t> </w:t>
      </w:r>
      <w:r>
        <w:rPr/>
        <w:t>doğrudan</w:t>
      </w:r>
      <w:r>
        <w:rPr>
          <w:spacing w:val="-11"/>
        </w:rPr>
        <w:t> </w:t>
      </w:r>
      <w:r>
        <w:rPr/>
        <w:t>ya</w:t>
      </w:r>
      <w:r>
        <w:rPr>
          <w:spacing w:val="-9"/>
        </w:rPr>
        <w:t> </w:t>
      </w:r>
      <w:r>
        <w:rPr/>
        <w:t>da</w:t>
      </w:r>
      <w:r>
        <w:rPr>
          <w:spacing w:val="-14"/>
        </w:rPr>
        <w:t> </w:t>
      </w:r>
      <w:r>
        <w:rPr/>
        <w:t>dolaylı</w:t>
      </w:r>
      <w:r>
        <w:rPr>
          <w:spacing w:val="-12"/>
        </w:rPr>
        <w:t> </w:t>
      </w:r>
      <w:r>
        <w:rPr/>
        <w:t>bir</w:t>
      </w:r>
      <w:r>
        <w:rPr>
          <w:spacing w:val="-14"/>
        </w:rPr>
        <w:t> </w:t>
      </w:r>
      <w:r>
        <w:rPr/>
        <w:t>öneri</w:t>
      </w:r>
      <w:r>
        <w:rPr>
          <w:spacing w:val="-13"/>
        </w:rPr>
        <w:t> </w:t>
      </w:r>
      <w:r>
        <w:rPr/>
        <w:t>içerir.</w:t>
      </w:r>
      <w:r>
        <w:rPr>
          <w:spacing w:val="-11"/>
        </w:rPr>
        <w:t> </w:t>
      </w:r>
      <w:r>
        <w:rPr/>
        <w:t>Olumlu</w:t>
      </w:r>
      <w:r>
        <w:rPr>
          <w:spacing w:val="-12"/>
        </w:rPr>
        <w:t> </w:t>
      </w:r>
      <w:r>
        <w:rPr/>
        <w:t>yorumlar algılanan riski azaltmakta, üründen beklenen kaliteyi ve ürüne yönelik tutumu artırmakta ve dolayısıyla</w:t>
      </w:r>
      <w:r>
        <w:rPr>
          <w:spacing w:val="-14"/>
        </w:rPr>
        <w:t> </w:t>
      </w:r>
      <w:r>
        <w:rPr/>
        <w:t>tüketici</w:t>
      </w:r>
      <w:r>
        <w:rPr>
          <w:spacing w:val="-13"/>
        </w:rPr>
        <w:t> </w:t>
      </w:r>
      <w:r>
        <w:rPr/>
        <w:t>satın</w:t>
      </w:r>
      <w:r>
        <w:rPr>
          <w:spacing w:val="-15"/>
        </w:rPr>
        <w:t> </w:t>
      </w:r>
      <w:r>
        <w:rPr/>
        <w:t>alma</w:t>
      </w:r>
      <w:r>
        <w:rPr>
          <w:spacing w:val="-14"/>
        </w:rPr>
        <w:t> </w:t>
      </w:r>
      <w:r>
        <w:rPr/>
        <w:t>niyetini</w:t>
      </w:r>
      <w:r>
        <w:rPr>
          <w:spacing w:val="-13"/>
        </w:rPr>
        <w:t> </w:t>
      </w:r>
      <w:r>
        <w:rPr/>
        <w:t>pozitif</w:t>
      </w:r>
      <w:r>
        <w:rPr>
          <w:spacing w:val="-13"/>
        </w:rPr>
        <w:t> </w:t>
      </w:r>
      <w:r>
        <w:rPr/>
        <w:t>etkilemektedir</w:t>
      </w:r>
      <w:r>
        <w:rPr>
          <w:spacing w:val="-14"/>
        </w:rPr>
        <w:t> </w:t>
      </w:r>
      <w:r>
        <w:rPr/>
        <w:t>(Dichter,</w:t>
      </w:r>
      <w:r>
        <w:rPr>
          <w:spacing w:val="-13"/>
        </w:rPr>
        <w:t> </w:t>
      </w:r>
      <w:r>
        <w:rPr/>
        <w:t>1966;</w:t>
      </w:r>
      <w:r>
        <w:rPr>
          <w:spacing w:val="-13"/>
        </w:rPr>
        <w:t> </w:t>
      </w:r>
      <w:r>
        <w:rPr/>
        <w:t>Floyd</w:t>
      </w:r>
      <w:r>
        <w:rPr>
          <w:spacing w:val="-13"/>
        </w:rPr>
        <w:t> </w:t>
      </w:r>
      <w:r>
        <w:rPr/>
        <w:t>vd.,</w:t>
      </w:r>
      <w:r>
        <w:rPr>
          <w:spacing w:val="-12"/>
        </w:rPr>
        <w:t> </w:t>
      </w:r>
      <w:r>
        <w:rPr/>
        <w:t>2014; Casaló</w:t>
      </w:r>
      <w:r>
        <w:rPr>
          <w:spacing w:val="-15"/>
        </w:rPr>
        <w:t> </w:t>
      </w:r>
      <w:r>
        <w:rPr/>
        <w:t>vd.,</w:t>
      </w:r>
      <w:r>
        <w:rPr>
          <w:spacing w:val="-16"/>
        </w:rPr>
        <w:t> </w:t>
      </w:r>
      <w:r>
        <w:rPr/>
        <w:t>2015;</w:t>
      </w:r>
      <w:r>
        <w:rPr>
          <w:spacing w:val="-14"/>
        </w:rPr>
        <w:t> </w:t>
      </w:r>
      <w:r>
        <w:rPr/>
        <w:t>Li</w:t>
      </w:r>
      <w:r>
        <w:rPr>
          <w:spacing w:val="-13"/>
        </w:rPr>
        <w:t> </w:t>
      </w:r>
      <w:r>
        <w:rPr/>
        <w:t>ve</w:t>
      </w:r>
      <w:r>
        <w:rPr>
          <w:spacing w:val="-16"/>
        </w:rPr>
        <w:t> </w:t>
      </w:r>
      <w:r>
        <w:rPr/>
        <w:t>Shimizu,</w:t>
      </w:r>
      <w:r>
        <w:rPr>
          <w:spacing w:val="-16"/>
        </w:rPr>
        <w:t> </w:t>
      </w:r>
      <w:r>
        <w:rPr/>
        <w:t>2018).</w:t>
      </w:r>
      <w:r>
        <w:rPr>
          <w:spacing w:val="-15"/>
        </w:rPr>
        <w:t> </w:t>
      </w:r>
      <w:r>
        <w:rPr/>
        <w:t>Doğal</w:t>
      </w:r>
      <w:r>
        <w:rPr>
          <w:spacing w:val="-15"/>
        </w:rPr>
        <w:t> </w:t>
      </w:r>
      <w:r>
        <w:rPr/>
        <w:t>olarak,</w:t>
      </w:r>
      <w:r>
        <w:rPr>
          <w:spacing w:val="-15"/>
        </w:rPr>
        <w:t> </w:t>
      </w:r>
      <w:r>
        <w:rPr/>
        <w:t>olumlu</w:t>
      </w:r>
      <w:r>
        <w:rPr>
          <w:spacing w:val="-15"/>
        </w:rPr>
        <w:t> </w:t>
      </w:r>
      <w:r>
        <w:rPr/>
        <w:t>yorumlar</w:t>
      </w:r>
      <w:r>
        <w:rPr>
          <w:spacing w:val="-14"/>
        </w:rPr>
        <w:t> </w:t>
      </w:r>
      <w:r>
        <w:rPr/>
        <w:t>tüketicinin</w:t>
      </w:r>
      <w:r>
        <w:rPr>
          <w:spacing w:val="-16"/>
        </w:rPr>
        <w:t> </w:t>
      </w:r>
      <w:r>
        <w:rPr/>
        <w:t>satın</w:t>
      </w:r>
      <w:r>
        <w:rPr>
          <w:spacing w:val="-15"/>
        </w:rPr>
        <w:t> </w:t>
      </w:r>
      <w:r>
        <w:rPr/>
        <w:t>alma olasılığını da artırmaktadır. Araştırmalar olumlu yorumların perakende (örn. Cui vd., 2012; Moen</w:t>
      </w:r>
      <w:r>
        <w:rPr>
          <w:spacing w:val="-12"/>
        </w:rPr>
        <w:t> </w:t>
      </w:r>
      <w:r>
        <w:rPr/>
        <w:t>vd.,</w:t>
      </w:r>
      <w:r>
        <w:rPr>
          <w:spacing w:val="-11"/>
        </w:rPr>
        <w:t> </w:t>
      </w:r>
      <w:r>
        <w:rPr/>
        <w:t>2017;</w:t>
      </w:r>
      <w:r>
        <w:rPr>
          <w:spacing w:val="-11"/>
        </w:rPr>
        <w:t> </w:t>
      </w:r>
      <w:r>
        <w:rPr/>
        <w:t>Suryadi</w:t>
      </w:r>
      <w:r>
        <w:rPr>
          <w:spacing w:val="-13"/>
        </w:rPr>
        <w:t> </w:t>
      </w:r>
      <w:r>
        <w:rPr/>
        <w:t>ve</w:t>
      </w:r>
      <w:r>
        <w:rPr>
          <w:spacing w:val="-13"/>
        </w:rPr>
        <w:t> </w:t>
      </w:r>
      <w:r>
        <w:rPr/>
        <w:t>Kim,</w:t>
      </w:r>
      <w:r>
        <w:rPr>
          <w:spacing w:val="-11"/>
        </w:rPr>
        <w:t> </w:t>
      </w:r>
      <w:r>
        <w:rPr/>
        <w:t>2018)</w:t>
      </w:r>
      <w:r>
        <w:rPr>
          <w:spacing w:val="-12"/>
        </w:rPr>
        <w:t> </w:t>
      </w:r>
      <w:r>
        <w:rPr/>
        <w:t>ve</w:t>
      </w:r>
      <w:r>
        <w:rPr>
          <w:spacing w:val="-12"/>
        </w:rPr>
        <w:t> </w:t>
      </w:r>
      <w:r>
        <w:rPr/>
        <w:t>hizmet</w:t>
      </w:r>
      <w:r>
        <w:rPr>
          <w:spacing w:val="-11"/>
        </w:rPr>
        <w:t> </w:t>
      </w:r>
      <w:r>
        <w:rPr/>
        <w:t>(Sparks</w:t>
      </w:r>
      <w:r>
        <w:rPr>
          <w:spacing w:val="-13"/>
        </w:rPr>
        <w:t> </w:t>
      </w:r>
      <w:r>
        <w:rPr/>
        <w:t>ve</w:t>
      </w:r>
      <w:r>
        <w:rPr>
          <w:spacing w:val="-12"/>
        </w:rPr>
        <w:t> </w:t>
      </w:r>
      <w:r>
        <w:rPr/>
        <w:t>Browning,</w:t>
      </w:r>
      <w:r>
        <w:rPr>
          <w:spacing w:val="-11"/>
        </w:rPr>
        <w:t> </w:t>
      </w:r>
      <w:r>
        <w:rPr/>
        <w:t>2011;</w:t>
      </w:r>
      <w:r>
        <w:rPr>
          <w:spacing w:val="-11"/>
        </w:rPr>
        <w:t> </w:t>
      </w:r>
      <w:r>
        <w:rPr/>
        <w:t>Öğüt</w:t>
      </w:r>
      <w:r>
        <w:rPr>
          <w:spacing w:val="-12"/>
        </w:rPr>
        <w:t> </w:t>
      </w:r>
      <w:r>
        <w:rPr/>
        <w:t>ve</w:t>
      </w:r>
      <w:r>
        <w:rPr>
          <w:spacing w:val="-12"/>
        </w:rPr>
        <w:t> </w:t>
      </w:r>
      <w:r>
        <w:rPr/>
        <w:t>Onur Taş, 2012; Raguseo vd., 2017) sektörlerinde firmaların satışlarını ve karlılığını artırdığını ortaya koymuştur. Ayrıca, olumlu yorumlar, marka ve şirket imajına olumlu katkı sağlayabilmekte (Arndt, 1967) ve şirketin tutundurma harcamalarında tasarruf etmesine yardımcı olabilmektedir (Sundaram vd.,</w:t>
      </w:r>
      <w:r>
        <w:rPr>
          <w:spacing w:val="-1"/>
        </w:rPr>
        <w:t> </w:t>
      </w:r>
      <w:r>
        <w:rPr/>
        <w:t>1998).</w:t>
      </w:r>
    </w:p>
    <w:p>
      <w:pPr>
        <w:pStyle w:val="BodyText"/>
        <w:spacing w:line="360" w:lineRule="auto"/>
        <w:ind w:right="311" w:firstLine="708"/>
      </w:pPr>
      <w:r>
        <w:rPr/>
        <w:t>Olumsuz</w:t>
      </w:r>
      <w:r>
        <w:rPr>
          <w:spacing w:val="-12"/>
        </w:rPr>
        <w:t> </w:t>
      </w:r>
      <w:r>
        <w:rPr/>
        <w:t>yorumlar</w:t>
      </w:r>
      <w:r>
        <w:rPr>
          <w:spacing w:val="-12"/>
        </w:rPr>
        <w:t> </w:t>
      </w:r>
      <w:r>
        <w:rPr/>
        <w:t>ise,</w:t>
      </w:r>
      <w:r>
        <w:rPr>
          <w:spacing w:val="-10"/>
        </w:rPr>
        <w:t> </w:t>
      </w:r>
      <w:r>
        <w:rPr/>
        <w:t>ürünün</w:t>
      </w:r>
      <w:r>
        <w:rPr>
          <w:spacing w:val="-11"/>
        </w:rPr>
        <w:t> </w:t>
      </w:r>
      <w:r>
        <w:rPr/>
        <w:t>veya</w:t>
      </w:r>
      <w:r>
        <w:rPr>
          <w:spacing w:val="-11"/>
        </w:rPr>
        <w:t> </w:t>
      </w:r>
      <w:r>
        <w:rPr/>
        <w:t>hizmetin</w:t>
      </w:r>
      <w:r>
        <w:rPr>
          <w:spacing w:val="-10"/>
        </w:rPr>
        <w:t> </w:t>
      </w:r>
      <w:r>
        <w:rPr/>
        <w:t>kötülenmesi,</w:t>
      </w:r>
      <w:r>
        <w:rPr>
          <w:spacing w:val="-11"/>
        </w:rPr>
        <w:t> </w:t>
      </w:r>
      <w:r>
        <w:rPr/>
        <w:t>ürünle</w:t>
      </w:r>
      <w:r>
        <w:rPr>
          <w:spacing w:val="-11"/>
        </w:rPr>
        <w:t> </w:t>
      </w:r>
      <w:r>
        <w:rPr/>
        <w:t>veya</w:t>
      </w:r>
      <w:r>
        <w:rPr>
          <w:spacing w:val="-11"/>
        </w:rPr>
        <w:t> </w:t>
      </w:r>
      <w:r>
        <w:rPr/>
        <w:t>hizmetle</w:t>
      </w:r>
      <w:r>
        <w:rPr>
          <w:spacing w:val="-11"/>
        </w:rPr>
        <w:t> </w:t>
      </w:r>
      <w:r>
        <w:rPr/>
        <w:t>ilgili söylentileri ve şikayetleri içerebilir (Liu, 2006). Olumsuz yorumlar, tüketicinin ürünle/hizmetle ilgili algılarını ve tutumlarını negatif etkileyebilmekte ve ürünle/hizmetle ilgili algıladığı riski artırabilmektedir (Brunner vd., 2019). Dolayısıyla, olumsuz yorumlar, tüketicilerin satın alma kararlarından vazgeçmesine ve hatta şirket itibarının ve finansal durumunun zedelenmesine neden olabilmektedir (Sundaram vd., 1998).</w:t>
      </w:r>
      <w:r>
        <w:rPr>
          <w:spacing w:val="11"/>
        </w:rPr>
        <w:t> </w:t>
      </w:r>
      <w:r>
        <w:rPr/>
        <w:t>Araştırmalarda,</w:t>
      </w:r>
    </w:p>
    <w:p>
      <w:pPr>
        <w:spacing w:after="0" w:line="360" w:lineRule="auto"/>
        <w:sectPr>
          <w:pgSz w:w="12240" w:h="15840"/>
          <w:pgMar w:header="718" w:footer="0" w:top="1300" w:bottom="280" w:left="1720" w:right="820"/>
        </w:sectPr>
      </w:pPr>
    </w:p>
    <w:p>
      <w:pPr>
        <w:pStyle w:val="BodyText"/>
        <w:spacing w:line="360" w:lineRule="auto" w:before="100"/>
        <w:ind w:right="305"/>
      </w:pPr>
      <w:r>
        <w:rPr/>
        <w:t>olumsuz yorumların ürün satışlarını negatif etkilediği tespit edilmiştir (örn. Cui vd., 2012; Gu vd., 2013; Jabr ve Zheng, 2014; Suryadi ve Kim, 2018). Olumsuz yorumların olumlu yorumlardan çok daha güçlü bir etkiye sahip olduğu kabul edilmektedir (Arndt, 1967; Weinberger vd., 1980; Brown ve Reingen, 1987; Chaterjee, 2001; Li ve Shimizu, 2018). Bu varsayım Beklenti Teorisi’ne (Prospect Theory) (Kahneman ve Tversky, 1979) dayanmaktadır. Bu teoriye göre; insanlar karar alırken olası kayıpları ve kazançları dikkate almaktadır (Li ve Shimizu, 2018). Olumsuz bilgiler olumlu bilgilerden daha güçlü, etkili ve karşı konulması daha zordur (Baumeister vd., 2001; Floyd vd., 2014). Bu nedenle, olası kayıplar ile kazançlar farklı değerlendirilmekte ve karar alınırken kayıptan kaçınılmaya çalışılmaktadır (Li ve Shimizu, 2018). İnsanlar kaybetmeyi sevmemekte ve olası kayıp ve olası kazanç denk olduğunda kaybetmemeyi seçmektedir. Dolayısıyla, tüketici kararlarında, olası</w:t>
      </w:r>
      <w:r>
        <w:rPr>
          <w:spacing w:val="-6"/>
        </w:rPr>
        <w:t> </w:t>
      </w:r>
      <w:r>
        <w:rPr/>
        <w:t>bir</w:t>
      </w:r>
      <w:r>
        <w:rPr>
          <w:spacing w:val="-7"/>
        </w:rPr>
        <w:t> </w:t>
      </w:r>
      <w:r>
        <w:rPr/>
        <w:t>kaybı</w:t>
      </w:r>
      <w:r>
        <w:rPr>
          <w:spacing w:val="-6"/>
        </w:rPr>
        <w:t> </w:t>
      </w:r>
      <w:r>
        <w:rPr/>
        <w:t>işaret</w:t>
      </w:r>
      <w:r>
        <w:rPr>
          <w:spacing w:val="-3"/>
        </w:rPr>
        <w:t> </w:t>
      </w:r>
      <w:r>
        <w:rPr/>
        <w:t>eden</w:t>
      </w:r>
      <w:r>
        <w:rPr>
          <w:spacing w:val="-4"/>
        </w:rPr>
        <w:t> </w:t>
      </w:r>
      <w:r>
        <w:rPr/>
        <w:t>olumsuz</w:t>
      </w:r>
      <w:r>
        <w:rPr>
          <w:spacing w:val="-7"/>
        </w:rPr>
        <w:t> </w:t>
      </w:r>
      <w:r>
        <w:rPr/>
        <w:t>yorumların</w:t>
      </w:r>
      <w:r>
        <w:rPr>
          <w:spacing w:val="-6"/>
        </w:rPr>
        <w:t> </w:t>
      </w:r>
      <w:r>
        <w:rPr/>
        <w:t>olası</w:t>
      </w:r>
      <w:r>
        <w:rPr>
          <w:spacing w:val="-6"/>
        </w:rPr>
        <w:t> </w:t>
      </w:r>
      <w:r>
        <w:rPr/>
        <w:t>kazancı</w:t>
      </w:r>
      <w:r>
        <w:rPr>
          <w:spacing w:val="-6"/>
        </w:rPr>
        <w:t> </w:t>
      </w:r>
      <w:r>
        <w:rPr/>
        <w:t>işaret</w:t>
      </w:r>
      <w:r>
        <w:rPr>
          <w:spacing w:val="-3"/>
        </w:rPr>
        <w:t> </w:t>
      </w:r>
      <w:r>
        <w:rPr/>
        <w:t>eden</w:t>
      </w:r>
      <w:r>
        <w:rPr>
          <w:spacing w:val="-6"/>
        </w:rPr>
        <w:t> </w:t>
      </w:r>
      <w:r>
        <w:rPr/>
        <w:t>olumlu</w:t>
      </w:r>
      <w:r>
        <w:rPr>
          <w:spacing w:val="-6"/>
        </w:rPr>
        <w:t> </w:t>
      </w:r>
      <w:r>
        <w:rPr/>
        <w:t>yorumlardan daha etkili olduğu kabul edilmektedir (Floyd vd., 2014; Li ve Shimizu, 2018). Literatürde, olumsuz yorumların olumlu yorumlardan daha etkili olduğunu ortaya koyan çalışmalar bulunmaktadır (örn. Chevalier ve Mayzlin, 2006; Cui vd., 2012; Ludwig vd., 2013; Jabr ve Zheng 2014; Li ve Shimizu, 2018). Ancak, olumlu yorumların olumsuz yorumlardan daha etkili olduğu sonucuna ulaşan çalışmalar da mevcuttur (örn. Estrella-Ramón ve Ellis- Chadwick, 2017; Moen vd.,</w:t>
      </w:r>
      <w:r>
        <w:rPr>
          <w:spacing w:val="-1"/>
        </w:rPr>
        <w:t> </w:t>
      </w:r>
      <w:r>
        <w:rPr/>
        <w:t>2017).</w:t>
      </w:r>
    </w:p>
    <w:p>
      <w:pPr>
        <w:pStyle w:val="BodyText"/>
        <w:spacing w:line="360" w:lineRule="auto" w:before="2"/>
        <w:ind w:right="314" w:firstLine="708"/>
      </w:pPr>
      <w:r>
        <w:rPr/>
        <w:t>Ağızdan ağıza iletişimde etki düzeyi; bilginin aktif araştırılma derecesine (Bansal ve Voyer,</w:t>
      </w:r>
      <w:r>
        <w:rPr>
          <w:spacing w:val="-8"/>
        </w:rPr>
        <w:t> </w:t>
      </w:r>
      <w:r>
        <w:rPr/>
        <w:t>2000),</w:t>
      </w:r>
      <w:r>
        <w:rPr>
          <w:spacing w:val="-7"/>
        </w:rPr>
        <w:t> </w:t>
      </w:r>
      <w:r>
        <w:rPr/>
        <w:t>taraflar</w:t>
      </w:r>
      <w:r>
        <w:rPr>
          <w:spacing w:val="-8"/>
        </w:rPr>
        <w:t> </w:t>
      </w:r>
      <w:r>
        <w:rPr/>
        <w:t>arasındaki</w:t>
      </w:r>
      <w:r>
        <w:rPr>
          <w:spacing w:val="-7"/>
        </w:rPr>
        <w:t> </w:t>
      </w:r>
      <w:r>
        <w:rPr/>
        <w:t>bağ</w:t>
      </w:r>
      <w:r>
        <w:rPr>
          <w:spacing w:val="-7"/>
        </w:rPr>
        <w:t> </w:t>
      </w:r>
      <w:r>
        <w:rPr/>
        <w:t>gücüne</w:t>
      </w:r>
      <w:r>
        <w:rPr>
          <w:spacing w:val="-8"/>
        </w:rPr>
        <w:t> </w:t>
      </w:r>
      <w:r>
        <w:rPr/>
        <w:t>(bireyler</w:t>
      </w:r>
      <w:r>
        <w:rPr>
          <w:spacing w:val="-8"/>
        </w:rPr>
        <w:t> </w:t>
      </w:r>
      <w:r>
        <w:rPr/>
        <w:t>arası</w:t>
      </w:r>
      <w:r>
        <w:rPr>
          <w:spacing w:val="-7"/>
        </w:rPr>
        <w:t> </w:t>
      </w:r>
      <w:r>
        <w:rPr/>
        <w:t>sosyal</w:t>
      </w:r>
      <w:r>
        <w:rPr>
          <w:spacing w:val="-7"/>
        </w:rPr>
        <w:t> </w:t>
      </w:r>
      <w:r>
        <w:rPr/>
        <w:t>ilişki</w:t>
      </w:r>
      <w:r>
        <w:rPr>
          <w:spacing w:val="-6"/>
        </w:rPr>
        <w:t> </w:t>
      </w:r>
      <w:r>
        <w:rPr/>
        <w:t>yoğunluğu,</w:t>
      </w:r>
      <w:r>
        <w:rPr>
          <w:spacing w:val="-7"/>
        </w:rPr>
        <w:t> </w:t>
      </w:r>
      <w:r>
        <w:rPr/>
        <w:t>yakınlık düzeyi), benzerliğe (homophily, demografik özellikler ve yaşam tarzı gibi belirli özellikler bakımından bireylerin benzerliği) ve kaynak güvenilirliğine (bilgiyi sağlayan kişinin algılanan yetkinliği) (Brown vd., 2007) göre değişebilmektedir. Takip eden paragraflarda ağızdan ağıza iletişimin etki düzeyini etkileyen bu unsurlar</w:t>
      </w:r>
      <w:r>
        <w:rPr>
          <w:spacing w:val="-5"/>
        </w:rPr>
        <w:t> </w:t>
      </w:r>
      <w:r>
        <w:rPr/>
        <w:t>açıklanmaktadır.</w:t>
      </w:r>
    </w:p>
    <w:p>
      <w:pPr>
        <w:pStyle w:val="BodyText"/>
        <w:spacing w:line="360" w:lineRule="auto"/>
        <w:ind w:right="310" w:firstLine="708"/>
      </w:pPr>
      <w:r>
        <w:rPr>
          <w:b/>
        </w:rPr>
        <w:t>Bilginin</w:t>
      </w:r>
      <w:r>
        <w:rPr>
          <w:b/>
          <w:spacing w:val="-7"/>
        </w:rPr>
        <w:t> </w:t>
      </w:r>
      <w:r>
        <w:rPr>
          <w:b/>
        </w:rPr>
        <w:t>aktif</w:t>
      </w:r>
      <w:r>
        <w:rPr>
          <w:b/>
          <w:spacing w:val="-8"/>
        </w:rPr>
        <w:t> </w:t>
      </w:r>
      <w:r>
        <w:rPr>
          <w:b/>
        </w:rPr>
        <w:t>araştırılma</w:t>
      </w:r>
      <w:r>
        <w:rPr>
          <w:b/>
          <w:spacing w:val="-8"/>
        </w:rPr>
        <w:t> </w:t>
      </w:r>
      <w:r>
        <w:rPr>
          <w:b/>
        </w:rPr>
        <w:t>derecesi:</w:t>
      </w:r>
      <w:r>
        <w:rPr>
          <w:b/>
          <w:spacing w:val="-6"/>
        </w:rPr>
        <w:t> </w:t>
      </w:r>
      <w:r>
        <w:rPr/>
        <w:t>Satın</w:t>
      </w:r>
      <w:r>
        <w:rPr>
          <w:spacing w:val="-8"/>
        </w:rPr>
        <w:t> </w:t>
      </w:r>
      <w:r>
        <w:rPr/>
        <w:t>alma</w:t>
      </w:r>
      <w:r>
        <w:rPr>
          <w:spacing w:val="-8"/>
        </w:rPr>
        <w:t> </w:t>
      </w:r>
      <w:r>
        <w:rPr/>
        <w:t>sürecinde</w:t>
      </w:r>
      <w:r>
        <w:rPr>
          <w:spacing w:val="-9"/>
        </w:rPr>
        <w:t> </w:t>
      </w:r>
      <w:r>
        <w:rPr/>
        <w:t>diğer</w:t>
      </w:r>
      <w:r>
        <w:rPr>
          <w:spacing w:val="-8"/>
        </w:rPr>
        <w:t> </w:t>
      </w:r>
      <w:r>
        <w:rPr/>
        <w:t>bilgi</w:t>
      </w:r>
      <w:r>
        <w:rPr>
          <w:spacing w:val="-7"/>
        </w:rPr>
        <w:t> </w:t>
      </w:r>
      <w:r>
        <w:rPr/>
        <w:t>kaynaklarından elde edilebilecek bilgi azaldıkça tüketici diğer tüketicilerin görüşlerine daha bağımlı hale gelmektedir</w:t>
      </w:r>
      <w:r>
        <w:rPr>
          <w:spacing w:val="-15"/>
        </w:rPr>
        <w:t> </w:t>
      </w:r>
      <w:r>
        <w:rPr/>
        <w:t>(Simonson</w:t>
      </w:r>
      <w:r>
        <w:rPr>
          <w:spacing w:val="-14"/>
        </w:rPr>
        <w:t> </w:t>
      </w:r>
      <w:r>
        <w:rPr/>
        <w:t>ve</w:t>
      </w:r>
      <w:r>
        <w:rPr>
          <w:spacing w:val="-15"/>
        </w:rPr>
        <w:t> </w:t>
      </w:r>
      <w:r>
        <w:rPr/>
        <w:t>Rosen,</w:t>
      </w:r>
      <w:r>
        <w:rPr>
          <w:spacing w:val="-13"/>
        </w:rPr>
        <w:t> </w:t>
      </w:r>
      <w:r>
        <w:rPr/>
        <w:t>2014).</w:t>
      </w:r>
      <w:r>
        <w:rPr>
          <w:spacing w:val="-14"/>
        </w:rPr>
        <w:t> </w:t>
      </w:r>
      <w:r>
        <w:rPr/>
        <w:t>Ağızdan</w:t>
      </w:r>
      <w:r>
        <w:rPr>
          <w:spacing w:val="-12"/>
        </w:rPr>
        <w:t> </w:t>
      </w:r>
      <w:r>
        <w:rPr/>
        <w:t>ağıza</w:t>
      </w:r>
      <w:r>
        <w:rPr>
          <w:spacing w:val="-16"/>
        </w:rPr>
        <w:t> </w:t>
      </w:r>
      <w:r>
        <w:rPr/>
        <w:t>iletişim</w:t>
      </w:r>
      <w:r>
        <w:rPr>
          <w:spacing w:val="-13"/>
        </w:rPr>
        <w:t> </w:t>
      </w:r>
      <w:r>
        <w:rPr/>
        <w:t>sürecinde</w:t>
      </w:r>
      <w:r>
        <w:rPr>
          <w:spacing w:val="-15"/>
        </w:rPr>
        <w:t> </w:t>
      </w:r>
      <w:r>
        <w:rPr/>
        <w:t>alıcı</w:t>
      </w:r>
      <w:r>
        <w:rPr>
          <w:spacing w:val="-14"/>
        </w:rPr>
        <w:t> </w:t>
      </w:r>
      <w:r>
        <w:rPr/>
        <w:t>ne</w:t>
      </w:r>
      <w:r>
        <w:rPr>
          <w:spacing w:val="-11"/>
        </w:rPr>
        <w:t> </w:t>
      </w:r>
      <w:r>
        <w:rPr/>
        <w:t>kadar</w:t>
      </w:r>
      <w:r>
        <w:rPr>
          <w:spacing w:val="-15"/>
        </w:rPr>
        <w:t> </w:t>
      </w:r>
      <w:r>
        <w:rPr/>
        <w:t>aktif bilgi arayışında ise elde edilen bilginin satın alma kararına etkisi de o derece artmaktadır (Bansal ve Voyer, 2000). Genelde, gerçekleştirilecek satın almanın tüketici açısından</w:t>
      </w:r>
      <w:r>
        <w:rPr>
          <w:spacing w:val="-18"/>
        </w:rPr>
        <w:t> </w:t>
      </w:r>
      <w:r>
        <w:rPr/>
        <w:t>önemi arttıkça,</w:t>
      </w:r>
      <w:r>
        <w:rPr>
          <w:spacing w:val="-4"/>
        </w:rPr>
        <w:t> </w:t>
      </w:r>
      <w:r>
        <w:rPr/>
        <w:t>satın</w:t>
      </w:r>
      <w:r>
        <w:rPr>
          <w:spacing w:val="-4"/>
        </w:rPr>
        <w:t> </w:t>
      </w:r>
      <w:r>
        <w:rPr/>
        <w:t>alma</w:t>
      </w:r>
      <w:r>
        <w:rPr>
          <w:spacing w:val="-3"/>
        </w:rPr>
        <w:t> </w:t>
      </w:r>
      <w:r>
        <w:rPr/>
        <w:t>hakkında</w:t>
      </w:r>
      <w:r>
        <w:rPr>
          <w:spacing w:val="-5"/>
        </w:rPr>
        <w:t> </w:t>
      </w:r>
      <w:r>
        <w:rPr/>
        <w:t>daha</w:t>
      </w:r>
      <w:r>
        <w:rPr>
          <w:spacing w:val="-3"/>
        </w:rPr>
        <w:t> </w:t>
      </w:r>
      <w:r>
        <w:rPr/>
        <w:t>fazla</w:t>
      </w:r>
      <w:r>
        <w:rPr>
          <w:spacing w:val="-3"/>
        </w:rPr>
        <w:t> </w:t>
      </w:r>
      <w:r>
        <w:rPr/>
        <w:t>şey</w:t>
      </w:r>
      <w:r>
        <w:rPr>
          <w:spacing w:val="-4"/>
        </w:rPr>
        <w:t> </w:t>
      </w:r>
      <w:r>
        <w:rPr/>
        <w:t>öğrenilmesi</w:t>
      </w:r>
      <w:r>
        <w:rPr>
          <w:spacing w:val="-3"/>
        </w:rPr>
        <w:t> </w:t>
      </w:r>
      <w:r>
        <w:rPr/>
        <w:t>gerektiğinde</w:t>
      </w:r>
      <w:r>
        <w:rPr>
          <w:spacing w:val="-4"/>
        </w:rPr>
        <w:t> </w:t>
      </w:r>
      <w:r>
        <w:rPr/>
        <w:t>ya</w:t>
      </w:r>
      <w:r>
        <w:rPr>
          <w:spacing w:val="-5"/>
        </w:rPr>
        <w:t> </w:t>
      </w:r>
      <w:r>
        <w:rPr/>
        <w:t>da</w:t>
      </w:r>
      <w:r>
        <w:rPr>
          <w:spacing w:val="-1"/>
        </w:rPr>
        <w:t> </w:t>
      </w:r>
      <w:r>
        <w:rPr/>
        <w:t>ilgili</w:t>
      </w:r>
      <w:r>
        <w:rPr>
          <w:spacing w:val="-3"/>
        </w:rPr>
        <w:t> </w:t>
      </w:r>
      <w:r>
        <w:rPr/>
        <w:t>bilgiyi</w:t>
      </w:r>
      <w:r>
        <w:rPr>
          <w:spacing w:val="-3"/>
        </w:rPr>
        <w:t> </w:t>
      </w:r>
      <w:r>
        <w:rPr/>
        <w:t>elde etmek</w:t>
      </w:r>
      <w:r>
        <w:rPr>
          <w:spacing w:val="31"/>
        </w:rPr>
        <w:t> </w:t>
      </w:r>
      <w:r>
        <w:rPr/>
        <w:t>kolaylaştığında</w:t>
      </w:r>
      <w:r>
        <w:rPr>
          <w:spacing w:val="30"/>
        </w:rPr>
        <w:t> </w:t>
      </w:r>
      <w:r>
        <w:rPr/>
        <w:t>tüketici</w:t>
      </w:r>
      <w:r>
        <w:rPr>
          <w:spacing w:val="31"/>
        </w:rPr>
        <w:t> </w:t>
      </w:r>
      <w:r>
        <w:rPr/>
        <w:t>bilgi</w:t>
      </w:r>
      <w:r>
        <w:rPr>
          <w:spacing w:val="31"/>
        </w:rPr>
        <w:t> </w:t>
      </w:r>
      <w:r>
        <w:rPr/>
        <w:t>arayışında</w:t>
      </w:r>
      <w:r>
        <w:rPr>
          <w:spacing w:val="31"/>
        </w:rPr>
        <w:t> </w:t>
      </w:r>
      <w:r>
        <w:rPr/>
        <w:t>daha</w:t>
      </w:r>
      <w:r>
        <w:rPr>
          <w:spacing w:val="30"/>
        </w:rPr>
        <w:t> </w:t>
      </w:r>
      <w:r>
        <w:rPr/>
        <w:t>da</w:t>
      </w:r>
      <w:r>
        <w:rPr>
          <w:spacing w:val="30"/>
        </w:rPr>
        <w:t> </w:t>
      </w:r>
      <w:r>
        <w:rPr/>
        <w:t>aktif</w:t>
      </w:r>
      <w:r>
        <w:rPr>
          <w:spacing w:val="30"/>
        </w:rPr>
        <w:t> </w:t>
      </w:r>
      <w:r>
        <w:rPr/>
        <w:t>olmaktadır</w:t>
      </w:r>
      <w:r>
        <w:rPr>
          <w:spacing w:val="31"/>
        </w:rPr>
        <w:t> </w:t>
      </w:r>
      <w:r>
        <w:rPr/>
        <w:t>(Solomon,</w:t>
      </w:r>
      <w:r>
        <w:rPr>
          <w:spacing w:val="31"/>
        </w:rPr>
        <w:t> </w:t>
      </w:r>
      <w:r>
        <w:rPr/>
        <w:t>2018:</w:t>
      </w:r>
    </w:p>
    <w:p>
      <w:pPr>
        <w:spacing w:after="0" w:line="360" w:lineRule="auto"/>
        <w:sectPr>
          <w:pgSz w:w="12240" w:h="15840"/>
          <w:pgMar w:header="718" w:footer="0" w:top="1300" w:bottom="280" w:left="1720" w:right="820"/>
        </w:sectPr>
      </w:pPr>
    </w:p>
    <w:p>
      <w:pPr>
        <w:pStyle w:val="BodyText"/>
        <w:spacing w:line="360" w:lineRule="auto" w:before="100"/>
        <w:ind w:right="315"/>
      </w:pPr>
      <w:r>
        <w:rPr/>
        <w:t>340). Ayrıca, Bölüm 1.1.2.’de açıklandığı gibi, aranılan bilginin aktif araştırılma derecesi ürün ve tüketici özelliklerine göre de değişmektedir.</w:t>
      </w:r>
    </w:p>
    <w:p>
      <w:pPr>
        <w:pStyle w:val="BodyText"/>
        <w:spacing w:line="360" w:lineRule="auto" w:before="1"/>
        <w:ind w:right="309" w:firstLine="708"/>
      </w:pPr>
      <w:r>
        <w:rPr>
          <w:b/>
        </w:rPr>
        <w:t>Taraflar</w:t>
      </w:r>
      <w:r>
        <w:rPr>
          <w:b/>
          <w:spacing w:val="-13"/>
        </w:rPr>
        <w:t> </w:t>
      </w:r>
      <w:r>
        <w:rPr>
          <w:b/>
        </w:rPr>
        <w:t>arasındaki</w:t>
      </w:r>
      <w:r>
        <w:rPr>
          <w:b/>
          <w:spacing w:val="-11"/>
        </w:rPr>
        <w:t> </w:t>
      </w:r>
      <w:r>
        <w:rPr>
          <w:b/>
        </w:rPr>
        <w:t>bağ</w:t>
      </w:r>
      <w:r>
        <w:rPr>
          <w:b/>
          <w:spacing w:val="-13"/>
        </w:rPr>
        <w:t> </w:t>
      </w:r>
      <w:r>
        <w:rPr>
          <w:b/>
        </w:rPr>
        <w:t>gücü:</w:t>
      </w:r>
      <w:r>
        <w:rPr>
          <w:b/>
          <w:spacing w:val="-11"/>
        </w:rPr>
        <w:t> </w:t>
      </w:r>
      <w:r>
        <w:rPr/>
        <w:t>Bağ</w:t>
      </w:r>
      <w:r>
        <w:rPr>
          <w:spacing w:val="-11"/>
        </w:rPr>
        <w:t> </w:t>
      </w:r>
      <w:r>
        <w:rPr/>
        <w:t>gücü,</w:t>
      </w:r>
      <w:r>
        <w:rPr>
          <w:spacing w:val="-11"/>
        </w:rPr>
        <w:t> </w:t>
      </w:r>
      <w:r>
        <w:rPr/>
        <w:t>sosyal</w:t>
      </w:r>
      <w:r>
        <w:rPr>
          <w:spacing w:val="-12"/>
        </w:rPr>
        <w:t> </w:t>
      </w:r>
      <w:r>
        <w:rPr/>
        <w:t>ağlar</w:t>
      </w:r>
      <w:r>
        <w:rPr>
          <w:spacing w:val="-12"/>
        </w:rPr>
        <w:t> </w:t>
      </w:r>
      <w:r>
        <w:rPr/>
        <w:t>bağlamında</w:t>
      </w:r>
      <w:r>
        <w:rPr>
          <w:spacing w:val="-9"/>
        </w:rPr>
        <w:t> </w:t>
      </w:r>
      <w:r>
        <w:rPr/>
        <w:t>kişiler</w:t>
      </w:r>
      <w:r>
        <w:rPr>
          <w:spacing w:val="-13"/>
        </w:rPr>
        <w:t> </w:t>
      </w:r>
      <w:r>
        <w:rPr/>
        <w:t>arasındaki ikili</w:t>
      </w:r>
      <w:r>
        <w:rPr>
          <w:spacing w:val="-8"/>
        </w:rPr>
        <w:t> </w:t>
      </w:r>
      <w:r>
        <w:rPr/>
        <w:t>ilişkilerin</w:t>
      </w:r>
      <w:r>
        <w:rPr>
          <w:spacing w:val="-7"/>
        </w:rPr>
        <w:t> </w:t>
      </w:r>
      <w:r>
        <w:rPr/>
        <w:t>gücünü</w:t>
      </w:r>
      <w:r>
        <w:rPr>
          <w:spacing w:val="-9"/>
        </w:rPr>
        <w:t> </w:t>
      </w:r>
      <w:r>
        <w:rPr/>
        <w:t>temsil</w:t>
      </w:r>
      <w:r>
        <w:rPr>
          <w:spacing w:val="-7"/>
        </w:rPr>
        <w:t> </w:t>
      </w:r>
      <w:r>
        <w:rPr/>
        <w:t>eden</w:t>
      </w:r>
      <w:r>
        <w:rPr>
          <w:spacing w:val="-8"/>
        </w:rPr>
        <w:t> </w:t>
      </w:r>
      <w:r>
        <w:rPr/>
        <w:t>çok</w:t>
      </w:r>
      <w:r>
        <w:rPr>
          <w:spacing w:val="-7"/>
        </w:rPr>
        <w:t> </w:t>
      </w:r>
      <w:r>
        <w:rPr/>
        <w:t>boyutlu</w:t>
      </w:r>
      <w:r>
        <w:rPr>
          <w:spacing w:val="-8"/>
        </w:rPr>
        <w:t> </w:t>
      </w:r>
      <w:r>
        <w:rPr/>
        <w:t>bir</w:t>
      </w:r>
      <w:r>
        <w:rPr>
          <w:spacing w:val="-7"/>
        </w:rPr>
        <w:t> </w:t>
      </w:r>
      <w:r>
        <w:rPr/>
        <w:t>yapıdır</w:t>
      </w:r>
      <w:r>
        <w:rPr>
          <w:spacing w:val="-8"/>
        </w:rPr>
        <w:t> </w:t>
      </w:r>
      <w:r>
        <w:rPr/>
        <w:t>(Brown</w:t>
      </w:r>
      <w:r>
        <w:rPr>
          <w:spacing w:val="-8"/>
        </w:rPr>
        <w:t> </w:t>
      </w:r>
      <w:r>
        <w:rPr/>
        <w:t>vd.,</w:t>
      </w:r>
      <w:r>
        <w:rPr>
          <w:spacing w:val="-9"/>
        </w:rPr>
        <w:t> </w:t>
      </w:r>
      <w:r>
        <w:rPr/>
        <w:t>2007).</w:t>
      </w:r>
      <w:r>
        <w:rPr>
          <w:spacing w:val="-4"/>
        </w:rPr>
        <w:t> </w:t>
      </w:r>
      <w:r>
        <w:rPr/>
        <w:t>Sosyal</w:t>
      </w:r>
      <w:r>
        <w:rPr>
          <w:spacing w:val="-7"/>
        </w:rPr>
        <w:t> </w:t>
      </w:r>
      <w:r>
        <w:rPr/>
        <w:t>ilişkiye verilen önem, sosyal temasın sıklığı, sosyal ilişkinin türü ve iki taraf arasındaki yakınlık kişiler</w:t>
      </w:r>
      <w:r>
        <w:rPr>
          <w:spacing w:val="-18"/>
        </w:rPr>
        <w:t> </w:t>
      </w:r>
      <w:r>
        <w:rPr/>
        <w:t>arasındaki</w:t>
      </w:r>
      <w:r>
        <w:rPr>
          <w:spacing w:val="-16"/>
        </w:rPr>
        <w:t> </w:t>
      </w:r>
      <w:r>
        <w:rPr/>
        <w:t>bağ</w:t>
      </w:r>
      <w:r>
        <w:rPr>
          <w:spacing w:val="-14"/>
        </w:rPr>
        <w:t> </w:t>
      </w:r>
      <w:r>
        <w:rPr/>
        <w:t>gücünün</w:t>
      </w:r>
      <w:r>
        <w:rPr>
          <w:spacing w:val="-17"/>
        </w:rPr>
        <w:t> </w:t>
      </w:r>
      <w:r>
        <w:rPr/>
        <w:t>belirleyicileridir</w:t>
      </w:r>
      <w:r>
        <w:rPr>
          <w:spacing w:val="-13"/>
        </w:rPr>
        <w:t> </w:t>
      </w:r>
      <w:r>
        <w:rPr/>
        <w:t>(Aral</w:t>
      </w:r>
      <w:r>
        <w:rPr>
          <w:spacing w:val="-15"/>
        </w:rPr>
        <w:t> </w:t>
      </w:r>
      <w:r>
        <w:rPr/>
        <w:t>ve</w:t>
      </w:r>
      <w:r>
        <w:rPr>
          <w:spacing w:val="-16"/>
        </w:rPr>
        <w:t> </w:t>
      </w:r>
      <w:r>
        <w:rPr/>
        <w:t>Walker,</w:t>
      </w:r>
      <w:r>
        <w:rPr>
          <w:spacing w:val="-14"/>
        </w:rPr>
        <w:t> </w:t>
      </w:r>
      <w:r>
        <w:rPr/>
        <w:t>2014).</w:t>
      </w:r>
      <w:r>
        <w:rPr>
          <w:spacing w:val="-14"/>
        </w:rPr>
        <w:t> </w:t>
      </w:r>
      <w:r>
        <w:rPr/>
        <w:t>Ortak</w:t>
      </w:r>
      <w:r>
        <w:rPr>
          <w:spacing w:val="-17"/>
        </w:rPr>
        <w:t> </w:t>
      </w:r>
      <w:r>
        <w:rPr/>
        <w:t>arkadaş</w:t>
      </w:r>
      <w:r>
        <w:rPr>
          <w:spacing w:val="-14"/>
        </w:rPr>
        <w:t> </w:t>
      </w:r>
      <w:r>
        <w:rPr/>
        <w:t>sayısı, iletişim sıklığı ve beraber yapılan aktiviteler gibi unsurlar taraflar arasındaki bağın gücünü yansıtan ipuçlarıdır (De Keyzer vd., 2019). Kaynak ve alıcı arasındaki bağ ne kadar güçlü ise,</w:t>
      </w:r>
      <w:r>
        <w:rPr>
          <w:spacing w:val="-5"/>
        </w:rPr>
        <w:t> </w:t>
      </w:r>
      <w:r>
        <w:rPr/>
        <w:t>alıcı,</w:t>
      </w:r>
      <w:r>
        <w:rPr>
          <w:spacing w:val="-3"/>
        </w:rPr>
        <w:t> </w:t>
      </w:r>
      <w:r>
        <w:rPr/>
        <w:t>kaynaktan</w:t>
      </w:r>
      <w:r>
        <w:rPr>
          <w:spacing w:val="-2"/>
        </w:rPr>
        <w:t> </w:t>
      </w:r>
      <w:r>
        <w:rPr/>
        <w:t>elde</w:t>
      </w:r>
      <w:r>
        <w:rPr>
          <w:spacing w:val="-2"/>
        </w:rPr>
        <w:t> </w:t>
      </w:r>
      <w:r>
        <w:rPr/>
        <w:t>ettiği</w:t>
      </w:r>
      <w:r>
        <w:rPr>
          <w:spacing w:val="-3"/>
        </w:rPr>
        <w:t> </w:t>
      </w:r>
      <w:r>
        <w:rPr/>
        <w:t>bilgiyi</w:t>
      </w:r>
      <w:r>
        <w:rPr>
          <w:spacing w:val="-3"/>
        </w:rPr>
        <w:t> </w:t>
      </w:r>
      <w:r>
        <w:rPr/>
        <w:t>o</w:t>
      </w:r>
      <w:r>
        <w:rPr>
          <w:spacing w:val="-5"/>
        </w:rPr>
        <w:t> </w:t>
      </w:r>
      <w:r>
        <w:rPr/>
        <w:t>derece</w:t>
      </w:r>
      <w:r>
        <w:rPr>
          <w:spacing w:val="-5"/>
        </w:rPr>
        <w:t> </w:t>
      </w:r>
      <w:r>
        <w:rPr/>
        <w:t>güvenilir</w:t>
      </w:r>
      <w:r>
        <w:rPr>
          <w:spacing w:val="-3"/>
        </w:rPr>
        <w:t> </w:t>
      </w:r>
      <w:r>
        <w:rPr/>
        <w:t>olarak</w:t>
      </w:r>
      <w:r>
        <w:rPr>
          <w:spacing w:val="-4"/>
        </w:rPr>
        <w:t> </w:t>
      </w:r>
      <w:r>
        <w:rPr/>
        <w:t>algılamaktadır</w:t>
      </w:r>
      <w:r>
        <w:rPr>
          <w:spacing w:val="-5"/>
        </w:rPr>
        <w:t> </w:t>
      </w:r>
      <w:r>
        <w:rPr/>
        <w:t>(De</w:t>
      </w:r>
      <w:r>
        <w:rPr>
          <w:spacing w:val="-5"/>
        </w:rPr>
        <w:t> </w:t>
      </w:r>
      <w:r>
        <w:rPr/>
        <w:t>Bruyn</w:t>
      </w:r>
      <w:r>
        <w:rPr>
          <w:spacing w:val="-6"/>
        </w:rPr>
        <w:t> </w:t>
      </w:r>
      <w:r>
        <w:rPr/>
        <w:t>ve Lilien, 2008). Dolayısıyla, taraflar arasındaki bağ gücü ne kadar güçlü ise ağızdan ağıza iletişim mesajının satın alma davranışı üzerindeki etkisi de o derece büyük olur (Bansal ve Voyer, 2000; Chu ve Kim, 2011). Ayrıca, bağ zayıfladıkça olumlu, bağ güçlendikçe de olumsuz</w:t>
      </w:r>
      <w:r>
        <w:rPr>
          <w:spacing w:val="-12"/>
        </w:rPr>
        <w:t> </w:t>
      </w:r>
      <w:r>
        <w:rPr/>
        <w:t>ağızdan</w:t>
      </w:r>
      <w:r>
        <w:rPr>
          <w:spacing w:val="-10"/>
        </w:rPr>
        <w:t> </w:t>
      </w:r>
      <w:r>
        <w:rPr/>
        <w:t>ağıza</w:t>
      </w:r>
      <w:r>
        <w:rPr>
          <w:spacing w:val="-12"/>
        </w:rPr>
        <w:t> </w:t>
      </w:r>
      <w:r>
        <w:rPr/>
        <w:t>iletişim</w:t>
      </w:r>
      <w:r>
        <w:rPr>
          <w:spacing w:val="-10"/>
        </w:rPr>
        <w:t> </w:t>
      </w:r>
      <w:r>
        <w:rPr/>
        <w:t>mesajı</w:t>
      </w:r>
      <w:r>
        <w:rPr>
          <w:spacing w:val="-10"/>
        </w:rPr>
        <w:t> </w:t>
      </w:r>
      <w:r>
        <w:rPr/>
        <w:t>paylaşım</w:t>
      </w:r>
      <w:r>
        <w:rPr>
          <w:spacing w:val="-10"/>
        </w:rPr>
        <w:t> </w:t>
      </w:r>
      <w:r>
        <w:rPr/>
        <w:t>oranı</w:t>
      </w:r>
      <w:r>
        <w:rPr>
          <w:spacing w:val="-11"/>
        </w:rPr>
        <w:t> </w:t>
      </w:r>
      <w:r>
        <w:rPr/>
        <w:t>artmaktadır</w:t>
      </w:r>
      <w:r>
        <w:rPr>
          <w:spacing w:val="-12"/>
        </w:rPr>
        <w:t> </w:t>
      </w:r>
      <w:r>
        <w:rPr/>
        <w:t>(Dubois</w:t>
      </w:r>
      <w:r>
        <w:rPr>
          <w:spacing w:val="-11"/>
        </w:rPr>
        <w:t> </w:t>
      </w:r>
      <w:r>
        <w:rPr/>
        <w:t>vd.,</w:t>
      </w:r>
      <w:r>
        <w:rPr>
          <w:spacing w:val="-11"/>
        </w:rPr>
        <w:t> </w:t>
      </w:r>
      <w:r>
        <w:rPr/>
        <w:t>2016).</w:t>
      </w:r>
      <w:r>
        <w:rPr>
          <w:spacing w:val="-11"/>
        </w:rPr>
        <w:t> </w:t>
      </w:r>
      <w:r>
        <w:rPr/>
        <w:t>Bunun nedeni olarak, tüketicilerin tanımadıkları ya da az tanıdıkları insanlarda iyi intiba bırakma çabası güderken, tanıdıklarını da olası sorunlara karşı uyararak onları koruma içgüdüsüne sahip olmaları gösterilmektedir (Berger,</w:t>
      </w:r>
      <w:r>
        <w:rPr>
          <w:spacing w:val="-1"/>
        </w:rPr>
        <w:t> </w:t>
      </w:r>
      <w:r>
        <w:rPr/>
        <w:t>2014).</w:t>
      </w:r>
    </w:p>
    <w:p>
      <w:pPr>
        <w:pStyle w:val="BodyText"/>
        <w:spacing w:line="360" w:lineRule="auto" w:before="1"/>
        <w:ind w:right="311" w:firstLine="708"/>
      </w:pPr>
      <w:r>
        <w:rPr>
          <w:b/>
        </w:rPr>
        <w:t>Benzerlik: </w:t>
      </w:r>
      <w:r>
        <w:rPr/>
        <w:t>Taraflar arasında bir bağ gücü oluşturacak yakınlık bulunmasa da yaş, cinsiyet, yaşam tarzı gibi belirli özellikler bakımından benzerlikler olması da ağızdan ağıza iletişimin etki düzeyini artırmaktadır (Brown vd., 2007). Benzerlik arttıkça taraflar arasında anlayış,</w:t>
      </w:r>
      <w:r>
        <w:rPr>
          <w:spacing w:val="-12"/>
        </w:rPr>
        <w:t> </w:t>
      </w:r>
      <w:r>
        <w:rPr/>
        <w:t>güven</w:t>
      </w:r>
      <w:r>
        <w:rPr>
          <w:spacing w:val="-11"/>
        </w:rPr>
        <w:t> </w:t>
      </w:r>
      <w:r>
        <w:rPr/>
        <w:t>ve</w:t>
      </w:r>
      <w:r>
        <w:rPr>
          <w:spacing w:val="-10"/>
        </w:rPr>
        <w:t> </w:t>
      </w:r>
      <w:r>
        <w:rPr/>
        <w:t>cazibe</w:t>
      </w:r>
      <w:r>
        <w:rPr>
          <w:spacing w:val="-9"/>
        </w:rPr>
        <w:t> </w:t>
      </w:r>
      <w:r>
        <w:rPr/>
        <w:t>düzeyi</w:t>
      </w:r>
      <w:r>
        <w:rPr>
          <w:spacing w:val="-11"/>
        </w:rPr>
        <w:t> </w:t>
      </w:r>
      <w:r>
        <w:rPr/>
        <w:t>de</w:t>
      </w:r>
      <w:r>
        <w:rPr>
          <w:spacing w:val="-10"/>
        </w:rPr>
        <w:t> </w:t>
      </w:r>
      <w:r>
        <w:rPr/>
        <w:t>artmaktadır</w:t>
      </w:r>
      <w:r>
        <w:rPr>
          <w:spacing w:val="-13"/>
        </w:rPr>
        <w:t> </w:t>
      </w:r>
      <w:r>
        <w:rPr/>
        <w:t>(Ruef</w:t>
      </w:r>
      <w:r>
        <w:rPr>
          <w:spacing w:val="-12"/>
        </w:rPr>
        <w:t> </w:t>
      </w:r>
      <w:r>
        <w:rPr/>
        <w:t>vd.,</w:t>
      </w:r>
      <w:r>
        <w:rPr>
          <w:spacing w:val="-11"/>
        </w:rPr>
        <w:t> </w:t>
      </w:r>
      <w:r>
        <w:rPr/>
        <w:t>2003).</w:t>
      </w:r>
      <w:r>
        <w:rPr>
          <w:spacing w:val="-9"/>
        </w:rPr>
        <w:t> </w:t>
      </w:r>
      <w:r>
        <w:rPr/>
        <w:t>Dolayısıyla,</w:t>
      </w:r>
      <w:r>
        <w:rPr>
          <w:spacing w:val="-12"/>
        </w:rPr>
        <w:t> </w:t>
      </w:r>
      <w:r>
        <w:rPr/>
        <w:t>alıcı</w:t>
      </w:r>
      <w:r>
        <w:rPr>
          <w:spacing w:val="-11"/>
        </w:rPr>
        <w:t> </w:t>
      </w:r>
      <w:r>
        <w:rPr/>
        <w:t>kendisiyle benzer zevklere sahip ve benzer ihtiyaçları olduğunu düşündüğü kişilerin görüşlerini diğerlerinin görüşlerine göre daha güvenilir kabul etmektedir (De Keyzer vd., 2019). Örneğin, doğa sporları için malzeme almak isteyen tüketici için doğa sporları sevenlerin bir araya geldiği bir forum önemli bir bilgi kaynağıdır. Sosyal anlamda bir yakınlık kurmamış olsa</w:t>
      </w:r>
      <w:r>
        <w:rPr>
          <w:spacing w:val="-14"/>
        </w:rPr>
        <w:t> </w:t>
      </w:r>
      <w:r>
        <w:rPr/>
        <w:t>da</w:t>
      </w:r>
      <w:r>
        <w:rPr>
          <w:spacing w:val="-13"/>
        </w:rPr>
        <w:t> </w:t>
      </w:r>
      <w:r>
        <w:rPr/>
        <w:t>forumdaki</w:t>
      </w:r>
      <w:r>
        <w:rPr>
          <w:spacing w:val="-13"/>
        </w:rPr>
        <w:t> </w:t>
      </w:r>
      <w:r>
        <w:rPr/>
        <w:t>diğer</w:t>
      </w:r>
      <w:r>
        <w:rPr>
          <w:spacing w:val="-14"/>
        </w:rPr>
        <w:t> </w:t>
      </w:r>
      <w:r>
        <w:rPr/>
        <w:t>kişilerin</w:t>
      </w:r>
      <w:r>
        <w:rPr>
          <w:spacing w:val="-12"/>
        </w:rPr>
        <w:t> </w:t>
      </w:r>
      <w:r>
        <w:rPr/>
        <w:t>benzer</w:t>
      </w:r>
      <w:r>
        <w:rPr>
          <w:spacing w:val="-12"/>
        </w:rPr>
        <w:t> </w:t>
      </w:r>
      <w:r>
        <w:rPr/>
        <w:t>zevklere</w:t>
      </w:r>
      <w:r>
        <w:rPr>
          <w:spacing w:val="-12"/>
        </w:rPr>
        <w:t> </w:t>
      </w:r>
      <w:r>
        <w:rPr/>
        <w:t>sahip</w:t>
      </w:r>
      <w:r>
        <w:rPr>
          <w:spacing w:val="-12"/>
        </w:rPr>
        <w:t> </w:t>
      </w:r>
      <w:r>
        <w:rPr/>
        <w:t>olduğunu</w:t>
      </w:r>
      <w:r>
        <w:rPr>
          <w:spacing w:val="-13"/>
        </w:rPr>
        <w:t> </w:t>
      </w:r>
      <w:r>
        <w:rPr/>
        <w:t>düşünmesinden</w:t>
      </w:r>
      <w:r>
        <w:rPr>
          <w:spacing w:val="-13"/>
        </w:rPr>
        <w:t> </w:t>
      </w:r>
      <w:r>
        <w:rPr/>
        <w:t>dolayı</w:t>
      </w:r>
      <w:r>
        <w:rPr>
          <w:spacing w:val="-13"/>
        </w:rPr>
        <w:t> </w:t>
      </w:r>
      <w:r>
        <w:rPr/>
        <w:t>olası bir satın alma kararını forumdakilerin görüşlerine ve deneyimlerine göre</w:t>
      </w:r>
      <w:r>
        <w:rPr>
          <w:spacing w:val="-16"/>
        </w:rPr>
        <w:t> </w:t>
      </w:r>
      <w:r>
        <w:rPr/>
        <w:t>şekillendirecektir.</w:t>
      </w:r>
    </w:p>
    <w:p>
      <w:pPr>
        <w:pStyle w:val="BodyText"/>
        <w:spacing w:line="360" w:lineRule="auto"/>
        <w:ind w:right="311" w:firstLine="708"/>
      </w:pPr>
      <w:r>
        <w:rPr>
          <w:b/>
        </w:rPr>
        <w:t>Kaynak güvenilirliği: </w:t>
      </w:r>
      <w:r>
        <w:rPr/>
        <w:t>Son olarak, ağızdan ağıza iletişimin etki düzeyi alıcının kaynağa duyduğu güvene göre de değişebilmektedir. Kaynak güvenilirliğinin, uzmanlık ve dürüstlük</w:t>
      </w:r>
      <w:r>
        <w:rPr>
          <w:spacing w:val="-8"/>
        </w:rPr>
        <w:t> </w:t>
      </w:r>
      <w:r>
        <w:rPr/>
        <w:t>olmak</w:t>
      </w:r>
      <w:r>
        <w:rPr>
          <w:spacing w:val="-8"/>
        </w:rPr>
        <w:t> </w:t>
      </w:r>
      <w:r>
        <w:rPr/>
        <w:t>üzere</w:t>
      </w:r>
      <w:r>
        <w:rPr>
          <w:spacing w:val="-7"/>
        </w:rPr>
        <w:t> </w:t>
      </w:r>
      <w:r>
        <w:rPr/>
        <w:t>iki</w:t>
      </w:r>
      <w:r>
        <w:rPr>
          <w:spacing w:val="-7"/>
        </w:rPr>
        <w:t> </w:t>
      </w:r>
      <w:r>
        <w:rPr/>
        <w:t>boyutu</w:t>
      </w:r>
      <w:r>
        <w:rPr>
          <w:spacing w:val="-8"/>
        </w:rPr>
        <w:t> </w:t>
      </w:r>
      <w:r>
        <w:rPr/>
        <w:t>bulunmaktadır</w:t>
      </w:r>
      <w:r>
        <w:rPr>
          <w:spacing w:val="-6"/>
        </w:rPr>
        <w:t> </w:t>
      </w:r>
      <w:r>
        <w:rPr/>
        <w:t>(De</w:t>
      </w:r>
      <w:r>
        <w:rPr>
          <w:spacing w:val="-9"/>
        </w:rPr>
        <w:t> </w:t>
      </w:r>
      <w:r>
        <w:rPr/>
        <w:t>Keyzer</w:t>
      </w:r>
      <w:r>
        <w:rPr>
          <w:spacing w:val="-8"/>
        </w:rPr>
        <w:t> </w:t>
      </w:r>
      <w:r>
        <w:rPr/>
        <w:t>vd.,</w:t>
      </w:r>
      <w:r>
        <w:rPr>
          <w:spacing w:val="-7"/>
        </w:rPr>
        <w:t> </w:t>
      </w:r>
      <w:r>
        <w:rPr/>
        <w:t>2019).</w:t>
      </w:r>
      <w:r>
        <w:rPr>
          <w:spacing w:val="-5"/>
        </w:rPr>
        <w:t> </w:t>
      </w:r>
      <w:r>
        <w:rPr/>
        <w:t>İlgili</w:t>
      </w:r>
      <w:r>
        <w:rPr>
          <w:spacing w:val="-7"/>
        </w:rPr>
        <w:t> </w:t>
      </w:r>
      <w:r>
        <w:rPr/>
        <w:t>konuda</w:t>
      </w:r>
      <w:r>
        <w:rPr>
          <w:spacing w:val="-9"/>
        </w:rPr>
        <w:t> </w:t>
      </w:r>
      <w:r>
        <w:rPr/>
        <w:t>uzman olduğu ve/veya dürüst olduğu düşünülen kaynaklar daha güvenilir kabul edilmektedir (Brown vd., 2007). Alıcı, güvenilir bulduğu kaynaktan gelen mesajları daha</w:t>
      </w:r>
      <w:r>
        <w:rPr>
          <w:spacing w:val="-17"/>
        </w:rPr>
        <w:t> </w:t>
      </w:r>
      <w:r>
        <w:rPr/>
        <w:t>kullanışlı,</w:t>
      </w:r>
    </w:p>
    <w:p>
      <w:pPr>
        <w:spacing w:after="0" w:line="360" w:lineRule="auto"/>
        <w:sectPr>
          <w:pgSz w:w="12240" w:h="15840"/>
          <w:pgMar w:header="718" w:footer="0" w:top="1300" w:bottom="280" w:left="1720" w:right="820"/>
        </w:sectPr>
      </w:pPr>
    </w:p>
    <w:p>
      <w:pPr>
        <w:pStyle w:val="BodyText"/>
        <w:spacing w:line="360" w:lineRule="auto" w:before="100"/>
        <w:ind w:right="313"/>
      </w:pPr>
      <w:r>
        <w:rPr/>
        <w:t>güvenilir</w:t>
      </w:r>
      <w:r>
        <w:rPr>
          <w:spacing w:val="-7"/>
        </w:rPr>
        <w:t> </w:t>
      </w:r>
      <w:r>
        <w:rPr/>
        <w:t>ve</w:t>
      </w:r>
      <w:r>
        <w:rPr>
          <w:spacing w:val="-7"/>
        </w:rPr>
        <w:t> </w:t>
      </w:r>
      <w:r>
        <w:rPr/>
        <w:t>inandırıcı</w:t>
      </w:r>
      <w:r>
        <w:rPr>
          <w:spacing w:val="-6"/>
        </w:rPr>
        <w:t> </w:t>
      </w:r>
      <w:r>
        <w:rPr/>
        <w:t>algılayarak</w:t>
      </w:r>
      <w:r>
        <w:rPr>
          <w:spacing w:val="-6"/>
        </w:rPr>
        <w:t> </w:t>
      </w:r>
      <w:r>
        <w:rPr/>
        <w:t>daha</w:t>
      </w:r>
      <w:r>
        <w:rPr>
          <w:spacing w:val="-8"/>
        </w:rPr>
        <w:t> </w:t>
      </w:r>
      <w:r>
        <w:rPr/>
        <w:t>kolay</w:t>
      </w:r>
      <w:r>
        <w:rPr>
          <w:spacing w:val="-7"/>
        </w:rPr>
        <w:t> </w:t>
      </w:r>
      <w:r>
        <w:rPr/>
        <w:t>ikna</w:t>
      </w:r>
      <w:r>
        <w:rPr>
          <w:spacing w:val="-7"/>
        </w:rPr>
        <w:t> </w:t>
      </w:r>
      <w:r>
        <w:rPr/>
        <w:t>olmaktadır</w:t>
      </w:r>
      <w:r>
        <w:rPr>
          <w:spacing w:val="-7"/>
        </w:rPr>
        <w:t> </w:t>
      </w:r>
      <w:r>
        <w:rPr/>
        <w:t>(Teng</w:t>
      </w:r>
      <w:r>
        <w:rPr>
          <w:spacing w:val="-7"/>
        </w:rPr>
        <w:t> </w:t>
      </w:r>
      <w:r>
        <w:rPr/>
        <w:t>vd.,</w:t>
      </w:r>
      <w:r>
        <w:rPr>
          <w:spacing w:val="-6"/>
        </w:rPr>
        <w:t> </w:t>
      </w:r>
      <w:r>
        <w:rPr/>
        <w:t>2014).</w:t>
      </w:r>
      <w:r>
        <w:rPr>
          <w:spacing w:val="-6"/>
        </w:rPr>
        <w:t> </w:t>
      </w:r>
      <w:r>
        <w:rPr/>
        <w:t>Dolayısıyla, kaynağa duyulan güven arttıkça kaynaktan edinilen bilginin alıcının satın alma kararını etkileme olasılığı da artmaktadır (Gilly vd., 1998; McKnight vd., 2002). Örneğin, ilk otomobilini</w:t>
      </w:r>
      <w:r>
        <w:rPr>
          <w:spacing w:val="-15"/>
        </w:rPr>
        <w:t> </w:t>
      </w:r>
      <w:r>
        <w:rPr/>
        <w:t>alacak</w:t>
      </w:r>
      <w:r>
        <w:rPr>
          <w:spacing w:val="-16"/>
        </w:rPr>
        <w:t> </w:t>
      </w:r>
      <w:r>
        <w:rPr/>
        <w:t>bir</w:t>
      </w:r>
      <w:r>
        <w:rPr>
          <w:spacing w:val="-14"/>
        </w:rPr>
        <w:t> </w:t>
      </w:r>
      <w:r>
        <w:rPr/>
        <w:t>kişi</w:t>
      </w:r>
      <w:r>
        <w:rPr>
          <w:spacing w:val="-15"/>
        </w:rPr>
        <w:t> </w:t>
      </w:r>
      <w:r>
        <w:rPr/>
        <w:t>ilk</w:t>
      </w:r>
      <w:r>
        <w:rPr>
          <w:spacing w:val="-16"/>
        </w:rPr>
        <w:t> </w:t>
      </w:r>
      <w:r>
        <w:rPr/>
        <w:t>etapta</w:t>
      </w:r>
      <w:r>
        <w:rPr>
          <w:spacing w:val="-14"/>
        </w:rPr>
        <w:t> </w:t>
      </w:r>
      <w:r>
        <w:rPr/>
        <w:t>çevresinde</w:t>
      </w:r>
      <w:r>
        <w:rPr>
          <w:spacing w:val="-16"/>
        </w:rPr>
        <w:t> </w:t>
      </w:r>
      <w:r>
        <w:rPr/>
        <w:t>otomobil</w:t>
      </w:r>
      <w:r>
        <w:rPr>
          <w:spacing w:val="-15"/>
        </w:rPr>
        <w:t> </w:t>
      </w:r>
      <w:r>
        <w:rPr/>
        <w:t>sahibi</w:t>
      </w:r>
      <w:r>
        <w:rPr>
          <w:spacing w:val="-15"/>
        </w:rPr>
        <w:t> </w:t>
      </w:r>
      <w:r>
        <w:rPr/>
        <w:t>olan</w:t>
      </w:r>
      <w:r>
        <w:rPr>
          <w:spacing w:val="-16"/>
        </w:rPr>
        <w:t> </w:t>
      </w:r>
      <w:r>
        <w:rPr/>
        <w:t>ve</w:t>
      </w:r>
      <w:r>
        <w:rPr>
          <w:spacing w:val="-15"/>
        </w:rPr>
        <w:t> </w:t>
      </w:r>
      <w:r>
        <w:rPr/>
        <w:t>otomobiller</w:t>
      </w:r>
      <w:r>
        <w:rPr>
          <w:spacing w:val="-17"/>
        </w:rPr>
        <w:t> </w:t>
      </w:r>
      <w:r>
        <w:rPr/>
        <w:t>hakkında bilgi düzeyinin yüksek olduğunu düşündüğü kişilere danışacaktır. Aynı zamanda, ilgili forumları, blogları ve Youtube kanallarını tarayarak uzman kişilerden bilgi almaya çalışacaktır. Youtube’daki AutoClub kanalı gibi otomobil sektörünün uzmanlarının ve duayenlerinin yayın yaptığı kanallarda, herhangi bir videonun altında “80bin TL’ye hangi dizel otomatik arabayı tavsiye edersiniz?” gibi soruları görmek</w:t>
      </w:r>
      <w:r>
        <w:rPr>
          <w:spacing w:val="-5"/>
        </w:rPr>
        <w:t> </w:t>
      </w:r>
      <w:r>
        <w:rPr/>
        <w:t>mümkündür.</w:t>
      </w:r>
    </w:p>
    <w:p>
      <w:pPr>
        <w:pStyle w:val="Heading1"/>
        <w:numPr>
          <w:ilvl w:val="1"/>
          <w:numId w:val="1"/>
        </w:numPr>
        <w:tabs>
          <w:tab w:pos="1677" w:val="left" w:leader="none"/>
        </w:tabs>
        <w:spacing w:line="240" w:lineRule="auto" w:before="161" w:after="0"/>
        <w:ind w:left="1676" w:right="0" w:hanging="421"/>
        <w:jc w:val="both"/>
      </w:pPr>
      <w:r>
        <w:rPr/>
        <w:t>Elektronik Ağızdan Ağıza</w:t>
      </w:r>
      <w:r>
        <w:rPr>
          <w:spacing w:val="-2"/>
        </w:rPr>
        <w:t> </w:t>
      </w:r>
      <w:r>
        <w:rPr/>
        <w:t>İletişim</w:t>
      </w:r>
    </w:p>
    <w:p>
      <w:pPr>
        <w:pStyle w:val="BodyText"/>
        <w:spacing w:line="360" w:lineRule="auto" w:before="137"/>
        <w:ind w:right="308" w:firstLine="708"/>
      </w:pPr>
      <w:r>
        <w:rPr/>
        <w:t>Web 2.0 ile internetin katılımcı ve interaktif hale gelmesi, bilgi teknolojisindeki gelişmeler ve çevrimiçi sosyal ağ sitelerinin ortaya çıkışı bilginin iletilme şeklini ve insanların etkileşim biçimlerini büyük ölçüde değiştirmiş ve geleneksel ağızdan ağıza iletişimin sınırlarının aşılmasını sağlamıştır (Laroche vd, 2005; Sahelices-Pinto vd., 2018). Yakın çevreyle sınırlı olan geleneksel ağızdan ağıza iletişim mesajları internet sayesinde dünya çapında paylaşılabilir ve erişilebilir hale gelmiştir (Dellarocas, 2003; Duan vd., 2008a). Günümüz tüketicisi Aliexpress.com üzerinden Çin’den ürün alabilmekte, bu ürünü alırken diğer tüketicilerin başka dillerde yazmış oldukları yorumlarını Türkçe’ye otomatik olarak çevrilmiş olarak okuyabilmektedir. Benzer şekilde, başka bir dildeki bir blog</w:t>
      </w:r>
      <w:r>
        <w:rPr>
          <w:spacing w:val="-21"/>
        </w:rPr>
        <w:t> </w:t>
      </w:r>
      <w:r>
        <w:rPr/>
        <w:t>yazısını Chrome tarayıcıya entegre Google Translate yardımıyla Türkçe’ye çevirerek,</w:t>
      </w:r>
      <w:r>
        <w:rPr>
          <w:spacing w:val="-44"/>
        </w:rPr>
        <w:t> </w:t>
      </w:r>
      <w:r>
        <w:rPr/>
        <w:t>blog yazarının bir ürün ya da ürün grubu hakkındaki görüşlerini ve tavsiyelerini okuyup</w:t>
      </w:r>
      <w:r>
        <w:rPr>
          <w:spacing w:val="-22"/>
        </w:rPr>
        <w:t> </w:t>
      </w:r>
      <w:r>
        <w:rPr/>
        <w:t>anlayabilmektedir. Modern internet teknolojileri sayesinde, mesajların paylaşım ve erişim sınırlarının yanı sıra dil sınırları da ortadan</w:t>
      </w:r>
      <w:r>
        <w:rPr>
          <w:spacing w:val="-3"/>
        </w:rPr>
        <w:t> </w:t>
      </w:r>
      <w:r>
        <w:rPr/>
        <w:t>kalkmıştır.</w:t>
      </w:r>
    </w:p>
    <w:p>
      <w:pPr>
        <w:pStyle w:val="BodyText"/>
        <w:spacing w:line="362" w:lineRule="auto" w:before="2"/>
        <w:ind w:right="309" w:firstLine="708"/>
      </w:pPr>
      <w:r>
        <w:rPr/>
        <w:t>İnternet temelli ağızdan ağıza iletişim olan elektronik ağızdan ağıza iletişimin (eWOM) literatürde kabul görmüş tanımı Hennig</w:t>
      </w:r>
      <w:r>
        <w:rPr>
          <w:rFonts w:ascii="DejaVu Serif Condensed" w:hAnsi="DejaVu Serif Condensed"/>
        </w:rPr>
        <w:t>‐</w:t>
      </w:r>
      <w:r>
        <w:rPr/>
        <w:t>Thurau vd.'ne (2004) aittir. Bu tanıma göre; elektronik ağızdan ağıza iletişim, internet aracılığıyla çok sayıda insanın ve kurumun ulaşabildiği, bir ürün ya da firma hakkında potansiyel, şimdiki veya geçmişteki müşteriler tarafından yapılan herhangi bir olumlu ya da olumsuz ifadedir (Hennig</w:t>
      </w:r>
      <w:r>
        <w:rPr>
          <w:rFonts w:ascii="DejaVu Serif Condensed" w:hAnsi="DejaVu Serif Condensed"/>
        </w:rPr>
        <w:t>‐</w:t>
      </w:r>
      <w:r>
        <w:rPr/>
        <w:t>Thurau vd., 2004).</w:t>
      </w:r>
    </w:p>
    <w:p>
      <w:pPr>
        <w:pStyle w:val="BodyText"/>
        <w:spacing w:line="360" w:lineRule="auto"/>
        <w:ind w:right="311" w:firstLine="708"/>
      </w:pPr>
      <w:r>
        <w:rPr/>
        <w:t>Literatürde, elektronik ağızdan ağıza iletişim için farklı terminolojiler de kullanılmaktadır. Yapılan literatür çalışmalarında, "elektronik ağızdan ağıza iletişim"in dışında</w:t>
      </w:r>
      <w:r>
        <w:rPr>
          <w:spacing w:val="-15"/>
        </w:rPr>
        <w:t> </w:t>
      </w:r>
      <w:r>
        <w:rPr/>
        <w:t>başta</w:t>
      </w:r>
      <w:r>
        <w:rPr>
          <w:spacing w:val="-15"/>
        </w:rPr>
        <w:t> </w:t>
      </w:r>
      <w:r>
        <w:rPr/>
        <w:t>"online</w:t>
      </w:r>
      <w:r>
        <w:rPr>
          <w:spacing w:val="-15"/>
        </w:rPr>
        <w:t> </w:t>
      </w:r>
      <w:r>
        <w:rPr/>
        <w:t>tüketici</w:t>
      </w:r>
      <w:r>
        <w:rPr>
          <w:spacing w:val="-14"/>
        </w:rPr>
        <w:t> </w:t>
      </w:r>
      <w:r>
        <w:rPr/>
        <w:t>yorumları"</w:t>
      </w:r>
      <w:r>
        <w:rPr>
          <w:spacing w:val="-14"/>
        </w:rPr>
        <w:t> </w:t>
      </w:r>
      <w:r>
        <w:rPr/>
        <w:t>olmak</w:t>
      </w:r>
      <w:r>
        <w:rPr>
          <w:spacing w:val="-14"/>
        </w:rPr>
        <w:t> </w:t>
      </w:r>
      <w:r>
        <w:rPr/>
        <w:t>üzere,</w:t>
      </w:r>
      <w:r>
        <w:rPr>
          <w:spacing w:val="-14"/>
        </w:rPr>
        <w:t> </w:t>
      </w:r>
      <w:r>
        <w:rPr/>
        <w:t>"online</w:t>
      </w:r>
      <w:r>
        <w:rPr>
          <w:spacing w:val="-15"/>
        </w:rPr>
        <w:t> </w:t>
      </w:r>
      <w:r>
        <w:rPr/>
        <w:t>yorumlar",</w:t>
      </w:r>
      <w:r>
        <w:rPr>
          <w:spacing w:val="-15"/>
        </w:rPr>
        <w:t> </w:t>
      </w:r>
      <w:r>
        <w:rPr/>
        <w:t>"online</w:t>
      </w:r>
      <w:r>
        <w:rPr>
          <w:spacing w:val="-15"/>
        </w:rPr>
        <w:t> </w:t>
      </w:r>
      <w:r>
        <w:rPr/>
        <w:t>tavsiyeler",</w:t>
      </w:r>
    </w:p>
    <w:p>
      <w:pPr>
        <w:spacing w:after="0" w:line="360" w:lineRule="auto"/>
        <w:sectPr>
          <w:pgSz w:w="12240" w:h="15840"/>
          <w:pgMar w:header="718" w:footer="0" w:top="1300" w:bottom="280" w:left="1720" w:right="820"/>
        </w:sectPr>
      </w:pPr>
    </w:p>
    <w:p>
      <w:pPr>
        <w:pStyle w:val="BodyText"/>
        <w:spacing w:line="360" w:lineRule="auto" w:before="100"/>
        <w:ind w:right="315"/>
      </w:pPr>
      <w:r>
        <w:rPr/>
        <w:t>"online viral pazarlama" ve " vızıltı (buzz) pazarlaması" terminolojilerinin de sıklıkla kullanıldığı gözlemlenmiştir (örn. Cheung ve Thadani, 2012; King vd., 2014: Anand vd., 2017).</w:t>
      </w:r>
    </w:p>
    <w:p>
      <w:pPr>
        <w:pStyle w:val="Heading1"/>
        <w:numPr>
          <w:ilvl w:val="2"/>
          <w:numId w:val="1"/>
        </w:numPr>
        <w:tabs>
          <w:tab w:pos="1857" w:val="left" w:leader="none"/>
        </w:tabs>
        <w:spacing w:line="240" w:lineRule="auto" w:before="160" w:after="0"/>
        <w:ind w:left="1856" w:right="0" w:hanging="601"/>
        <w:jc w:val="both"/>
      </w:pPr>
      <w:r>
        <w:rPr/>
        <w:t>Elektronik Ağızdan Ağıza İletişimin</w:t>
      </w:r>
      <w:r>
        <w:rPr>
          <w:spacing w:val="-3"/>
        </w:rPr>
        <w:t> </w:t>
      </w:r>
      <w:r>
        <w:rPr/>
        <w:t>Özellikleri</w:t>
      </w:r>
    </w:p>
    <w:p>
      <w:pPr>
        <w:pStyle w:val="BodyText"/>
        <w:spacing w:line="360" w:lineRule="auto" w:before="137"/>
        <w:ind w:right="309" w:firstLine="708"/>
      </w:pPr>
      <w:r>
        <w:rPr/>
        <w:t>Elektronik ağızdan ağıza iletişimin kendine has özellikleri ve bu özellikler bağlamında geleneksel ağızdan ağıza iletişimden farklılıkları mevcuttur. King vd. (2014) yaptıkları</w:t>
      </w:r>
      <w:r>
        <w:rPr>
          <w:spacing w:val="-13"/>
        </w:rPr>
        <w:t> </w:t>
      </w:r>
      <w:r>
        <w:rPr/>
        <w:t>literatür</w:t>
      </w:r>
      <w:r>
        <w:rPr>
          <w:spacing w:val="-13"/>
        </w:rPr>
        <w:t> </w:t>
      </w:r>
      <w:r>
        <w:rPr/>
        <w:t>analizi</w:t>
      </w:r>
      <w:r>
        <w:rPr>
          <w:spacing w:val="-10"/>
        </w:rPr>
        <w:t> </w:t>
      </w:r>
      <w:r>
        <w:rPr/>
        <w:t>neticesinde</w:t>
      </w:r>
      <w:r>
        <w:rPr>
          <w:spacing w:val="-13"/>
        </w:rPr>
        <w:t> </w:t>
      </w:r>
      <w:r>
        <w:rPr/>
        <w:t>elektronik</w:t>
      </w:r>
      <w:r>
        <w:rPr>
          <w:spacing w:val="-10"/>
        </w:rPr>
        <w:t> </w:t>
      </w:r>
      <w:r>
        <w:rPr/>
        <w:t>ağızdan</w:t>
      </w:r>
      <w:r>
        <w:rPr>
          <w:spacing w:val="-12"/>
        </w:rPr>
        <w:t> </w:t>
      </w:r>
      <w:r>
        <w:rPr/>
        <w:t>ağıza</w:t>
      </w:r>
      <w:r>
        <w:rPr>
          <w:spacing w:val="-15"/>
        </w:rPr>
        <w:t> </w:t>
      </w:r>
      <w:r>
        <w:rPr/>
        <w:t>iletişimin</w:t>
      </w:r>
      <w:r>
        <w:rPr>
          <w:spacing w:val="-13"/>
        </w:rPr>
        <w:t> </w:t>
      </w:r>
      <w:r>
        <w:rPr/>
        <w:t>altı</w:t>
      </w:r>
      <w:r>
        <w:rPr>
          <w:spacing w:val="-14"/>
        </w:rPr>
        <w:t> </w:t>
      </w:r>
      <w:r>
        <w:rPr/>
        <w:t>özelliğini</w:t>
      </w:r>
      <w:r>
        <w:rPr>
          <w:spacing w:val="-13"/>
        </w:rPr>
        <w:t> </w:t>
      </w:r>
      <w:r>
        <w:rPr/>
        <w:t>ortaya koymuşlardır.</w:t>
      </w:r>
      <w:r>
        <w:rPr>
          <w:spacing w:val="-8"/>
        </w:rPr>
        <w:t> </w:t>
      </w:r>
      <w:r>
        <w:rPr/>
        <w:t>Bunlar;</w:t>
      </w:r>
      <w:r>
        <w:rPr>
          <w:spacing w:val="-6"/>
        </w:rPr>
        <w:t> </w:t>
      </w:r>
      <w:r>
        <w:rPr/>
        <w:t>hacim,</w:t>
      </w:r>
      <w:r>
        <w:rPr>
          <w:spacing w:val="-7"/>
        </w:rPr>
        <w:t> </w:t>
      </w:r>
      <w:r>
        <w:rPr/>
        <w:t>dağılım,</w:t>
      </w:r>
      <w:r>
        <w:rPr>
          <w:spacing w:val="-7"/>
        </w:rPr>
        <w:t> </w:t>
      </w:r>
      <w:r>
        <w:rPr/>
        <w:t>kalıcılık</w:t>
      </w:r>
      <w:r>
        <w:rPr>
          <w:spacing w:val="-7"/>
        </w:rPr>
        <w:t> </w:t>
      </w:r>
      <w:r>
        <w:rPr/>
        <w:t>ve</w:t>
      </w:r>
      <w:r>
        <w:rPr>
          <w:spacing w:val="-11"/>
        </w:rPr>
        <w:t> </w:t>
      </w:r>
      <w:r>
        <w:rPr/>
        <w:t>gözlemlenebilirlik,</w:t>
      </w:r>
      <w:r>
        <w:rPr>
          <w:spacing w:val="-6"/>
        </w:rPr>
        <w:t> </w:t>
      </w:r>
      <w:r>
        <w:rPr/>
        <w:t>anonimlik</w:t>
      </w:r>
      <w:r>
        <w:rPr>
          <w:spacing w:val="-7"/>
        </w:rPr>
        <w:t> </w:t>
      </w:r>
      <w:r>
        <w:rPr/>
        <w:t>ve</w:t>
      </w:r>
      <w:r>
        <w:rPr>
          <w:spacing w:val="-8"/>
        </w:rPr>
        <w:t> </w:t>
      </w:r>
      <w:r>
        <w:rPr/>
        <w:t>aldatma, değerlik ve topluluk katılımıdır. Alt başlıklarda bu özelliklere</w:t>
      </w:r>
      <w:r>
        <w:rPr>
          <w:spacing w:val="-6"/>
        </w:rPr>
        <w:t> </w:t>
      </w:r>
      <w:r>
        <w:rPr/>
        <w:t>değinilmektedir.</w:t>
      </w:r>
    </w:p>
    <w:p>
      <w:pPr>
        <w:pStyle w:val="Heading1"/>
        <w:numPr>
          <w:ilvl w:val="3"/>
          <w:numId w:val="1"/>
        </w:numPr>
        <w:tabs>
          <w:tab w:pos="2037" w:val="left" w:leader="none"/>
        </w:tabs>
        <w:spacing w:line="240" w:lineRule="auto" w:before="122" w:after="0"/>
        <w:ind w:left="2036" w:right="0" w:hanging="781"/>
        <w:jc w:val="both"/>
      </w:pPr>
      <w:r>
        <w:rPr/>
        <w:t>Hacim</w:t>
      </w:r>
    </w:p>
    <w:p>
      <w:pPr>
        <w:pStyle w:val="BodyText"/>
        <w:spacing w:line="360" w:lineRule="auto" w:before="137"/>
        <w:ind w:right="309" w:firstLine="708"/>
      </w:pPr>
      <w:r>
        <w:rPr/>
        <w:t>Bir ürün, marka ya da firma ile ilgili yayılan ağızdan ağıza iletişim mesaj sayısı ağızdan ağıza iletişimin hacmi olarak adlandırılır (Duan vd., 2008b). Online perakendeci sayfasındaki yorum sayısı, sosyal medyadaki ileti sayısı, forumlardaki gönderi sayısı, blog yazısı sayısı gibi göstergeler elektronik ağızdan ağıza iletişim hacmini yansıtmaktadır (You vd., 2015). İnternet sayesinde elektronik ağızdan ağıza iletişim daha önce görülmemiş bir hacme ulaşmıştır (Dellarocas, 2003; King vd., 2014). Tüketicinin internetten ulaşılabileceği ağızdan ağıza iletişim bilgisi hacmi geleneksel çevrimdışı dünyada edinilebileceği ağızdan ağıza iletişim bilgisi hacminden çok daha büyüktür (Chaterjee, 2001; Chong vd., 2017).</w:t>
      </w:r>
    </w:p>
    <w:p>
      <w:pPr>
        <w:pStyle w:val="BodyText"/>
        <w:spacing w:line="360" w:lineRule="auto" w:before="1"/>
        <w:ind w:right="308" w:firstLine="708"/>
      </w:pPr>
      <w:r>
        <w:rPr/>
        <w:t>Hacim ne kadar büyükse tüketicilerin ürün hakkında bir şeyler duyması, farkındalık oluşması, ürüne talep göstermeleri ve ürün satışlarının bundan etkilenmesi daha olasıdır (Chen vd., 2004; Liu, 2006; Duan vd., 2008b; Davis ve Khazanchi, 2008; Floyd vd., 2014). Power Reviews CEO’su Matt Moog, online bir mağazadaki hiç yorum almamış bir ürün ilk yorumunu</w:t>
      </w:r>
      <w:r>
        <w:rPr>
          <w:spacing w:val="-12"/>
        </w:rPr>
        <w:t> </w:t>
      </w:r>
      <w:r>
        <w:rPr/>
        <w:t>aldığında,</w:t>
      </w:r>
      <w:r>
        <w:rPr>
          <w:spacing w:val="-12"/>
        </w:rPr>
        <w:t> </w:t>
      </w:r>
      <w:r>
        <w:rPr/>
        <w:t>tüketicilerin</w:t>
      </w:r>
      <w:r>
        <w:rPr>
          <w:spacing w:val="-12"/>
        </w:rPr>
        <w:t> </w:t>
      </w:r>
      <w:r>
        <w:rPr/>
        <w:t>o</w:t>
      </w:r>
      <w:r>
        <w:rPr>
          <w:spacing w:val="-11"/>
        </w:rPr>
        <w:t> </w:t>
      </w:r>
      <w:r>
        <w:rPr/>
        <w:t>ürünü</w:t>
      </w:r>
      <w:r>
        <w:rPr>
          <w:spacing w:val="-12"/>
        </w:rPr>
        <w:t> </w:t>
      </w:r>
      <w:r>
        <w:rPr/>
        <w:t>satın</w:t>
      </w:r>
      <w:r>
        <w:rPr>
          <w:spacing w:val="-12"/>
        </w:rPr>
        <w:t> </w:t>
      </w:r>
      <w:r>
        <w:rPr/>
        <w:t>alma</w:t>
      </w:r>
      <w:r>
        <w:rPr>
          <w:spacing w:val="-12"/>
        </w:rPr>
        <w:t> </w:t>
      </w:r>
      <w:r>
        <w:rPr/>
        <w:t>olasılığının</w:t>
      </w:r>
      <w:r>
        <w:rPr>
          <w:spacing w:val="-11"/>
        </w:rPr>
        <w:t> </w:t>
      </w:r>
      <w:r>
        <w:rPr/>
        <w:t>%65</w:t>
      </w:r>
      <w:r>
        <w:rPr>
          <w:spacing w:val="-12"/>
        </w:rPr>
        <w:t> </w:t>
      </w:r>
      <w:r>
        <w:rPr/>
        <w:t>arttığını</w:t>
      </w:r>
      <w:r>
        <w:rPr>
          <w:spacing w:val="-11"/>
        </w:rPr>
        <w:t> </w:t>
      </w:r>
      <w:r>
        <w:rPr/>
        <w:t>belirtmektedir (Weise,</w:t>
      </w:r>
      <w:r>
        <w:rPr>
          <w:spacing w:val="-1"/>
        </w:rPr>
        <w:t> </w:t>
      </w:r>
      <w:r>
        <w:rPr/>
        <w:t>2017).</w:t>
      </w:r>
    </w:p>
    <w:p>
      <w:pPr>
        <w:pStyle w:val="BodyText"/>
        <w:spacing w:line="360" w:lineRule="auto"/>
        <w:ind w:right="312" w:firstLine="708"/>
      </w:pPr>
      <w:r>
        <w:rPr/>
        <w:t>Hacmin ürün talebi ve satışı üzerindeki olası etkisi, firmaların ürünleri, hizmetleri, markaları veya kendileri hakkında daha çok konuşulmasını sağlamak için bütçelerini elektronik ağızdan ağıza iletişim süreçlerine yönlendirmelerine ve ayrıca pek çok araştırmanın da hacim ile talep/satış ilişkisine odaklanmasına neden olmuştur (You vd., 2015).</w:t>
      </w:r>
      <w:r>
        <w:rPr>
          <w:spacing w:val="-10"/>
        </w:rPr>
        <w:t> </w:t>
      </w:r>
      <w:r>
        <w:rPr/>
        <w:t>Meta</w:t>
      </w:r>
      <w:r>
        <w:rPr>
          <w:spacing w:val="-7"/>
        </w:rPr>
        <w:t> </w:t>
      </w:r>
      <w:r>
        <w:rPr/>
        <w:t>analiz</w:t>
      </w:r>
      <w:r>
        <w:rPr>
          <w:spacing w:val="-10"/>
        </w:rPr>
        <w:t> </w:t>
      </w:r>
      <w:r>
        <w:rPr/>
        <w:t>ve</w:t>
      </w:r>
      <w:r>
        <w:rPr>
          <w:spacing w:val="-7"/>
        </w:rPr>
        <w:t> </w:t>
      </w:r>
      <w:r>
        <w:rPr/>
        <w:t>literatür</w:t>
      </w:r>
      <w:r>
        <w:rPr>
          <w:spacing w:val="-9"/>
        </w:rPr>
        <w:t> </w:t>
      </w:r>
      <w:r>
        <w:rPr/>
        <w:t>taraması</w:t>
      </w:r>
      <w:r>
        <w:rPr>
          <w:spacing w:val="-6"/>
        </w:rPr>
        <w:t> </w:t>
      </w:r>
      <w:r>
        <w:rPr/>
        <w:t>çalışmalarında</w:t>
      </w:r>
      <w:r>
        <w:rPr>
          <w:spacing w:val="-10"/>
        </w:rPr>
        <w:t> </w:t>
      </w:r>
      <w:r>
        <w:rPr/>
        <w:t>(örn.</w:t>
      </w:r>
      <w:r>
        <w:rPr>
          <w:spacing w:val="-5"/>
        </w:rPr>
        <w:t> </w:t>
      </w:r>
      <w:r>
        <w:rPr/>
        <w:t>Cheung</w:t>
      </w:r>
      <w:r>
        <w:rPr>
          <w:spacing w:val="-7"/>
        </w:rPr>
        <w:t> </w:t>
      </w:r>
      <w:r>
        <w:rPr/>
        <w:t>ve</w:t>
      </w:r>
      <w:r>
        <w:rPr>
          <w:spacing w:val="-7"/>
        </w:rPr>
        <w:t> </w:t>
      </w:r>
      <w:r>
        <w:rPr/>
        <w:t>Thadani,</w:t>
      </w:r>
      <w:r>
        <w:rPr>
          <w:spacing w:val="-8"/>
        </w:rPr>
        <w:t> </w:t>
      </w:r>
      <w:r>
        <w:rPr/>
        <w:t>2012:</w:t>
      </w:r>
      <w:r>
        <w:rPr>
          <w:spacing w:val="-8"/>
        </w:rPr>
        <w:t> </w:t>
      </w:r>
      <w:r>
        <w:rPr/>
        <w:t>King vd., 2014; Floyd vd., 2014; You vd., 2015; Anand vd., 2017) da belirtildiği üzere, literatürdeki</w:t>
      </w:r>
      <w:r>
        <w:rPr>
          <w:spacing w:val="34"/>
        </w:rPr>
        <w:t> </w:t>
      </w:r>
      <w:r>
        <w:rPr/>
        <w:t>çalışmaların</w:t>
      </w:r>
      <w:r>
        <w:rPr>
          <w:spacing w:val="33"/>
        </w:rPr>
        <w:t> </w:t>
      </w:r>
      <w:r>
        <w:rPr/>
        <w:t>önemli</w:t>
      </w:r>
      <w:r>
        <w:rPr>
          <w:spacing w:val="34"/>
        </w:rPr>
        <w:t> </w:t>
      </w:r>
      <w:r>
        <w:rPr/>
        <w:t>çoğunluğu</w:t>
      </w:r>
      <w:r>
        <w:rPr>
          <w:spacing w:val="34"/>
        </w:rPr>
        <w:t> </w:t>
      </w:r>
      <w:r>
        <w:rPr/>
        <w:t>hacim</w:t>
      </w:r>
      <w:r>
        <w:rPr>
          <w:spacing w:val="35"/>
        </w:rPr>
        <w:t> </w:t>
      </w:r>
      <w:r>
        <w:rPr/>
        <w:t>ile</w:t>
      </w:r>
      <w:r>
        <w:rPr>
          <w:spacing w:val="32"/>
        </w:rPr>
        <w:t> </w:t>
      </w:r>
      <w:r>
        <w:rPr/>
        <w:t>satış</w:t>
      </w:r>
      <w:r>
        <w:rPr>
          <w:spacing w:val="33"/>
        </w:rPr>
        <w:t> </w:t>
      </w:r>
      <w:r>
        <w:rPr/>
        <w:t>miktarı</w:t>
      </w:r>
      <w:r>
        <w:rPr>
          <w:spacing w:val="34"/>
        </w:rPr>
        <w:t> </w:t>
      </w:r>
      <w:r>
        <w:rPr/>
        <w:t>arasında</w:t>
      </w:r>
      <w:r>
        <w:rPr>
          <w:spacing w:val="33"/>
        </w:rPr>
        <w:t> </w:t>
      </w:r>
      <w:r>
        <w:rPr/>
        <w:t>pozitif</w:t>
      </w:r>
      <w:r>
        <w:rPr>
          <w:spacing w:val="33"/>
        </w:rPr>
        <w:t> </w:t>
      </w:r>
      <w:r>
        <w:rPr/>
        <w:t>ilişki</w:t>
      </w:r>
    </w:p>
    <w:p>
      <w:pPr>
        <w:spacing w:after="0" w:line="360" w:lineRule="auto"/>
        <w:sectPr>
          <w:pgSz w:w="12240" w:h="15840"/>
          <w:pgMar w:header="718" w:footer="0" w:top="1300" w:bottom="280" w:left="1720" w:right="820"/>
        </w:sectPr>
      </w:pPr>
    </w:p>
    <w:p>
      <w:pPr>
        <w:pStyle w:val="BodyText"/>
        <w:spacing w:line="360" w:lineRule="auto" w:before="100"/>
        <w:ind w:right="311"/>
      </w:pPr>
      <w:r>
        <w:rPr/>
        <w:t>tespit etmiştir (örn. Chevalier ve Mayzlin, 2006; Amblee ve Bui, 2011; Cui vd., 2012; Jabr ve</w:t>
      </w:r>
      <w:r>
        <w:rPr>
          <w:spacing w:val="-12"/>
        </w:rPr>
        <w:t> </w:t>
      </w:r>
      <w:r>
        <w:rPr/>
        <w:t>Zheng,</w:t>
      </w:r>
      <w:r>
        <w:rPr>
          <w:spacing w:val="-11"/>
        </w:rPr>
        <w:t> </w:t>
      </w:r>
      <w:r>
        <w:rPr/>
        <w:t>2014;</w:t>
      </w:r>
      <w:r>
        <w:rPr>
          <w:spacing w:val="-11"/>
        </w:rPr>
        <w:t> </w:t>
      </w:r>
      <w:r>
        <w:rPr/>
        <w:t>Bao</w:t>
      </w:r>
      <w:r>
        <w:rPr>
          <w:spacing w:val="-11"/>
        </w:rPr>
        <w:t> </w:t>
      </w:r>
      <w:r>
        <w:rPr/>
        <w:t>ve</w:t>
      </w:r>
      <w:r>
        <w:rPr>
          <w:spacing w:val="-14"/>
        </w:rPr>
        <w:t> </w:t>
      </w:r>
      <w:r>
        <w:rPr/>
        <w:t>Chang,</w:t>
      </w:r>
      <w:r>
        <w:rPr>
          <w:spacing w:val="-11"/>
        </w:rPr>
        <w:t> </w:t>
      </w:r>
      <w:r>
        <w:rPr/>
        <w:t>2016;</w:t>
      </w:r>
      <w:r>
        <w:rPr>
          <w:spacing w:val="-11"/>
        </w:rPr>
        <w:t> </w:t>
      </w:r>
      <w:r>
        <w:rPr/>
        <w:t>Chen</w:t>
      </w:r>
      <w:r>
        <w:rPr>
          <w:spacing w:val="-11"/>
        </w:rPr>
        <w:t> </w:t>
      </w:r>
      <w:r>
        <w:rPr/>
        <w:t>vd.,</w:t>
      </w:r>
      <w:r>
        <w:rPr>
          <w:spacing w:val="-11"/>
        </w:rPr>
        <w:t> </w:t>
      </w:r>
      <w:r>
        <w:rPr/>
        <w:t>2017;</w:t>
      </w:r>
      <w:r>
        <w:rPr>
          <w:spacing w:val="-11"/>
        </w:rPr>
        <w:t> </w:t>
      </w:r>
      <w:r>
        <w:rPr/>
        <w:t>Fink</w:t>
      </w:r>
      <w:r>
        <w:rPr>
          <w:spacing w:val="-11"/>
        </w:rPr>
        <w:t> </w:t>
      </w:r>
      <w:r>
        <w:rPr/>
        <w:t>vd.,</w:t>
      </w:r>
      <w:r>
        <w:rPr>
          <w:spacing w:val="-11"/>
        </w:rPr>
        <w:t> </w:t>
      </w:r>
      <w:r>
        <w:rPr/>
        <w:t>2018;</w:t>
      </w:r>
      <w:r>
        <w:rPr>
          <w:spacing w:val="-13"/>
        </w:rPr>
        <w:t> </w:t>
      </w:r>
      <w:r>
        <w:rPr/>
        <w:t>Bao</w:t>
      </w:r>
      <w:r>
        <w:rPr>
          <w:spacing w:val="-12"/>
        </w:rPr>
        <w:t> </w:t>
      </w:r>
      <w:r>
        <w:rPr/>
        <w:t>vd.,</w:t>
      </w:r>
      <w:r>
        <w:rPr>
          <w:spacing w:val="-11"/>
        </w:rPr>
        <w:t> </w:t>
      </w:r>
      <w:r>
        <w:rPr/>
        <w:t>2019).</w:t>
      </w:r>
      <w:r>
        <w:rPr>
          <w:spacing w:val="-11"/>
        </w:rPr>
        <w:t> </w:t>
      </w:r>
      <w:r>
        <w:rPr/>
        <w:t>Ancak az</w:t>
      </w:r>
      <w:r>
        <w:rPr>
          <w:spacing w:val="-10"/>
        </w:rPr>
        <w:t> </w:t>
      </w:r>
      <w:r>
        <w:rPr/>
        <w:t>sayıda</w:t>
      </w:r>
      <w:r>
        <w:rPr>
          <w:spacing w:val="-9"/>
        </w:rPr>
        <w:t> </w:t>
      </w:r>
      <w:r>
        <w:rPr/>
        <w:t>da</w:t>
      </w:r>
      <w:r>
        <w:rPr>
          <w:spacing w:val="-10"/>
        </w:rPr>
        <w:t> </w:t>
      </w:r>
      <w:r>
        <w:rPr/>
        <w:t>olsa,</w:t>
      </w:r>
      <w:r>
        <w:rPr>
          <w:spacing w:val="-7"/>
        </w:rPr>
        <w:t> </w:t>
      </w:r>
      <w:r>
        <w:rPr/>
        <w:t>hacim</w:t>
      </w:r>
      <w:r>
        <w:rPr>
          <w:spacing w:val="-8"/>
        </w:rPr>
        <w:t> </w:t>
      </w:r>
      <w:r>
        <w:rPr/>
        <w:t>ile</w:t>
      </w:r>
      <w:r>
        <w:rPr>
          <w:spacing w:val="-9"/>
        </w:rPr>
        <w:t> </w:t>
      </w:r>
      <w:r>
        <w:rPr/>
        <w:t>satış</w:t>
      </w:r>
      <w:r>
        <w:rPr>
          <w:spacing w:val="-9"/>
        </w:rPr>
        <w:t> </w:t>
      </w:r>
      <w:r>
        <w:rPr/>
        <w:t>arasında</w:t>
      </w:r>
      <w:r>
        <w:rPr>
          <w:spacing w:val="-7"/>
        </w:rPr>
        <w:t> </w:t>
      </w:r>
      <w:r>
        <w:rPr/>
        <w:t>ilişki</w:t>
      </w:r>
      <w:r>
        <w:rPr>
          <w:spacing w:val="-8"/>
        </w:rPr>
        <w:t> </w:t>
      </w:r>
      <w:r>
        <w:rPr/>
        <w:t>tespit</w:t>
      </w:r>
      <w:r>
        <w:rPr>
          <w:spacing w:val="-8"/>
        </w:rPr>
        <w:t> </w:t>
      </w:r>
      <w:r>
        <w:rPr/>
        <w:t>edememiş</w:t>
      </w:r>
      <w:r>
        <w:rPr>
          <w:spacing w:val="-8"/>
        </w:rPr>
        <w:t> </w:t>
      </w:r>
      <w:r>
        <w:rPr/>
        <w:t>çalışmalar</w:t>
      </w:r>
      <w:r>
        <w:rPr>
          <w:spacing w:val="-7"/>
        </w:rPr>
        <w:t> </w:t>
      </w:r>
      <w:r>
        <w:rPr/>
        <w:t>da</w:t>
      </w:r>
      <w:r>
        <w:rPr>
          <w:spacing w:val="-10"/>
        </w:rPr>
        <w:t> </w:t>
      </w:r>
      <w:r>
        <w:rPr/>
        <w:t>bulunmaktadır (Davis ve Khazanchi, 2008; Chintagunta vd., 2010; Hu vd., 2011; Gopinath vd.,</w:t>
      </w:r>
      <w:r>
        <w:rPr>
          <w:spacing w:val="-2"/>
        </w:rPr>
        <w:t> </w:t>
      </w:r>
      <w:r>
        <w:rPr/>
        <w:t>2014).</w:t>
      </w:r>
    </w:p>
    <w:p>
      <w:pPr>
        <w:pStyle w:val="Heading1"/>
        <w:numPr>
          <w:ilvl w:val="3"/>
          <w:numId w:val="1"/>
        </w:numPr>
        <w:tabs>
          <w:tab w:pos="2037" w:val="left" w:leader="none"/>
        </w:tabs>
        <w:spacing w:line="240" w:lineRule="auto" w:before="159" w:after="0"/>
        <w:ind w:left="2036" w:right="0" w:hanging="781"/>
        <w:jc w:val="both"/>
      </w:pPr>
      <w:r>
        <w:rPr/>
        <w:t>Değerlik</w:t>
      </w:r>
    </w:p>
    <w:p>
      <w:pPr>
        <w:pStyle w:val="BodyText"/>
        <w:spacing w:line="360" w:lineRule="auto" w:before="139"/>
        <w:ind w:right="309" w:firstLine="708"/>
      </w:pPr>
      <w:r>
        <w:rPr/>
        <w:t>Değerlik, ağızdan ağıza iletişim mesajının içeriğiyle ve ürüne/hizmete verilen değerlendirme</w:t>
      </w:r>
      <w:r>
        <w:rPr>
          <w:spacing w:val="-8"/>
        </w:rPr>
        <w:t> </w:t>
      </w:r>
      <w:r>
        <w:rPr/>
        <w:t>puanı</w:t>
      </w:r>
      <w:r>
        <w:rPr>
          <w:spacing w:val="-6"/>
        </w:rPr>
        <w:t> </w:t>
      </w:r>
      <w:r>
        <w:rPr/>
        <w:t>ile</w:t>
      </w:r>
      <w:r>
        <w:rPr>
          <w:spacing w:val="-7"/>
        </w:rPr>
        <w:t> </w:t>
      </w:r>
      <w:r>
        <w:rPr/>
        <w:t>ilgilidir</w:t>
      </w:r>
      <w:r>
        <w:rPr>
          <w:spacing w:val="-8"/>
        </w:rPr>
        <w:t> </w:t>
      </w:r>
      <w:r>
        <w:rPr/>
        <w:t>(Li</w:t>
      </w:r>
      <w:r>
        <w:rPr>
          <w:spacing w:val="-6"/>
        </w:rPr>
        <w:t> </w:t>
      </w:r>
      <w:r>
        <w:rPr/>
        <w:t>ve</w:t>
      </w:r>
      <w:r>
        <w:rPr>
          <w:spacing w:val="-7"/>
        </w:rPr>
        <w:t> </w:t>
      </w:r>
      <w:r>
        <w:rPr/>
        <w:t>Shimizu,</w:t>
      </w:r>
      <w:r>
        <w:rPr>
          <w:spacing w:val="-8"/>
        </w:rPr>
        <w:t> </w:t>
      </w:r>
      <w:r>
        <w:rPr/>
        <w:t>2018).</w:t>
      </w:r>
      <w:r>
        <w:rPr>
          <w:spacing w:val="-7"/>
        </w:rPr>
        <w:t> </w:t>
      </w:r>
      <w:r>
        <w:rPr/>
        <w:t>Tüketicilerin</w:t>
      </w:r>
      <w:r>
        <w:rPr>
          <w:spacing w:val="-6"/>
        </w:rPr>
        <w:t> </w:t>
      </w:r>
      <w:r>
        <w:rPr/>
        <w:t>görüşlerini</w:t>
      </w:r>
      <w:r>
        <w:rPr>
          <w:spacing w:val="-7"/>
        </w:rPr>
        <w:t> </w:t>
      </w:r>
      <w:r>
        <w:rPr/>
        <w:t>kısaca</w:t>
      </w:r>
      <w:r>
        <w:rPr>
          <w:spacing w:val="-7"/>
        </w:rPr>
        <w:t> </w:t>
      </w:r>
      <w:r>
        <w:rPr/>
        <w:t>ifade etmeleri</w:t>
      </w:r>
      <w:r>
        <w:rPr>
          <w:spacing w:val="-12"/>
        </w:rPr>
        <w:t> </w:t>
      </w:r>
      <w:r>
        <w:rPr/>
        <w:t>için</w:t>
      </w:r>
      <w:r>
        <w:rPr>
          <w:spacing w:val="-11"/>
        </w:rPr>
        <w:t> </w:t>
      </w:r>
      <w:r>
        <w:rPr/>
        <w:t>1-5,</w:t>
      </w:r>
      <w:r>
        <w:rPr>
          <w:spacing w:val="-11"/>
        </w:rPr>
        <w:t> </w:t>
      </w:r>
      <w:r>
        <w:rPr/>
        <w:t>1-10</w:t>
      </w:r>
      <w:r>
        <w:rPr>
          <w:spacing w:val="-11"/>
        </w:rPr>
        <w:t> </w:t>
      </w:r>
      <w:r>
        <w:rPr/>
        <w:t>ya</w:t>
      </w:r>
      <w:r>
        <w:rPr>
          <w:spacing w:val="-10"/>
        </w:rPr>
        <w:t> </w:t>
      </w:r>
      <w:r>
        <w:rPr/>
        <w:t>da</w:t>
      </w:r>
      <w:r>
        <w:rPr>
          <w:spacing w:val="-12"/>
        </w:rPr>
        <w:t> </w:t>
      </w:r>
      <w:r>
        <w:rPr/>
        <w:t>1-100</w:t>
      </w:r>
      <w:r>
        <w:rPr>
          <w:spacing w:val="-11"/>
        </w:rPr>
        <w:t> </w:t>
      </w:r>
      <w:r>
        <w:rPr/>
        <w:t>aralıklarında</w:t>
      </w:r>
      <w:r>
        <w:rPr>
          <w:spacing w:val="-11"/>
        </w:rPr>
        <w:t> </w:t>
      </w:r>
      <w:r>
        <w:rPr/>
        <w:t>puanlar</w:t>
      </w:r>
      <w:r>
        <w:rPr>
          <w:spacing w:val="-11"/>
        </w:rPr>
        <w:t> </w:t>
      </w:r>
      <w:r>
        <w:rPr/>
        <w:t>kullanılmaktadır.</w:t>
      </w:r>
      <w:r>
        <w:rPr>
          <w:spacing w:val="-11"/>
        </w:rPr>
        <w:t> </w:t>
      </w:r>
      <w:r>
        <w:rPr/>
        <w:t>Verilen</w:t>
      </w:r>
      <w:r>
        <w:rPr>
          <w:spacing w:val="-11"/>
        </w:rPr>
        <w:t> </w:t>
      </w:r>
      <w:r>
        <w:rPr/>
        <w:t>bu</w:t>
      </w:r>
      <w:r>
        <w:rPr>
          <w:spacing w:val="-11"/>
        </w:rPr>
        <w:t> </w:t>
      </w:r>
      <w:r>
        <w:rPr/>
        <w:t>puanlar elektronik ağızdan ağıza iletişim bilgisinin pozitif ya da negatif değerliğini ifade etmektedir (King vd., 2014). Bir ürün için verilen puanların ortalaması genellikle ürün kalitesinin bir işareti olarak algılanır. Dolayısıyla, yüksek puan ortalamasına sahip ürünlerin tercih edilme ihtimallerinin yüksek olduğu varsayılmaktadır (Hu vd., 2017). Ancak, puan ortalamaları her zaman kaliteyi yansıtmamaktadır. Yorum sayısı az olduğunda ortalamalar yanıltıcı olabilmektedir. Yapılan yorum sayısı arttıkça puan ortalamaları ürünün gerçek kalitesi hakkında daha iyi ipucu verebilmektedir (Chen vd.,</w:t>
      </w:r>
      <w:r>
        <w:rPr>
          <w:spacing w:val="-1"/>
        </w:rPr>
        <w:t> </w:t>
      </w:r>
      <w:r>
        <w:rPr/>
        <w:t>2004).</w:t>
      </w:r>
    </w:p>
    <w:p>
      <w:pPr>
        <w:pStyle w:val="BodyText"/>
        <w:spacing w:line="360" w:lineRule="auto" w:before="1"/>
        <w:ind w:right="310" w:firstLine="708"/>
      </w:pPr>
      <w:r>
        <w:rPr/>
        <w:t>Literatürdeki çalışmalar, genellikle, değerlik için sadece puan ortalamasını kullanmıştır. Bu çalışmaların bir kısmı değerliğin satışları etkilediği sonucuna ulaşmışken (örn. Chevalier ve Mayzlin, 2006; Zhang ve Dellarocas, 2006; Gopinath vd., 2014; Li ve Shimizu, 2018; Bao vd., 2019), bazı çalışmalar da değerlik ile satış arasında bir ilişki bulamamıştır</w:t>
      </w:r>
      <w:r>
        <w:rPr>
          <w:spacing w:val="-17"/>
        </w:rPr>
        <w:t> </w:t>
      </w:r>
      <w:r>
        <w:rPr/>
        <w:t>(</w:t>
      </w:r>
      <w:r>
        <w:rPr>
          <w:spacing w:val="-17"/>
        </w:rPr>
        <w:t> </w:t>
      </w:r>
      <w:r>
        <w:rPr/>
        <w:t>Chen</w:t>
      </w:r>
      <w:r>
        <w:rPr>
          <w:spacing w:val="-14"/>
        </w:rPr>
        <w:t> </w:t>
      </w:r>
      <w:r>
        <w:rPr/>
        <w:t>vd.,</w:t>
      </w:r>
      <w:r>
        <w:rPr>
          <w:spacing w:val="-13"/>
        </w:rPr>
        <w:t> </w:t>
      </w:r>
      <w:r>
        <w:rPr/>
        <w:t>2004;</w:t>
      </w:r>
      <w:r>
        <w:rPr>
          <w:spacing w:val="-14"/>
        </w:rPr>
        <w:t> </w:t>
      </w:r>
      <w:r>
        <w:rPr/>
        <w:t>Duan</w:t>
      </w:r>
      <w:r>
        <w:rPr>
          <w:spacing w:val="-16"/>
        </w:rPr>
        <w:t> </w:t>
      </w:r>
      <w:r>
        <w:rPr/>
        <w:t>vd.,</w:t>
      </w:r>
      <w:r>
        <w:rPr>
          <w:spacing w:val="-14"/>
        </w:rPr>
        <w:t> </w:t>
      </w:r>
      <w:r>
        <w:rPr/>
        <w:t>2008b;</w:t>
      </w:r>
      <w:r>
        <w:rPr>
          <w:spacing w:val="-20"/>
        </w:rPr>
        <w:t> </w:t>
      </w:r>
      <w:r>
        <w:rPr/>
        <w:t>Amblee</w:t>
      </w:r>
      <w:r>
        <w:rPr>
          <w:spacing w:val="-16"/>
        </w:rPr>
        <w:t> </w:t>
      </w:r>
      <w:r>
        <w:rPr/>
        <w:t>ve</w:t>
      </w:r>
      <w:r>
        <w:rPr>
          <w:spacing w:val="-15"/>
        </w:rPr>
        <w:t> </w:t>
      </w:r>
      <w:r>
        <w:rPr/>
        <w:t>Bui,</w:t>
      </w:r>
      <w:r>
        <w:rPr>
          <w:spacing w:val="-15"/>
        </w:rPr>
        <w:t> </w:t>
      </w:r>
      <w:r>
        <w:rPr/>
        <w:t>2011;</w:t>
      </w:r>
      <w:r>
        <w:rPr>
          <w:spacing w:val="-15"/>
        </w:rPr>
        <w:t> </w:t>
      </w:r>
      <w:r>
        <w:rPr/>
        <w:t>Bharadwaj</w:t>
      </w:r>
      <w:r>
        <w:rPr>
          <w:spacing w:val="-14"/>
        </w:rPr>
        <w:t> </w:t>
      </w:r>
      <w:r>
        <w:rPr/>
        <w:t>vd.,</w:t>
      </w:r>
      <w:r>
        <w:rPr>
          <w:spacing w:val="-14"/>
        </w:rPr>
        <w:t> </w:t>
      </w:r>
      <w:r>
        <w:rPr/>
        <w:t>2017; Cao vd.,</w:t>
      </w:r>
      <w:r>
        <w:rPr>
          <w:spacing w:val="-1"/>
        </w:rPr>
        <w:t> </w:t>
      </w:r>
      <w:r>
        <w:rPr/>
        <w:t>2018).</w:t>
      </w:r>
    </w:p>
    <w:p>
      <w:pPr>
        <w:pStyle w:val="BodyText"/>
        <w:spacing w:line="360" w:lineRule="auto" w:before="1"/>
        <w:ind w:right="311" w:firstLine="708"/>
      </w:pPr>
      <w:r>
        <w:rPr/>
        <w:t>Puan ortalaması dışında, olumlu, olumsuz ve nötr yorum içeriklerini kullanarak değerliğin etkisini araştıran çalışmalar da mevcuttur. Temel varsayım, olumlu yorumların satışları olumlu etkilediği, olumsuz yorumların da satışları olumsuz etkilediği yönündedir (Moen vd., 2017). Bu varsayım doğrultusunda, olumlu yorumların (örn. Cui vd., 2012; Suryadi ve Kim, 2018) ve olumsuz yorumların (örn. Gu vd. 2013; Jabr ve Zheng, 2014; Suryadi ve Kim, 2018) etkisini onaylayan çalışmalar bulunmaktadır. Yorumlar, olumlu ve olumsuz olmak üzere iki uç noktada olabileceği gibi hem olumlu hem de olumsuz içerik barındırarak orta noktada da olabilmektedir. Nötr yorum olarak tanımlanan bu yorumlar genellikle çalışmalarda göz ardı edilmiştir. Ancak, nötr yorum ile satışlar arasındaki ilişkiyi</w:t>
      </w:r>
    </w:p>
    <w:p>
      <w:pPr>
        <w:spacing w:after="0" w:line="360" w:lineRule="auto"/>
        <w:sectPr>
          <w:pgSz w:w="12240" w:h="15840"/>
          <w:pgMar w:header="718" w:footer="0" w:top="1300" w:bottom="280" w:left="1720" w:right="820"/>
        </w:sectPr>
      </w:pPr>
    </w:p>
    <w:p>
      <w:pPr>
        <w:pStyle w:val="BodyText"/>
        <w:spacing w:line="360" w:lineRule="auto" w:before="100"/>
        <w:ind w:right="311"/>
      </w:pPr>
      <w:r>
        <w:rPr/>
        <w:t>inceleyen</w:t>
      </w:r>
      <w:r>
        <w:rPr>
          <w:spacing w:val="-14"/>
        </w:rPr>
        <w:t> </w:t>
      </w:r>
      <w:r>
        <w:rPr/>
        <w:t>az</w:t>
      </w:r>
      <w:r>
        <w:rPr>
          <w:spacing w:val="-18"/>
        </w:rPr>
        <w:t> </w:t>
      </w:r>
      <w:r>
        <w:rPr/>
        <w:t>sayıdaki</w:t>
      </w:r>
      <w:r>
        <w:rPr>
          <w:spacing w:val="-14"/>
        </w:rPr>
        <w:t> </w:t>
      </w:r>
      <w:r>
        <w:rPr/>
        <w:t>çalışmadan</w:t>
      </w:r>
      <w:r>
        <w:rPr>
          <w:spacing w:val="-16"/>
        </w:rPr>
        <w:t> </w:t>
      </w:r>
      <w:r>
        <w:rPr/>
        <w:t>birinde</w:t>
      </w:r>
      <w:r>
        <w:rPr>
          <w:spacing w:val="-16"/>
        </w:rPr>
        <w:t> </w:t>
      </w:r>
      <w:r>
        <w:rPr/>
        <w:t>Sonnier</w:t>
      </w:r>
      <w:r>
        <w:rPr>
          <w:spacing w:val="-18"/>
        </w:rPr>
        <w:t> </w:t>
      </w:r>
      <w:r>
        <w:rPr/>
        <w:t>vd.</w:t>
      </w:r>
      <w:r>
        <w:rPr>
          <w:spacing w:val="-17"/>
        </w:rPr>
        <w:t> </w:t>
      </w:r>
      <w:r>
        <w:rPr/>
        <w:t>(2011)</w:t>
      </w:r>
      <w:r>
        <w:rPr>
          <w:spacing w:val="-17"/>
        </w:rPr>
        <w:t> </w:t>
      </w:r>
      <w:r>
        <w:rPr/>
        <w:t>bu</w:t>
      </w:r>
      <w:r>
        <w:rPr>
          <w:spacing w:val="-17"/>
        </w:rPr>
        <w:t> </w:t>
      </w:r>
      <w:r>
        <w:rPr/>
        <w:t>ilişkiyi</w:t>
      </w:r>
      <w:r>
        <w:rPr>
          <w:spacing w:val="-16"/>
        </w:rPr>
        <w:t> </w:t>
      </w:r>
      <w:r>
        <w:rPr/>
        <w:t>pozitif,</w:t>
      </w:r>
      <w:r>
        <w:rPr>
          <w:spacing w:val="-15"/>
        </w:rPr>
        <w:t> </w:t>
      </w:r>
      <w:r>
        <w:rPr/>
        <w:t>bir</w:t>
      </w:r>
      <w:r>
        <w:rPr>
          <w:spacing w:val="-17"/>
        </w:rPr>
        <w:t> </w:t>
      </w:r>
      <w:r>
        <w:rPr/>
        <w:t>başkasında Tang vd. (2014) negatif</w:t>
      </w:r>
      <w:r>
        <w:rPr>
          <w:spacing w:val="-1"/>
        </w:rPr>
        <w:t> </w:t>
      </w:r>
      <w:r>
        <w:rPr/>
        <w:t>bulmuştur.</w:t>
      </w:r>
    </w:p>
    <w:p>
      <w:pPr>
        <w:pStyle w:val="Heading1"/>
        <w:numPr>
          <w:ilvl w:val="3"/>
          <w:numId w:val="1"/>
        </w:numPr>
        <w:tabs>
          <w:tab w:pos="2037" w:val="left" w:leader="none"/>
        </w:tabs>
        <w:spacing w:line="240" w:lineRule="auto" w:before="159" w:after="0"/>
        <w:ind w:left="2036" w:right="0" w:hanging="781"/>
        <w:jc w:val="both"/>
      </w:pPr>
      <w:r>
        <w:rPr/>
        <w:t>Yayılım</w:t>
      </w:r>
    </w:p>
    <w:p>
      <w:pPr>
        <w:pStyle w:val="BodyText"/>
        <w:spacing w:line="360" w:lineRule="auto" w:before="139"/>
        <w:ind w:right="310" w:firstLine="708"/>
      </w:pPr>
      <w:r>
        <w:rPr/>
        <w:t>Elektronik</w:t>
      </w:r>
      <w:r>
        <w:rPr>
          <w:spacing w:val="-17"/>
        </w:rPr>
        <w:t> </w:t>
      </w:r>
      <w:r>
        <w:rPr/>
        <w:t>ağızdan</w:t>
      </w:r>
      <w:r>
        <w:rPr>
          <w:spacing w:val="-14"/>
        </w:rPr>
        <w:t> </w:t>
      </w:r>
      <w:r>
        <w:rPr/>
        <w:t>ağıza</w:t>
      </w:r>
      <w:r>
        <w:rPr>
          <w:spacing w:val="-16"/>
        </w:rPr>
        <w:t> </w:t>
      </w:r>
      <w:r>
        <w:rPr/>
        <w:t>iletişimin</w:t>
      </w:r>
      <w:r>
        <w:rPr>
          <w:spacing w:val="-15"/>
        </w:rPr>
        <w:t> </w:t>
      </w:r>
      <w:r>
        <w:rPr/>
        <w:t>yayılım</w:t>
      </w:r>
      <w:r>
        <w:rPr>
          <w:spacing w:val="-16"/>
        </w:rPr>
        <w:t> </w:t>
      </w:r>
      <w:r>
        <w:rPr/>
        <w:t>özelliği</w:t>
      </w:r>
      <w:r>
        <w:rPr>
          <w:spacing w:val="-17"/>
        </w:rPr>
        <w:t> </w:t>
      </w:r>
      <w:r>
        <w:rPr/>
        <w:t>internetin</w:t>
      </w:r>
      <w:r>
        <w:rPr>
          <w:spacing w:val="-16"/>
        </w:rPr>
        <w:t> </w:t>
      </w:r>
      <w:r>
        <w:rPr/>
        <w:t>çok</w:t>
      </w:r>
      <w:r>
        <w:rPr>
          <w:spacing w:val="-17"/>
        </w:rPr>
        <w:t> </w:t>
      </w:r>
      <w:r>
        <w:rPr/>
        <w:t>farklı</w:t>
      </w:r>
      <w:r>
        <w:rPr>
          <w:spacing w:val="-17"/>
        </w:rPr>
        <w:t> </w:t>
      </w:r>
      <w:r>
        <w:rPr/>
        <w:t>platformlarda iletişim kurulmasına imkan sağlamasından kaynaklanmaktadır (King vd., 2014). Forumlar, bloglar, sosyal medya platformları (örn. Facebook), değerlendirme siteleri, online perakendeciler (örn. Amazon) gibi çeşitli platformlar ağızdan ağıza iletişim bağlamında tüketiciler</w:t>
      </w:r>
      <w:r>
        <w:rPr>
          <w:spacing w:val="-5"/>
        </w:rPr>
        <w:t> </w:t>
      </w:r>
      <w:r>
        <w:rPr/>
        <w:t>için</w:t>
      </w:r>
      <w:r>
        <w:rPr>
          <w:spacing w:val="-4"/>
        </w:rPr>
        <w:t> </w:t>
      </w:r>
      <w:r>
        <w:rPr/>
        <w:t>farklı</w:t>
      </w:r>
      <w:r>
        <w:rPr>
          <w:spacing w:val="-4"/>
        </w:rPr>
        <w:t> </w:t>
      </w:r>
      <w:r>
        <w:rPr/>
        <w:t>bilgi</w:t>
      </w:r>
      <w:r>
        <w:rPr>
          <w:spacing w:val="-3"/>
        </w:rPr>
        <w:t> </w:t>
      </w:r>
      <w:r>
        <w:rPr/>
        <w:t>kaynaklarıdır.</w:t>
      </w:r>
      <w:r>
        <w:rPr>
          <w:spacing w:val="-5"/>
        </w:rPr>
        <w:t> </w:t>
      </w:r>
      <w:r>
        <w:rPr/>
        <w:t>Bir</w:t>
      </w:r>
      <w:r>
        <w:rPr>
          <w:spacing w:val="-3"/>
        </w:rPr>
        <w:t> </w:t>
      </w:r>
      <w:r>
        <w:rPr/>
        <w:t>ürün</w:t>
      </w:r>
      <w:r>
        <w:rPr>
          <w:spacing w:val="-1"/>
        </w:rPr>
        <w:t> </w:t>
      </w:r>
      <w:r>
        <w:rPr/>
        <w:t>ya</w:t>
      </w:r>
      <w:r>
        <w:rPr>
          <w:spacing w:val="-5"/>
        </w:rPr>
        <w:t> </w:t>
      </w:r>
      <w:r>
        <w:rPr/>
        <w:t>da</w:t>
      </w:r>
      <w:r>
        <w:rPr>
          <w:spacing w:val="-5"/>
        </w:rPr>
        <w:t> </w:t>
      </w:r>
      <w:r>
        <w:rPr/>
        <w:t>hizmetle</w:t>
      </w:r>
      <w:r>
        <w:rPr>
          <w:spacing w:val="-3"/>
        </w:rPr>
        <w:t> </w:t>
      </w:r>
      <w:r>
        <w:rPr/>
        <w:t>ilgili</w:t>
      </w:r>
      <w:r>
        <w:rPr>
          <w:spacing w:val="-2"/>
        </w:rPr>
        <w:t> </w:t>
      </w:r>
      <w:r>
        <w:rPr/>
        <w:t>ağızdan</w:t>
      </w:r>
      <w:r>
        <w:rPr>
          <w:spacing w:val="-4"/>
        </w:rPr>
        <w:t> </w:t>
      </w:r>
      <w:r>
        <w:rPr/>
        <w:t>ağıza</w:t>
      </w:r>
      <w:r>
        <w:rPr>
          <w:spacing w:val="-5"/>
        </w:rPr>
        <w:t> </w:t>
      </w:r>
      <w:r>
        <w:rPr/>
        <w:t>iletişim mesajları ne kadar çok farklı platformda yer alıyorsa o kadar çok yayılıyor demektir (Godes ve Mayzlin, 2004). iPhone yeni bir model çıkartacağını duyurduğu andan itibaren bloglar, inceleme siteleri, Youtube ve sosyal medya yeni modelle ilgili tartışmalara, öngörülere ve değerlendirmelere sahne olmaktadır. Yeni model iPhone daha piyasaya sürülmeden ağızdan ağıza iletişim mesajlarının hızlıca yayıldığı</w:t>
      </w:r>
      <w:r>
        <w:rPr>
          <w:spacing w:val="-2"/>
        </w:rPr>
        <w:t> </w:t>
      </w:r>
      <w:r>
        <w:rPr/>
        <w:t>görülmektedir.</w:t>
      </w:r>
    </w:p>
    <w:p>
      <w:pPr>
        <w:pStyle w:val="BodyText"/>
        <w:spacing w:line="360" w:lineRule="auto" w:before="1"/>
        <w:ind w:right="309" w:firstLine="708"/>
      </w:pPr>
      <w:r>
        <w:rPr/>
        <w:t>Geniş yayılım, çeşitli platformlarda heterojen kitlelerin ürünle ilgili konuştuğunu göstermektedir. Geniş yayılım nedeniyle, tüketicilerin ulaşabileceği ağızdan ağıza iletişim bilgisi</w:t>
      </w:r>
      <w:r>
        <w:rPr>
          <w:spacing w:val="-4"/>
        </w:rPr>
        <w:t> </w:t>
      </w:r>
      <w:r>
        <w:rPr/>
        <w:t>çok</w:t>
      </w:r>
      <w:r>
        <w:rPr>
          <w:spacing w:val="-5"/>
        </w:rPr>
        <w:t> </w:t>
      </w:r>
      <w:r>
        <w:rPr/>
        <w:t>ve</w:t>
      </w:r>
      <w:r>
        <w:rPr>
          <w:spacing w:val="-5"/>
        </w:rPr>
        <w:t> </w:t>
      </w:r>
      <w:r>
        <w:rPr/>
        <w:t>çeşitlidir.</w:t>
      </w:r>
      <w:r>
        <w:rPr>
          <w:spacing w:val="-8"/>
        </w:rPr>
        <w:t> </w:t>
      </w:r>
      <w:r>
        <w:rPr/>
        <w:t>Dolayısıyla,</w:t>
      </w:r>
      <w:r>
        <w:rPr>
          <w:spacing w:val="-4"/>
        </w:rPr>
        <w:t> </w:t>
      </w:r>
      <w:r>
        <w:rPr/>
        <w:t>ürüne</w:t>
      </w:r>
      <w:r>
        <w:rPr>
          <w:spacing w:val="-7"/>
        </w:rPr>
        <w:t> </w:t>
      </w:r>
      <w:r>
        <w:rPr/>
        <w:t>talebin</w:t>
      </w:r>
      <w:r>
        <w:rPr>
          <w:spacing w:val="-3"/>
        </w:rPr>
        <w:t> </w:t>
      </w:r>
      <w:r>
        <w:rPr/>
        <w:t>yüksek</w:t>
      </w:r>
      <w:r>
        <w:rPr>
          <w:spacing w:val="-5"/>
        </w:rPr>
        <w:t> </w:t>
      </w:r>
      <w:r>
        <w:rPr/>
        <w:t>olması</w:t>
      </w:r>
      <w:r>
        <w:rPr>
          <w:spacing w:val="-3"/>
        </w:rPr>
        <w:t> </w:t>
      </w:r>
      <w:r>
        <w:rPr/>
        <w:t>da</w:t>
      </w:r>
      <w:r>
        <w:rPr>
          <w:spacing w:val="-6"/>
        </w:rPr>
        <w:t> </w:t>
      </w:r>
      <w:r>
        <w:rPr/>
        <w:t>olasıdır</w:t>
      </w:r>
      <w:r>
        <w:rPr>
          <w:spacing w:val="-5"/>
        </w:rPr>
        <w:t> </w:t>
      </w:r>
      <w:r>
        <w:rPr/>
        <w:t>(Zhou</w:t>
      </w:r>
      <w:r>
        <w:rPr>
          <w:spacing w:val="-4"/>
        </w:rPr>
        <w:t> </w:t>
      </w:r>
      <w:r>
        <w:rPr/>
        <w:t>ve</w:t>
      </w:r>
      <w:r>
        <w:rPr>
          <w:spacing w:val="-6"/>
        </w:rPr>
        <w:t> </w:t>
      </w:r>
      <w:r>
        <w:rPr/>
        <w:t>Duan, 2012). Godes ve Mayzlin (2004), geniş yayılımın yüksek taleple ilişkili olduğunu ve yayılımın etkisinin zamanla azaldığını bulmuşlardır. Üçüncü taraf internet sayfalarındaki (download.com, barnesandnoble.com gibi) yorumların Amazon.com’daki satışları olumlu etkilediğini belirten çalışmalar (örn. Park vd., 2012; Zhou ve Duan, 2015; Chen vd., 2017) ise geniş yayılımın satışlar üzerine etkisini</w:t>
      </w:r>
      <w:r>
        <w:rPr>
          <w:spacing w:val="-4"/>
        </w:rPr>
        <w:t> </w:t>
      </w:r>
      <w:r>
        <w:rPr/>
        <w:t>göstermektedir.</w:t>
      </w:r>
    </w:p>
    <w:p>
      <w:pPr>
        <w:pStyle w:val="Heading1"/>
        <w:numPr>
          <w:ilvl w:val="3"/>
          <w:numId w:val="1"/>
        </w:numPr>
        <w:tabs>
          <w:tab w:pos="2037" w:val="left" w:leader="none"/>
        </w:tabs>
        <w:spacing w:line="240" w:lineRule="auto" w:before="159" w:after="0"/>
        <w:ind w:left="2036" w:right="0" w:hanging="781"/>
        <w:jc w:val="both"/>
      </w:pPr>
      <w:r>
        <w:rPr/>
        <w:t>Kalıcılık ve</w:t>
      </w:r>
      <w:r>
        <w:rPr>
          <w:spacing w:val="-1"/>
        </w:rPr>
        <w:t> </w:t>
      </w:r>
      <w:r>
        <w:rPr/>
        <w:t>Gözlemlenebilirlik</w:t>
      </w:r>
    </w:p>
    <w:p>
      <w:pPr>
        <w:pStyle w:val="BodyText"/>
        <w:spacing w:line="360" w:lineRule="auto" w:before="139"/>
        <w:ind w:right="311" w:firstLine="708"/>
      </w:pPr>
      <w:r>
        <w:rPr/>
        <w:t>Elektronik ağızdan ağıza iletişimde bilgi yazılı olarak iletilmekte ve çok uzun süre erişime</w:t>
      </w:r>
      <w:r>
        <w:rPr>
          <w:spacing w:val="-8"/>
        </w:rPr>
        <w:t> </w:t>
      </w:r>
      <w:r>
        <w:rPr/>
        <w:t>açık</w:t>
      </w:r>
      <w:r>
        <w:rPr>
          <w:spacing w:val="-6"/>
        </w:rPr>
        <w:t> </w:t>
      </w:r>
      <w:r>
        <w:rPr/>
        <w:t>kalabilmektedir</w:t>
      </w:r>
      <w:r>
        <w:rPr>
          <w:spacing w:val="-7"/>
        </w:rPr>
        <w:t> </w:t>
      </w:r>
      <w:r>
        <w:rPr/>
        <w:t>(Dellarocas</w:t>
      </w:r>
      <w:r>
        <w:rPr>
          <w:spacing w:val="-6"/>
        </w:rPr>
        <w:t> </w:t>
      </w:r>
      <w:r>
        <w:rPr/>
        <w:t>ve</w:t>
      </w:r>
      <w:r>
        <w:rPr>
          <w:spacing w:val="-8"/>
        </w:rPr>
        <w:t> </w:t>
      </w:r>
      <w:r>
        <w:rPr/>
        <w:t>Narayan,</w:t>
      </w:r>
      <w:r>
        <w:rPr>
          <w:spacing w:val="-3"/>
        </w:rPr>
        <w:t> </w:t>
      </w:r>
      <w:r>
        <w:rPr/>
        <w:t>2007).</w:t>
      </w:r>
      <w:r>
        <w:rPr>
          <w:spacing w:val="-6"/>
        </w:rPr>
        <w:t> </w:t>
      </w:r>
      <w:r>
        <w:rPr/>
        <w:t>Bu</w:t>
      </w:r>
      <w:r>
        <w:rPr>
          <w:spacing w:val="-6"/>
        </w:rPr>
        <w:t> </w:t>
      </w:r>
      <w:r>
        <w:rPr/>
        <w:t>sayede,</w:t>
      </w:r>
      <w:r>
        <w:rPr>
          <w:spacing w:val="-7"/>
        </w:rPr>
        <w:t> </w:t>
      </w:r>
      <w:r>
        <w:rPr/>
        <w:t>ürün</w:t>
      </w:r>
      <w:r>
        <w:rPr>
          <w:spacing w:val="-6"/>
        </w:rPr>
        <w:t> </w:t>
      </w:r>
      <w:r>
        <w:rPr/>
        <w:t>veya</w:t>
      </w:r>
      <w:r>
        <w:rPr>
          <w:spacing w:val="-7"/>
        </w:rPr>
        <w:t> </w:t>
      </w:r>
      <w:r>
        <w:rPr/>
        <w:t>hizmetler hakkında</w:t>
      </w:r>
      <w:r>
        <w:rPr>
          <w:spacing w:val="-16"/>
        </w:rPr>
        <w:t> </w:t>
      </w:r>
      <w:r>
        <w:rPr/>
        <w:t>bilgi</w:t>
      </w:r>
      <w:r>
        <w:rPr>
          <w:spacing w:val="-15"/>
        </w:rPr>
        <w:t> </w:t>
      </w:r>
      <w:r>
        <w:rPr/>
        <w:t>ya</w:t>
      </w:r>
      <w:r>
        <w:rPr>
          <w:spacing w:val="-16"/>
        </w:rPr>
        <w:t> </w:t>
      </w:r>
      <w:r>
        <w:rPr/>
        <w:t>da</w:t>
      </w:r>
      <w:r>
        <w:rPr>
          <w:spacing w:val="-15"/>
        </w:rPr>
        <w:t> </w:t>
      </w:r>
      <w:r>
        <w:rPr/>
        <w:t>yorum</w:t>
      </w:r>
      <w:r>
        <w:rPr>
          <w:spacing w:val="-15"/>
        </w:rPr>
        <w:t> </w:t>
      </w:r>
      <w:r>
        <w:rPr/>
        <w:t>arayan</w:t>
      </w:r>
      <w:r>
        <w:rPr>
          <w:spacing w:val="-15"/>
        </w:rPr>
        <w:t> </w:t>
      </w:r>
      <w:r>
        <w:rPr/>
        <w:t>tüketiciler</w:t>
      </w:r>
      <w:r>
        <w:rPr>
          <w:spacing w:val="-17"/>
        </w:rPr>
        <w:t> </w:t>
      </w:r>
      <w:r>
        <w:rPr/>
        <w:t>geçmişte</w:t>
      </w:r>
      <w:r>
        <w:rPr>
          <w:spacing w:val="-15"/>
        </w:rPr>
        <w:t> </w:t>
      </w:r>
      <w:r>
        <w:rPr/>
        <w:t>diğer</w:t>
      </w:r>
      <w:r>
        <w:rPr>
          <w:spacing w:val="-17"/>
        </w:rPr>
        <w:t> </w:t>
      </w:r>
      <w:r>
        <w:rPr/>
        <w:t>tüketicilerce</w:t>
      </w:r>
      <w:r>
        <w:rPr>
          <w:spacing w:val="-14"/>
        </w:rPr>
        <w:t> </w:t>
      </w:r>
      <w:r>
        <w:rPr/>
        <w:t>yazılmış</w:t>
      </w:r>
      <w:r>
        <w:rPr>
          <w:spacing w:val="-15"/>
        </w:rPr>
        <w:t> </w:t>
      </w:r>
      <w:r>
        <w:rPr/>
        <w:t>elektronik ağızdan ağıza iletişim mesajlarına erişebilmektedir (Hennig-Thurau vd., 2010). Dolayısıyla, geçmişte yapılmış yorumların da tüketici satın alma kararlarını etkilemesi mümkündür. Yapılan araştırmalar önceki dönemlerde yapılan yorumların mevcut dönemdeki ürün satışlarını etkilediğini göstermektedir (örn. Shin vd., 2016; Chen vd., 2017). Kalıcı ve uzun süre</w:t>
      </w:r>
      <w:r>
        <w:rPr>
          <w:spacing w:val="21"/>
        </w:rPr>
        <w:t> </w:t>
      </w:r>
      <w:r>
        <w:rPr/>
        <w:t>tüketicilerce</w:t>
      </w:r>
      <w:r>
        <w:rPr>
          <w:spacing w:val="23"/>
        </w:rPr>
        <w:t> </w:t>
      </w:r>
      <w:r>
        <w:rPr/>
        <w:t>gözlemlenebilen</w:t>
      </w:r>
      <w:r>
        <w:rPr>
          <w:spacing w:val="24"/>
        </w:rPr>
        <w:t> </w:t>
      </w:r>
      <w:r>
        <w:rPr/>
        <w:t>elektronik</w:t>
      </w:r>
      <w:r>
        <w:rPr>
          <w:spacing w:val="24"/>
        </w:rPr>
        <w:t> </w:t>
      </w:r>
      <w:r>
        <w:rPr/>
        <w:t>ağızdan</w:t>
      </w:r>
      <w:r>
        <w:rPr>
          <w:spacing w:val="24"/>
        </w:rPr>
        <w:t> </w:t>
      </w:r>
      <w:r>
        <w:rPr/>
        <w:t>ağıza</w:t>
      </w:r>
      <w:r>
        <w:rPr>
          <w:spacing w:val="22"/>
        </w:rPr>
        <w:t> </w:t>
      </w:r>
      <w:r>
        <w:rPr/>
        <w:t>iletişim</w:t>
      </w:r>
      <w:r>
        <w:rPr>
          <w:spacing w:val="24"/>
        </w:rPr>
        <w:t> </w:t>
      </w:r>
      <w:r>
        <w:rPr/>
        <w:t>mesajları,</w:t>
      </w:r>
      <w:r>
        <w:rPr>
          <w:spacing w:val="23"/>
        </w:rPr>
        <w:t> </w:t>
      </w:r>
      <w:r>
        <w:rPr/>
        <w:t>gelecekteki</w:t>
      </w:r>
    </w:p>
    <w:p>
      <w:pPr>
        <w:spacing w:after="0" w:line="360" w:lineRule="auto"/>
        <w:sectPr>
          <w:pgSz w:w="12240" w:h="15840"/>
          <w:pgMar w:header="718" w:footer="0" w:top="1300" w:bottom="280" w:left="1720" w:right="820"/>
        </w:sectPr>
      </w:pPr>
    </w:p>
    <w:p>
      <w:pPr>
        <w:pStyle w:val="BodyText"/>
        <w:spacing w:line="360" w:lineRule="auto" w:before="100"/>
        <w:ind w:right="315"/>
      </w:pPr>
      <w:r>
        <w:rPr/>
        <w:t>tüketici davranışlarının yanı sıra elektronik ağızdan ağıza iletişim çabalarını da etkilemektedir (Dellarocas ve Narayan, 2007; Duan vd, 2008a). Geçmişteki yorumlar ile mevcut dönem yorumlar arasındaki ilişkiyi değerlik bağlamında irdeleyen çalışmalar bulunmaktadır.</w:t>
      </w:r>
      <w:r>
        <w:rPr>
          <w:spacing w:val="-17"/>
        </w:rPr>
        <w:t> </w:t>
      </w:r>
      <w:r>
        <w:rPr/>
        <w:t>Ma</w:t>
      </w:r>
      <w:r>
        <w:rPr>
          <w:spacing w:val="-17"/>
        </w:rPr>
        <w:t> </w:t>
      </w:r>
      <w:r>
        <w:rPr/>
        <w:t>vd.</w:t>
      </w:r>
      <w:r>
        <w:rPr>
          <w:spacing w:val="-16"/>
        </w:rPr>
        <w:t> </w:t>
      </w:r>
      <w:r>
        <w:rPr/>
        <w:t>(2013)</w:t>
      </w:r>
      <w:r>
        <w:rPr>
          <w:spacing w:val="-17"/>
        </w:rPr>
        <w:t> </w:t>
      </w:r>
      <w:r>
        <w:rPr/>
        <w:t>ve</w:t>
      </w:r>
      <w:r>
        <w:rPr>
          <w:spacing w:val="-17"/>
        </w:rPr>
        <w:t> </w:t>
      </w:r>
      <w:r>
        <w:rPr/>
        <w:t>Guo</w:t>
      </w:r>
      <w:r>
        <w:rPr>
          <w:spacing w:val="-16"/>
        </w:rPr>
        <w:t> </w:t>
      </w:r>
      <w:r>
        <w:rPr/>
        <w:t>ve</w:t>
      </w:r>
      <w:r>
        <w:rPr>
          <w:spacing w:val="-17"/>
        </w:rPr>
        <w:t> </w:t>
      </w:r>
      <w:r>
        <w:rPr/>
        <w:t>Zhou</w:t>
      </w:r>
      <w:r>
        <w:rPr>
          <w:spacing w:val="-16"/>
        </w:rPr>
        <w:t> </w:t>
      </w:r>
      <w:r>
        <w:rPr/>
        <w:t>(2016)</w:t>
      </w:r>
      <w:r>
        <w:rPr>
          <w:spacing w:val="-17"/>
        </w:rPr>
        <w:t> </w:t>
      </w:r>
      <w:r>
        <w:rPr/>
        <w:t>geçmişteki</w:t>
      </w:r>
      <w:r>
        <w:rPr>
          <w:spacing w:val="-16"/>
        </w:rPr>
        <w:t> </w:t>
      </w:r>
      <w:r>
        <w:rPr/>
        <w:t>yorumlar</w:t>
      </w:r>
      <w:r>
        <w:rPr>
          <w:spacing w:val="-17"/>
        </w:rPr>
        <w:t> </w:t>
      </w:r>
      <w:r>
        <w:rPr/>
        <w:t>ile</w:t>
      </w:r>
      <w:r>
        <w:rPr>
          <w:spacing w:val="-17"/>
        </w:rPr>
        <w:t> </w:t>
      </w:r>
      <w:r>
        <w:rPr/>
        <w:t>mevcut</w:t>
      </w:r>
      <w:r>
        <w:rPr>
          <w:spacing w:val="-15"/>
        </w:rPr>
        <w:t> </w:t>
      </w:r>
      <w:r>
        <w:rPr/>
        <w:t>dönem yorumlar arasında pozitif ilişki bulmuştur. Öte yandan, Wang vd., (2018) geçmiş ve mevcut dönem yorumlar arasında negatif ilişki</w:t>
      </w:r>
      <w:r>
        <w:rPr>
          <w:spacing w:val="-1"/>
        </w:rPr>
        <w:t> </w:t>
      </w:r>
      <w:r>
        <w:rPr/>
        <w:t>bulmuştur.</w:t>
      </w:r>
    </w:p>
    <w:p>
      <w:pPr>
        <w:pStyle w:val="Heading1"/>
        <w:numPr>
          <w:ilvl w:val="3"/>
          <w:numId w:val="1"/>
        </w:numPr>
        <w:tabs>
          <w:tab w:pos="2037" w:val="left" w:leader="none"/>
        </w:tabs>
        <w:spacing w:line="240" w:lineRule="auto" w:before="159" w:after="0"/>
        <w:ind w:left="2036" w:right="0" w:hanging="781"/>
        <w:jc w:val="both"/>
      </w:pPr>
      <w:r>
        <w:rPr/>
        <w:t>Anonimlik ve</w:t>
      </w:r>
      <w:r>
        <w:rPr>
          <w:spacing w:val="-1"/>
        </w:rPr>
        <w:t> </w:t>
      </w:r>
      <w:r>
        <w:rPr/>
        <w:t>Aldatma</w:t>
      </w:r>
    </w:p>
    <w:p>
      <w:pPr>
        <w:pStyle w:val="BodyText"/>
        <w:spacing w:line="360" w:lineRule="auto" w:before="139"/>
        <w:ind w:right="310" w:firstLine="708"/>
      </w:pPr>
      <w:r>
        <w:rPr/>
        <w:t>İnternet</w:t>
      </w:r>
      <w:r>
        <w:rPr>
          <w:spacing w:val="-4"/>
        </w:rPr>
        <w:t> </w:t>
      </w:r>
      <w:r>
        <w:rPr/>
        <w:t>kişilerin</w:t>
      </w:r>
      <w:r>
        <w:rPr>
          <w:spacing w:val="-4"/>
        </w:rPr>
        <w:t> </w:t>
      </w:r>
      <w:r>
        <w:rPr/>
        <w:t>ya</w:t>
      </w:r>
      <w:r>
        <w:rPr>
          <w:spacing w:val="-6"/>
        </w:rPr>
        <w:t> </w:t>
      </w:r>
      <w:r>
        <w:rPr/>
        <w:t>da</w:t>
      </w:r>
      <w:r>
        <w:rPr>
          <w:spacing w:val="-6"/>
        </w:rPr>
        <w:t> </w:t>
      </w:r>
      <w:r>
        <w:rPr/>
        <w:t>kurumların</w:t>
      </w:r>
      <w:r>
        <w:rPr>
          <w:spacing w:val="-4"/>
        </w:rPr>
        <w:t> </w:t>
      </w:r>
      <w:r>
        <w:rPr/>
        <w:t>anonim</w:t>
      </w:r>
      <w:r>
        <w:rPr>
          <w:spacing w:val="-4"/>
        </w:rPr>
        <w:t> </w:t>
      </w:r>
      <w:r>
        <w:rPr/>
        <w:t>olarak</w:t>
      </w:r>
      <w:r>
        <w:rPr>
          <w:spacing w:val="-4"/>
        </w:rPr>
        <w:t> </w:t>
      </w:r>
      <w:r>
        <w:rPr/>
        <w:t>bilgi</w:t>
      </w:r>
      <w:r>
        <w:rPr>
          <w:spacing w:val="-4"/>
        </w:rPr>
        <w:t> </w:t>
      </w:r>
      <w:r>
        <w:rPr/>
        <w:t>ve</w:t>
      </w:r>
      <w:r>
        <w:rPr>
          <w:spacing w:val="-6"/>
        </w:rPr>
        <w:t> </w:t>
      </w:r>
      <w:r>
        <w:rPr/>
        <w:t>görüş</w:t>
      </w:r>
      <w:r>
        <w:rPr>
          <w:spacing w:val="-5"/>
        </w:rPr>
        <w:t> </w:t>
      </w:r>
      <w:r>
        <w:rPr/>
        <w:t>paylaşmasına</w:t>
      </w:r>
      <w:r>
        <w:rPr>
          <w:spacing w:val="-6"/>
        </w:rPr>
        <w:t> </w:t>
      </w:r>
      <w:r>
        <w:rPr/>
        <w:t>olanak sağlamaktadır. Anonimlik, manipülatif yorumlarla tüketicilerin aldatılmasını kolaylaştırmaktadır. Godes ve Mayzlin (2004) firmaların müşteri gibi davranarak online yorumlarda bulunmasının kârlı bir strateji olabileceğini belirtmektedir. Pan Macmillan yayınevi yöneticilerinden bir tanesi de sahte yorum yazmanın kârlı bir strateji olabileceğini düşünerek sahte isimle yayınevinin birkaç kitabı için olumlu yorumlar yazdı. Ancak, 2012 yılında deşifre oldu (Simonson ve Rosen, 2015: 53). Simonson ve Rosen, </w:t>
      </w:r>
      <w:r>
        <w:rPr>
          <w:i/>
        </w:rPr>
        <w:t>Yeni Tüketici </w:t>
      </w:r>
      <w:r>
        <w:rPr/>
        <w:t>kitabında (2015:56-57) sahte yorumların, yorum sayısı azken bir nebze etkili olabileceğini, ancak, daha fazla tüketici yorum yaptıkça bu sahte yorumların gerçek yorumlar arasında giderek gözden kaybolacağını belirtmektedirler. Örneğin, Pan Macmillan örneğindeki sahte yorum</w:t>
      </w:r>
      <w:r>
        <w:rPr>
          <w:spacing w:val="-5"/>
        </w:rPr>
        <w:t> </w:t>
      </w:r>
      <w:r>
        <w:rPr/>
        <w:t>yapılan</w:t>
      </w:r>
      <w:r>
        <w:rPr>
          <w:spacing w:val="-4"/>
        </w:rPr>
        <w:t> </w:t>
      </w:r>
      <w:r>
        <w:rPr/>
        <w:t>kitaplardan</w:t>
      </w:r>
      <w:r>
        <w:rPr>
          <w:spacing w:val="-4"/>
        </w:rPr>
        <w:t> </w:t>
      </w:r>
      <w:r>
        <w:rPr/>
        <w:t>bir</w:t>
      </w:r>
      <w:r>
        <w:rPr>
          <w:spacing w:val="-5"/>
        </w:rPr>
        <w:t> </w:t>
      </w:r>
      <w:r>
        <w:rPr/>
        <w:t>tanesi</w:t>
      </w:r>
      <w:r>
        <w:rPr>
          <w:spacing w:val="-3"/>
        </w:rPr>
        <w:t> </w:t>
      </w:r>
      <w:r>
        <w:rPr/>
        <w:t>için</w:t>
      </w:r>
      <w:r>
        <w:rPr>
          <w:spacing w:val="-5"/>
        </w:rPr>
        <w:t> </w:t>
      </w:r>
      <w:r>
        <w:rPr/>
        <w:t>sonradan</w:t>
      </w:r>
      <w:r>
        <w:rPr>
          <w:spacing w:val="-2"/>
        </w:rPr>
        <w:t> </w:t>
      </w:r>
      <w:r>
        <w:rPr/>
        <w:t>yapılan</w:t>
      </w:r>
      <w:r>
        <w:rPr>
          <w:spacing w:val="-4"/>
        </w:rPr>
        <w:t> </w:t>
      </w:r>
      <w:r>
        <w:rPr/>
        <w:t>50</w:t>
      </w:r>
      <w:r>
        <w:rPr>
          <w:spacing w:val="-5"/>
        </w:rPr>
        <w:t> </w:t>
      </w:r>
      <w:r>
        <w:rPr/>
        <w:t>yorumun</w:t>
      </w:r>
      <w:r>
        <w:rPr>
          <w:spacing w:val="-4"/>
        </w:rPr>
        <w:t> </w:t>
      </w:r>
      <w:r>
        <w:rPr/>
        <w:t>25</w:t>
      </w:r>
      <w:r>
        <w:rPr>
          <w:spacing w:val="-4"/>
        </w:rPr>
        <w:t> </w:t>
      </w:r>
      <w:r>
        <w:rPr/>
        <w:t>tanesinde</w:t>
      </w:r>
      <w:r>
        <w:rPr>
          <w:spacing w:val="-5"/>
        </w:rPr>
        <w:t> </w:t>
      </w:r>
      <w:r>
        <w:rPr/>
        <w:t>1</w:t>
      </w:r>
      <w:r>
        <w:rPr>
          <w:spacing w:val="-4"/>
        </w:rPr>
        <w:t> </w:t>
      </w:r>
      <w:r>
        <w:rPr/>
        <w:t>yıldız verilmiş ve kitap çok kötü olarak nitelendirilmekteydi (Simonson ve Rosen, 2015: 56). Ayrıca, aldatma amaçlı yapılan sahte yorumların tespit edilmesi durumunda tüketicilerin firmalara güveni zedelenmekte ve firmalar büyük zararlar görebilmektedirler (Sernovitz, 2015:25).</w:t>
      </w:r>
    </w:p>
    <w:p>
      <w:pPr>
        <w:pStyle w:val="BodyText"/>
        <w:spacing w:line="360" w:lineRule="auto" w:before="1"/>
        <w:ind w:right="313" w:firstLine="708"/>
      </w:pPr>
      <w:r>
        <w:rPr/>
        <w:t>Öte yandan, anonimlik paylaşılan mesajın içeriğini de etkilemektedir. Araştırmaya göre, insanlar kim oldukları belli iken, yani anonim değillerken, tartışmalı konulardan uzak durmakta</w:t>
      </w:r>
      <w:r>
        <w:rPr>
          <w:spacing w:val="-9"/>
        </w:rPr>
        <w:t> </w:t>
      </w:r>
      <w:r>
        <w:rPr/>
        <w:t>(Chen</w:t>
      </w:r>
      <w:r>
        <w:rPr>
          <w:spacing w:val="-9"/>
        </w:rPr>
        <w:t> </w:t>
      </w:r>
      <w:r>
        <w:rPr/>
        <w:t>ve</w:t>
      </w:r>
      <w:r>
        <w:rPr>
          <w:spacing w:val="-9"/>
        </w:rPr>
        <w:t> </w:t>
      </w:r>
      <w:r>
        <w:rPr/>
        <w:t>Berger,</w:t>
      </w:r>
      <w:r>
        <w:rPr>
          <w:spacing w:val="-9"/>
        </w:rPr>
        <w:t> </w:t>
      </w:r>
      <w:r>
        <w:rPr/>
        <w:t>2013)</w:t>
      </w:r>
      <w:r>
        <w:rPr>
          <w:spacing w:val="-9"/>
        </w:rPr>
        <w:t> </w:t>
      </w:r>
      <w:r>
        <w:rPr/>
        <w:t>ve</w:t>
      </w:r>
      <w:r>
        <w:rPr>
          <w:spacing w:val="-7"/>
        </w:rPr>
        <w:t> </w:t>
      </w:r>
      <w:r>
        <w:rPr/>
        <w:t>tüketimle</w:t>
      </w:r>
      <w:r>
        <w:rPr>
          <w:spacing w:val="-9"/>
        </w:rPr>
        <w:t> </w:t>
      </w:r>
      <w:r>
        <w:rPr/>
        <w:t>ilgili</w:t>
      </w:r>
      <w:r>
        <w:rPr>
          <w:spacing w:val="-8"/>
        </w:rPr>
        <w:t> </w:t>
      </w:r>
      <w:r>
        <w:rPr/>
        <w:t>daha</w:t>
      </w:r>
      <w:r>
        <w:rPr>
          <w:spacing w:val="-9"/>
        </w:rPr>
        <w:t> </w:t>
      </w:r>
      <w:r>
        <w:rPr/>
        <w:t>fazla</w:t>
      </w:r>
      <w:r>
        <w:rPr>
          <w:spacing w:val="-9"/>
        </w:rPr>
        <w:t> </w:t>
      </w:r>
      <w:r>
        <w:rPr/>
        <w:t>bilgi</w:t>
      </w:r>
      <w:r>
        <w:rPr>
          <w:spacing w:val="-8"/>
        </w:rPr>
        <w:t> </w:t>
      </w:r>
      <w:r>
        <w:rPr/>
        <w:t>vermektedirler</w:t>
      </w:r>
      <w:r>
        <w:rPr>
          <w:spacing w:val="-6"/>
        </w:rPr>
        <w:t> </w:t>
      </w:r>
      <w:r>
        <w:rPr/>
        <w:t>(Packard ve Wooten, 2013). Anonimlik, iyi intiba bırakma kaygısını azaltmaktadır (Spears ve Lea, 1994).</w:t>
      </w:r>
      <w:r>
        <w:rPr>
          <w:spacing w:val="-4"/>
        </w:rPr>
        <w:t> </w:t>
      </w:r>
      <w:r>
        <w:rPr/>
        <w:t>Bu</w:t>
      </w:r>
      <w:r>
        <w:rPr>
          <w:spacing w:val="-4"/>
        </w:rPr>
        <w:t> </w:t>
      </w:r>
      <w:r>
        <w:rPr/>
        <w:t>nedenledir</w:t>
      </w:r>
      <w:r>
        <w:rPr>
          <w:spacing w:val="-5"/>
        </w:rPr>
        <w:t> </w:t>
      </w:r>
      <w:r>
        <w:rPr/>
        <w:t>ki,</w:t>
      </w:r>
      <w:r>
        <w:rPr>
          <w:spacing w:val="-1"/>
        </w:rPr>
        <w:t> </w:t>
      </w:r>
      <w:r>
        <w:rPr/>
        <w:t>insanlar</w:t>
      </w:r>
      <w:r>
        <w:rPr>
          <w:spacing w:val="-5"/>
        </w:rPr>
        <w:t> </w:t>
      </w:r>
      <w:r>
        <w:rPr/>
        <w:t>kimliklerinin</w:t>
      </w:r>
      <w:r>
        <w:rPr>
          <w:spacing w:val="-3"/>
        </w:rPr>
        <w:t> </w:t>
      </w:r>
      <w:r>
        <w:rPr/>
        <w:t>gizli</w:t>
      </w:r>
      <w:r>
        <w:rPr>
          <w:spacing w:val="-3"/>
        </w:rPr>
        <w:t> </w:t>
      </w:r>
      <w:r>
        <w:rPr/>
        <w:t>olduğu</w:t>
      </w:r>
      <w:r>
        <w:rPr>
          <w:spacing w:val="-3"/>
        </w:rPr>
        <w:t> </w:t>
      </w:r>
      <w:r>
        <w:rPr/>
        <w:t>online</w:t>
      </w:r>
      <w:r>
        <w:rPr>
          <w:spacing w:val="-5"/>
        </w:rPr>
        <w:t> </w:t>
      </w:r>
      <w:r>
        <w:rPr/>
        <w:t>forumlarda</w:t>
      </w:r>
      <w:r>
        <w:rPr>
          <w:spacing w:val="-6"/>
        </w:rPr>
        <w:t> </w:t>
      </w:r>
      <w:r>
        <w:rPr/>
        <w:t>kötü</w:t>
      </w:r>
      <w:r>
        <w:rPr>
          <w:spacing w:val="-2"/>
        </w:rPr>
        <w:t> </w:t>
      </w:r>
      <w:r>
        <w:rPr/>
        <w:t>ve</w:t>
      </w:r>
      <w:r>
        <w:rPr>
          <w:spacing w:val="-5"/>
        </w:rPr>
        <w:t> </w:t>
      </w:r>
      <w:r>
        <w:rPr/>
        <w:t>çirkin şeyler söyleyebilmektedirler (Berger,</w:t>
      </w:r>
      <w:r>
        <w:rPr>
          <w:spacing w:val="-3"/>
        </w:rPr>
        <w:t> </w:t>
      </w:r>
      <w:r>
        <w:rPr/>
        <w:t>2014).</w:t>
      </w:r>
    </w:p>
    <w:p>
      <w:pPr>
        <w:spacing w:after="0" w:line="360" w:lineRule="auto"/>
        <w:sectPr>
          <w:pgSz w:w="12240" w:h="15840"/>
          <w:pgMar w:header="718" w:footer="0" w:top="1300" w:bottom="280" w:left="1720" w:right="820"/>
        </w:sectPr>
      </w:pPr>
    </w:p>
    <w:p>
      <w:pPr>
        <w:pStyle w:val="Heading1"/>
        <w:numPr>
          <w:ilvl w:val="3"/>
          <w:numId w:val="1"/>
        </w:numPr>
        <w:tabs>
          <w:tab w:pos="2037" w:val="left" w:leader="none"/>
        </w:tabs>
        <w:spacing w:line="240" w:lineRule="auto" w:before="100" w:after="0"/>
        <w:ind w:left="2036" w:right="0" w:hanging="781"/>
        <w:jc w:val="both"/>
      </w:pPr>
      <w:r>
        <w:rPr/>
        <w:t>Topluluk</w:t>
      </w:r>
      <w:r>
        <w:rPr>
          <w:spacing w:val="-1"/>
        </w:rPr>
        <w:t> </w:t>
      </w:r>
      <w:r>
        <w:rPr/>
        <w:t>Katılımı</w:t>
      </w:r>
    </w:p>
    <w:p>
      <w:pPr>
        <w:pStyle w:val="BodyText"/>
        <w:spacing w:line="360" w:lineRule="auto" w:before="137"/>
        <w:ind w:right="310" w:firstLine="708"/>
      </w:pPr>
      <w:r>
        <w:rPr/>
        <w:t>Elektronik ağızdan ağıza iletişim platformları (özellikle forumlar) dünyanın çeşitli yerlerinden benzer özelliklere ve zevklere sahip tüketicilerin bir araya gelmesine olanak sağlamaktadır.</w:t>
      </w:r>
      <w:r>
        <w:rPr>
          <w:spacing w:val="-11"/>
        </w:rPr>
        <w:t> </w:t>
      </w:r>
      <w:r>
        <w:rPr/>
        <w:t>Tüketiciler,</w:t>
      </w:r>
      <w:r>
        <w:rPr>
          <w:spacing w:val="-11"/>
        </w:rPr>
        <w:t> </w:t>
      </w:r>
      <w:r>
        <w:rPr/>
        <w:t>bu</w:t>
      </w:r>
      <w:r>
        <w:rPr>
          <w:spacing w:val="-11"/>
        </w:rPr>
        <w:t> </w:t>
      </w:r>
      <w:r>
        <w:rPr/>
        <w:t>sanal</w:t>
      </w:r>
      <w:r>
        <w:rPr>
          <w:spacing w:val="-9"/>
        </w:rPr>
        <w:t> </w:t>
      </w:r>
      <w:r>
        <w:rPr/>
        <w:t>topluluklar</w:t>
      </w:r>
      <w:r>
        <w:rPr>
          <w:spacing w:val="-11"/>
        </w:rPr>
        <w:t> </w:t>
      </w:r>
      <w:r>
        <w:rPr/>
        <w:t>sayesinde</w:t>
      </w:r>
      <w:r>
        <w:rPr>
          <w:spacing w:val="-11"/>
        </w:rPr>
        <w:t> </w:t>
      </w:r>
      <w:r>
        <w:rPr/>
        <w:t>ürünleri</w:t>
      </w:r>
      <w:r>
        <w:rPr>
          <w:spacing w:val="-10"/>
        </w:rPr>
        <w:t> </w:t>
      </w:r>
      <w:r>
        <w:rPr/>
        <w:t>tartışmakta,</w:t>
      </w:r>
      <w:r>
        <w:rPr>
          <w:spacing w:val="-11"/>
        </w:rPr>
        <w:t> </w:t>
      </w:r>
      <w:r>
        <w:rPr/>
        <w:t>üründen</w:t>
      </w:r>
      <w:r>
        <w:rPr>
          <w:spacing w:val="-11"/>
        </w:rPr>
        <w:t> </w:t>
      </w:r>
      <w:r>
        <w:rPr/>
        <w:t>nasıl daha iyi faydalanabileceğini ve ürünle ilgili karşılaştığı sorunların çözüm yollarını öğrenmektedir (King vd., 2014). Bir sanal topluluğa sıklıkla dahil olan ve topluluğun diğer üyeleriyle</w:t>
      </w:r>
      <w:r>
        <w:rPr>
          <w:spacing w:val="-6"/>
        </w:rPr>
        <w:t> </w:t>
      </w:r>
      <w:r>
        <w:rPr/>
        <w:t>etkileşime</w:t>
      </w:r>
      <w:r>
        <w:rPr>
          <w:spacing w:val="-4"/>
        </w:rPr>
        <w:t> </w:t>
      </w:r>
      <w:r>
        <w:rPr/>
        <w:t>giren</w:t>
      </w:r>
      <w:r>
        <w:rPr>
          <w:spacing w:val="-4"/>
        </w:rPr>
        <w:t> </w:t>
      </w:r>
      <w:r>
        <w:rPr/>
        <w:t>(örn.</w:t>
      </w:r>
      <w:r>
        <w:rPr>
          <w:spacing w:val="-4"/>
        </w:rPr>
        <w:t> </w:t>
      </w:r>
      <w:r>
        <w:rPr/>
        <w:t>bir</w:t>
      </w:r>
      <w:r>
        <w:rPr>
          <w:spacing w:val="-4"/>
        </w:rPr>
        <w:t> </w:t>
      </w:r>
      <w:r>
        <w:rPr/>
        <w:t>foruma</w:t>
      </w:r>
      <w:r>
        <w:rPr>
          <w:spacing w:val="-3"/>
        </w:rPr>
        <w:t> </w:t>
      </w:r>
      <w:r>
        <w:rPr/>
        <w:t>her</w:t>
      </w:r>
      <w:r>
        <w:rPr>
          <w:spacing w:val="-5"/>
        </w:rPr>
        <w:t> </w:t>
      </w:r>
      <w:r>
        <w:rPr/>
        <w:t>gün</w:t>
      </w:r>
      <w:r>
        <w:rPr>
          <w:spacing w:val="-3"/>
        </w:rPr>
        <w:t> </w:t>
      </w:r>
      <w:r>
        <w:rPr/>
        <w:t>giriş</w:t>
      </w:r>
      <w:r>
        <w:rPr>
          <w:spacing w:val="-3"/>
        </w:rPr>
        <w:t> </w:t>
      </w:r>
      <w:r>
        <w:rPr/>
        <w:t>yapıp</w:t>
      </w:r>
      <w:r>
        <w:rPr>
          <w:spacing w:val="-3"/>
        </w:rPr>
        <w:t> </w:t>
      </w:r>
      <w:r>
        <w:rPr/>
        <w:t>diğerleriyle</w:t>
      </w:r>
      <w:r>
        <w:rPr>
          <w:spacing w:val="-5"/>
        </w:rPr>
        <w:t> </w:t>
      </w:r>
      <w:r>
        <w:rPr/>
        <w:t>etkileşime</w:t>
      </w:r>
      <w:r>
        <w:rPr>
          <w:spacing w:val="-4"/>
        </w:rPr>
        <w:t> </w:t>
      </w:r>
      <w:r>
        <w:rPr/>
        <w:t>giren) kişi, yavaş yavaş topluluğa duygusal bir bağlılık duyarak aidiyet duygusu hissetmekte ve topluluk üyelerini arkadaş olarak görmektedir (Luo vd., 2018). Aidiyet duygusu, bu topluluklardaki “arkadaş” grubundan gelen bilgilere duyulan güveni artırmaktadır. Doğal olarak,</w:t>
      </w:r>
      <w:r>
        <w:rPr>
          <w:spacing w:val="-11"/>
        </w:rPr>
        <w:t> </w:t>
      </w:r>
      <w:r>
        <w:rPr/>
        <w:t>topluluk</w:t>
      </w:r>
      <w:r>
        <w:rPr>
          <w:spacing w:val="-11"/>
        </w:rPr>
        <w:t> </w:t>
      </w:r>
      <w:r>
        <w:rPr/>
        <w:t>üyelerinin</w:t>
      </w:r>
      <w:r>
        <w:rPr>
          <w:spacing w:val="-10"/>
        </w:rPr>
        <w:t> </w:t>
      </w:r>
      <w:r>
        <w:rPr/>
        <w:t>yorumları,</w:t>
      </w:r>
      <w:r>
        <w:rPr>
          <w:spacing w:val="-11"/>
        </w:rPr>
        <w:t> </w:t>
      </w:r>
      <w:r>
        <w:rPr/>
        <w:t>değerlendirmeleri</w:t>
      </w:r>
      <w:r>
        <w:rPr>
          <w:spacing w:val="-11"/>
        </w:rPr>
        <w:t> </w:t>
      </w:r>
      <w:r>
        <w:rPr/>
        <w:t>ve</w:t>
      </w:r>
      <w:r>
        <w:rPr>
          <w:spacing w:val="-11"/>
        </w:rPr>
        <w:t> </w:t>
      </w:r>
      <w:r>
        <w:rPr/>
        <w:t>görüşleri</w:t>
      </w:r>
      <w:r>
        <w:rPr>
          <w:spacing w:val="-11"/>
        </w:rPr>
        <w:t> </w:t>
      </w:r>
      <w:r>
        <w:rPr/>
        <w:t>tüketicinin</w:t>
      </w:r>
      <w:r>
        <w:rPr>
          <w:spacing w:val="-11"/>
        </w:rPr>
        <w:t> </w:t>
      </w:r>
      <w:r>
        <w:rPr/>
        <w:t>tutumuna</w:t>
      </w:r>
      <w:r>
        <w:rPr>
          <w:spacing w:val="-11"/>
        </w:rPr>
        <w:t> </w:t>
      </w:r>
      <w:r>
        <w:rPr/>
        <w:t>ve satın alma niyetine etki etmektedir (Hsu ve Liao, 2014; Luo vd., 2015; Choi ve Shin, 2017). Firmalar için ise sanal topluluklar hedef pazarları yakından takip etme ve müşteri ilişkileri yönetme bağlamında fırsatlar barındırmaktadır (Schau ve Muniz, 2002). Firmalar sanal topluluklar sayesinde müşterileri ile ilişkilerini sağlamlaştırıp değer yaratma sürecine müşterilerini dahil edebilmektedir (Schau vd.,</w:t>
      </w:r>
      <w:r>
        <w:rPr>
          <w:spacing w:val="-1"/>
        </w:rPr>
        <w:t> </w:t>
      </w:r>
      <w:r>
        <w:rPr/>
        <w:t>2009).</w:t>
      </w:r>
    </w:p>
    <w:p>
      <w:pPr>
        <w:pStyle w:val="Heading1"/>
        <w:numPr>
          <w:ilvl w:val="2"/>
          <w:numId w:val="1"/>
        </w:numPr>
        <w:tabs>
          <w:tab w:pos="1845" w:val="left" w:leader="none"/>
        </w:tabs>
        <w:spacing w:line="362" w:lineRule="auto" w:before="161" w:after="0"/>
        <w:ind w:left="1256" w:right="314" w:firstLine="0"/>
        <w:jc w:val="both"/>
      </w:pPr>
      <w:r>
        <w:rPr/>
        <w:t>Elektronik</w:t>
      </w:r>
      <w:r>
        <w:rPr>
          <w:spacing w:val="-18"/>
        </w:rPr>
        <w:t> </w:t>
      </w:r>
      <w:r>
        <w:rPr/>
        <w:t>Ağızdan</w:t>
      </w:r>
      <w:r>
        <w:rPr>
          <w:spacing w:val="-16"/>
        </w:rPr>
        <w:t> </w:t>
      </w:r>
      <w:r>
        <w:rPr/>
        <w:t>Ağıza</w:t>
      </w:r>
      <w:r>
        <w:rPr>
          <w:spacing w:val="-17"/>
        </w:rPr>
        <w:t> </w:t>
      </w:r>
      <w:r>
        <w:rPr/>
        <w:t>İletişimin</w:t>
      </w:r>
      <w:r>
        <w:rPr>
          <w:spacing w:val="-17"/>
        </w:rPr>
        <w:t> </w:t>
      </w:r>
      <w:r>
        <w:rPr/>
        <w:t>Geleneksel</w:t>
      </w:r>
      <w:r>
        <w:rPr>
          <w:spacing w:val="-16"/>
        </w:rPr>
        <w:t> </w:t>
      </w:r>
      <w:r>
        <w:rPr/>
        <w:t>Ağızdan</w:t>
      </w:r>
      <w:r>
        <w:rPr>
          <w:spacing w:val="-18"/>
        </w:rPr>
        <w:t> </w:t>
      </w:r>
      <w:r>
        <w:rPr/>
        <w:t>Ağıza</w:t>
      </w:r>
      <w:r>
        <w:rPr>
          <w:spacing w:val="-17"/>
        </w:rPr>
        <w:t> </w:t>
      </w:r>
      <w:r>
        <w:rPr/>
        <w:t>İletişimden Farklılıkları</w:t>
      </w:r>
    </w:p>
    <w:p>
      <w:pPr>
        <w:pStyle w:val="BodyText"/>
        <w:spacing w:line="360" w:lineRule="auto"/>
        <w:ind w:right="309" w:firstLine="708"/>
      </w:pPr>
      <w:r>
        <w:rPr/>
        <w:t>Kısaca geleneksel ağızdan ağıza iletişimin internet ortamındaki biçimi olarak tanımlanan elektronik ağızdan ağıza iletişim geleneksel ağızdan ağıza iletişimden belirli noktalarda farklılıklar göstermektedir. Temel farklılık iletişimin gerçekleştiği ortamla ilgilidir. Geleneksel ağızdan ağıza iletişim gerçek dünyada gerçekleşirken, elektronik ağızdan iletişim sanal ortamda gerçekleşmektedir (Martin ve Lueg, 2013).</w:t>
      </w:r>
    </w:p>
    <w:p>
      <w:pPr>
        <w:pStyle w:val="BodyText"/>
        <w:spacing w:line="360" w:lineRule="auto"/>
        <w:ind w:right="310" w:firstLine="708"/>
      </w:pPr>
      <w:r>
        <w:rPr/>
        <w:t>İkinci farklılık ise etkileşim çevresiyle ilgilidir. Geleneksel ağızdan ağıza iletişim bireyin</w:t>
      </w:r>
      <w:r>
        <w:rPr>
          <w:spacing w:val="-10"/>
        </w:rPr>
        <w:t> </w:t>
      </w:r>
      <w:r>
        <w:rPr/>
        <w:t>kendi</w:t>
      </w:r>
      <w:r>
        <w:rPr>
          <w:spacing w:val="-9"/>
        </w:rPr>
        <w:t> </w:t>
      </w:r>
      <w:r>
        <w:rPr/>
        <w:t>çevresiyle</w:t>
      </w:r>
      <w:r>
        <w:rPr>
          <w:spacing w:val="-10"/>
        </w:rPr>
        <w:t> </w:t>
      </w:r>
      <w:r>
        <w:rPr/>
        <w:t>sınırlı</w:t>
      </w:r>
      <w:r>
        <w:rPr>
          <w:spacing w:val="-9"/>
        </w:rPr>
        <w:t> </w:t>
      </w:r>
      <w:r>
        <w:rPr/>
        <w:t>iken</w:t>
      </w:r>
      <w:r>
        <w:rPr>
          <w:spacing w:val="-10"/>
        </w:rPr>
        <w:t> </w:t>
      </w:r>
      <w:r>
        <w:rPr/>
        <w:t>elektronik</w:t>
      </w:r>
      <w:r>
        <w:rPr>
          <w:spacing w:val="-9"/>
        </w:rPr>
        <w:t> </w:t>
      </w:r>
      <w:r>
        <w:rPr/>
        <w:t>ağızdan</w:t>
      </w:r>
      <w:r>
        <w:rPr>
          <w:spacing w:val="-10"/>
        </w:rPr>
        <w:t> </w:t>
      </w:r>
      <w:r>
        <w:rPr/>
        <w:t>ağıza</w:t>
      </w:r>
      <w:r>
        <w:rPr>
          <w:spacing w:val="-11"/>
        </w:rPr>
        <w:t> </w:t>
      </w:r>
      <w:r>
        <w:rPr/>
        <w:t>iletişimde</w:t>
      </w:r>
      <w:r>
        <w:rPr>
          <w:spacing w:val="-11"/>
        </w:rPr>
        <w:t> </w:t>
      </w:r>
      <w:r>
        <w:rPr/>
        <w:t>böyle</w:t>
      </w:r>
      <w:r>
        <w:rPr>
          <w:spacing w:val="-10"/>
        </w:rPr>
        <w:t> </w:t>
      </w:r>
      <w:r>
        <w:rPr/>
        <w:t>sınırlı</w:t>
      </w:r>
      <w:r>
        <w:rPr>
          <w:spacing w:val="-9"/>
        </w:rPr>
        <w:t> </w:t>
      </w:r>
      <w:r>
        <w:rPr/>
        <w:t>bir</w:t>
      </w:r>
      <w:r>
        <w:rPr>
          <w:spacing w:val="-10"/>
        </w:rPr>
        <w:t> </w:t>
      </w:r>
      <w:r>
        <w:rPr/>
        <w:t>çevre bulunmamaktadır (Dellarocas, 2003; Chen ve Xie, 2008; Reimer ve Benkenstein, 2016). İnternet ve tercüme eklentileri ve programları sayesinde mesaja dünyanın her yerinden ve her an erişim mümkündür. Erişim anlamında internet hem zaman hem de mekan sınırlarını kaldırmıştır.</w:t>
      </w:r>
    </w:p>
    <w:p>
      <w:pPr>
        <w:pStyle w:val="BodyText"/>
        <w:spacing w:line="360" w:lineRule="auto"/>
        <w:ind w:right="315" w:firstLine="708"/>
      </w:pPr>
      <w:r>
        <w:rPr/>
        <w:t>Bir diğer farklılık da mesajın yapısından kaynaklanmaktadır. Geleneksel ağızdan ağıza iletişimde mesaj sözlü olarak iletilir ve kalıcı değildir. Öte yandan, elektronik ağızdan</w:t>
      </w:r>
    </w:p>
    <w:p>
      <w:pPr>
        <w:spacing w:after="0" w:line="360" w:lineRule="auto"/>
        <w:sectPr>
          <w:pgSz w:w="12240" w:h="15840"/>
          <w:pgMar w:header="718" w:footer="0" w:top="1300" w:bottom="280" w:left="1720" w:right="820"/>
        </w:sectPr>
      </w:pPr>
    </w:p>
    <w:p>
      <w:pPr>
        <w:pStyle w:val="BodyText"/>
        <w:spacing w:line="360" w:lineRule="auto" w:before="100"/>
        <w:ind w:right="309"/>
      </w:pPr>
      <w:r>
        <w:rPr/>
        <w:t>ağıza iletişimde mesaj yazılı, sözlü ve/veya görseldir ve oldukça uzun süre erişime açık kalabilmektedir</w:t>
      </w:r>
      <w:r>
        <w:rPr>
          <w:spacing w:val="-12"/>
        </w:rPr>
        <w:t> </w:t>
      </w:r>
      <w:r>
        <w:rPr/>
        <w:t>(Duan</w:t>
      </w:r>
      <w:r>
        <w:rPr>
          <w:spacing w:val="-10"/>
        </w:rPr>
        <w:t> </w:t>
      </w:r>
      <w:r>
        <w:rPr/>
        <w:t>vd.,</w:t>
      </w:r>
      <w:r>
        <w:rPr>
          <w:spacing w:val="-10"/>
        </w:rPr>
        <w:t> </w:t>
      </w:r>
      <w:r>
        <w:rPr/>
        <w:t>2008a;</w:t>
      </w:r>
      <w:r>
        <w:rPr>
          <w:spacing w:val="-16"/>
        </w:rPr>
        <w:t> </w:t>
      </w:r>
      <w:r>
        <w:rPr/>
        <w:t>Cheung</w:t>
      </w:r>
      <w:r>
        <w:rPr>
          <w:spacing w:val="-10"/>
        </w:rPr>
        <w:t> </w:t>
      </w:r>
      <w:r>
        <w:rPr/>
        <w:t>ve</w:t>
      </w:r>
      <w:r>
        <w:rPr>
          <w:spacing w:val="-11"/>
        </w:rPr>
        <w:t> </w:t>
      </w:r>
      <w:r>
        <w:rPr/>
        <w:t>Thadani,</w:t>
      </w:r>
      <w:r>
        <w:rPr>
          <w:spacing w:val="-10"/>
        </w:rPr>
        <w:t> </w:t>
      </w:r>
      <w:r>
        <w:rPr/>
        <w:t>2012;</w:t>
      </w:r>
      <w:r>
        <w:rPr>
          <w:spacing w:val="-11"/>
        </w:rPr>
        <w:t> </w:t>
      </w:r>
      <w:r>
        <w:rPr/>
        <w:t>Reimer</w:t>
      </w:r>
      <w:r>
        <w:rPr>
          <w:spacing w:val="-11"/>
        </w:rPr>
        <w:t> </w:t>
      </w:r>
      <w:r>
        <w:rPr/>
        <w:t>ve</w:t>
      </w:r>
      <w:r>
        <w:rPr>
          <w:spacing w:val="-11"/>
        </w:rPr>
        <w:t> </w:t>
      </w:r>
      <w:r>
        <w:rPr/>
        <w:t>Benkenstein,</w:t>
      </w:r>
      <w:r>
        <w:rPr>
          <w:spacing w:val="-10"/>
        </w:rPr>
        <w:t> </w:t>
      </w:r>
      <w:r>
        <w:rPr/>
        <w:t>2016). Yazılı iletişim sözlü iletişime nazaran insanları ilginç ürünler ve markalar hakkında daha fazla konuşmaya sevk etmektedir (Berger ve Iyengar, 2013). Birinci sınıf (premium) ve farklılaştırılmış markaların online mecralarda daha fazla tartışıldığına dair bulgular bulunmaktadır</w:t>
      </w:r>
      <w:r>
        <w:rPr>
          <w:spacing w:val="-10"/>
        </w:rPr>
        <w:t> </w:t>
      </w:r>
      <w:r>
        <w:rPr/>
        <w:t>(Lovett</w:t>
      </w:r>
      <w:r>
        <w:rPr>
          <w:spacing w:val="-9"/>
        </w:rPr>
        <w:t> </w:t>
      </w:r>
      <w:r>
        <w:rPr/>
        <w:t>vd.,</w:t>
      </w:r>
      <w:r>
        <w:rPr>
          <w:spacing w:val="-10"/>
        </w:rPr>
        <w:t> </w:t>
      </w:r>
      <w:r>
        <w:rPr/>
        <w:t>2013).</w:t>
      </w:r>
      <w:r>
        <w:rPr>
          <w:spacing w:val="-10"/>
        </w:rPr>
        <w:t> </w:t>
      </w:r>
      <w:r>
        <w:rPr/>
        <w:t>Geleneksel</w:t>
      </w:r>
      <w:r>
        <w:rPr>
          <w:spacing w:val="-9"/>
        </w:rPr>
        <w:t> </w:t>
      </w:r>
      <w:r>
        <w:rPr/>
        <w:t>ve</w:t>
      </w:r>
      <w:r>
        <w:rPr>
          <w:spacing w:val="-11"/>
        </w:rPr>
        <w:t> </w:t>
      </w:r>
      <w:r>
        <w:rPr/>
        <w:t>elektronik</w:t>
      </w:r>
      <w:r>
        <w:rPr>
          <w:spacing w:val="-9"/>
        </w:rPr>
        <w:t> </w:t>
      </w:r>
      <w:r>
        <w:rPr/>
        <w:t>ağızdan</w:t>
      </w:r>
      <w:r>
        <w:rPr>
          <w:spacing w:val="-7"/>
        </w:rPr>
        <w:t> </w:t>
      </w:r>
      <w:r>
        <w:rPr/>
        <w:t>ağıza</w:t>
      </w:r>
      <w:r>
        <w:rPr>
          <w:spacing w:val="-11"/>
        </w:rPr>
        <w:t> </w:t>
      </w:r>
      <w:r>
        <w:rPr/>
        <w:t>iletişim</w:t>
      </w:r>
      <w:r>
        <w:rPr>
          <w:spacing w:val="-9"/>
        </w:rPr>
        <w:t> </w:t>
      </w:r>
      <w:r>
        <w:rPr/>
        <w:t>arasındaki mesajın yapısından ve kalıcılık bağlamından kaynaklı bu farklılık başka bir farklılığa da yol açmaktadır. Elektronik ağızdan ağıza iletişim mesajlarına, gelenekselin aksine, şirketler de erişebilmektedir. Dolayısıyla, şirketler ürünleri/markaları hakkında neler konuşulduğunu gözlemleyebilmekte, yayılan elektronik ağızdan ağıza iletişim mesajlarının satışlarına ya da marka değerlerine etkisini ölçebilmekte ve sosyal medya hesaplarında veya internet sayfalarında istenmeyen mesajları kaldırarak mesajlar üzerinde kontrol sağlayabilmektedir. Kısaca, elektronik ağızdan ağıza iletişim şirketlere gözlem, ölçüm (analiz) ve kontrol anlamında fırsatlar sunmaktadır (Dellarocas,</w:t>
      </w:r>
      <w:r>
        <w:rPr>
          <w:spacing w:val="-1"/>
        </w:rPr>
        <w:t> </w:t>
      </w:r>
      <w:r>
        <w:rPr/>
        <w:t>2003).</w:t>
      </w:r>
    </w:p>
    <w:p>
      <w:pPr>
        <w:pStyle w:val="BodyText"/>
        <w:spacing w:line="360" w:lineRule="auto" w:before="2"/>
        <w:ind w:right="312" w:firstLine="708"/>
      </w:pPr>
      <w:r>
        <w:rPr/>
        <w:t>Son</w:t>
      </w:r>
      <w:r>
        <w:rPr>
          <w:spacing w:val="-14"/>
        </w:rPr>
        <w:t> </w:t>
      </w:r>
      <w:r>
        <w:rPr/>
        <w:t>farklılık</w:t>
      </w:r>
      <w:r>
        <w:rPr>
          <w:spacing w:val="-13"/>
        </w:rPr>
        <w:t> </w:t>
      </w:r>
      <w:r>
        <w:rPr/>
        <w:t>ise,</w:t>
      </w:r>
      <w:r>
        <w:rPr>
          <w:spacing w:val="-15"/>
        </w:rPr>
        <w:t> </w:t>
      </w:r>
      <w:r>
        <w:rPr/>
        <w:t>mesaj</w:t>
      </w:r>
      <w:r>
        <w:rPr>
          <w:spacing w:val="-13"/>
        </w:rPr>
        <w:t> </w:t>
      </w:r>
      <w:r>
        <w:rPr/>
        <w:t>kaynağına</w:t>
      </w:r>
      <w:r>
        <w:rPr>
          <w:spacing w:val="-15"/>
        </w:rPr>
        <w:t> </w:t>
      </w:r>
      <w:r>
        <w:rPr/>
        <w:t>duyulan</w:t>
      </w:r>
      <w:r>
        <w:rPr>
          <w:spacing w:val="-14"/>
        </w:rPr>
        <w:t> </w:t>
      </w:r>
      <w:r>
        <w:rPr/>
        <w:t>güvenle</w:t>
      </w:r>
      <w:r>
        <w:rPr>
          <w:spacing w:val="-13"/>
        </w:rPr>
        <w:t> </w:t>
      </w:r>
      <w:r>
        <w:rPr/>
        <w:t>ilgilidir.</w:t>
      </w:r>
      <w:r>
        <w:rPr>
          <w:spacing w:val="-14"/>
        </w:rPr>
        <w:t> </w:t>
      </w:r>
      <w:r>
        <w:rPr/>
        <w:t>Geleneksel</w:t>
      </w:r>
      <w:r>
        <w:rPr>
          <w:spacing w:val="-13"/>
        </w:rPr>
        <w:t> </w:t>
      </w:r>
      <w:r>
        <w:rPr/>
        <w:t>ağızdan</w:t>
      </w:r>
      <w:r>
        <w:rPr>
          <w:spacing w:val="-14"/>
        </w:rPr>
        <w:t> </w:t>
      </w:r>
      <w:r>
        <w:rPr/>
        <w:t>ağıza iletişim yakın çevreyle ve yüz yüze gerçekleştiği için mesaj kaynağına duyulan güven yüksektir. Ancak, internet kişilerin gerçek kimliklerinden bağımsız sanal kimlikler oluşturmasına</w:t>
      </w:r>
      <w:r>
        <w:rPr>
          <w:spacing w:val="-11"/>
        </w:rPr>
        <w:t> </w:t>
      </w:r>
      <w:r>
        <w:rPr/>
        <w:t>olanak</w:t>
      </w:r>
      <w:r>
        <w:rPr>
          <w:spacing w:val="-10"/>
        </w:rPr>
        <w:t> </w:t>
      </w:r>
      <w:r>
        <w:rPr/>
        <w:t>sağlamasından</w:t>
      </w:r>
      <w:r>
        <w:rPr>
          <w:spacing w:val="-11"/>
        </w:rPr>
        <w:t> </w:t>
      </w:r>
      <w:r>
        <w:rPr/>
        <w:t>dolayı</w:t>
      </w:r>
      <w:r>
        <w:rPr>
          <w:spacing w:val="-10"/>
        </w:rPr>
        <w:t> </w:t>
      </w:r>
      <w:r>
        <w:rPr/>
        <w:t>manipülatif</w:t>
      </w:r>
      <w:r>
        <w:rPr>
          <w:spacing w:val="-11"/>
        </w:rPr>
        <w:t> </w:t>
      </w:r>
      <w:r>
        <w:rPr/>
        <w:t>yorumlara</w:t>
      </w:r>
      <w:r>
        <w:rPr>
          <w:spacing w:val="-11"/>
        </w:rPr>
        <w:t> </w:t>
      </w:r>
      <w:r>
        <w:rPr/>
        <w:t>açıktır</w:t>
      </w:r>
      <w:r>
        <w:rPr>
          <w:spacing w:val="-11"/>
        </w:rPr>
        <w:t> </w:t>
      </w:r>
      <w:r>
        <w:rPr/>
        <w:t>(Dellarocas,</w:t>
      </w:r>
      <w:r>
        <w:rPr>
          <w:spacing w:val="-10"/>
        </w:rPr>
        <w:t> </w:t>
      </w:r>
      <w:r>
        <w:rPr/>
        <w:t>2003; Rynarzewska, 2019). Dolayısıyla, mesaj kaynağının güvenilirliğine dair ipucu bulmak zor olabilmektedir (Cheung ve Thadani, 2012; Wu vd., 2020).</w:t>
      </w:r>
    </w:p>
    <w:p>
      <w:pPr>
        <w:pStyle w:val="BodyText"/>
        <w:spacing w:line="360" w:lineRule="auto"/>
        <w:ind w:right="311" w:firstLine="708"/>
      </w:pPr>
      <w:r>
        <w:rPr/>
        <w:t>Özetle, geleneksel ve elektronik ağızdan ağıza iletişim arasında iletişim ortamı, etkileşim çevresi, mesaj yapısı ve kaynak güvenilirliği bağlamında farklılıklar bulunmaktadır. Bu farklılıklar Tablo 2'de özetlenmiştir.</w:t>
      </w:r>
    </w:p>
    <w:p>
      <w:pPr>
        <w:spacing w:after="0" w:line="360" w:lineRule="auto"/>
        <w:sectPr>
          <w:pgSz w:w="12240" w:h="15840"/>
          <w:pgMar w:header="718" w:footer="0" w:top="1300" w:bottom="280" w:left="1720" w:right="820"/>
        </w:sectPr>
      </w:pPr>
    </w:p>
    <w:p>
      <w:pPr>
        <w:pStyle w:val="BodyText"/>
        <w:spacing w:before="100"/>
        <w:jc w:val="left"/>
      </w:pPr>
      <w:r>
        <w:rPr>
          <w:b/>
        </w:rPr>
        <w:t>Tablo 2: </w:t>
      </w:r>
      <w:r>
        <w:rPr/>
        <w:t>Elektronik ve Geleneksel Ağızdan Ağıza İletişim Arasındaki Farklılıklar</w:t>
      </w:r>
    </w:p>
    <w:p>
      <w:pPr>
        <w:pStyle w:val="BodyText"/>
        <w:spacing w:before="6"/>
        <w:ind w:left="0"/>
        <w:jc w:val="left"/>
        <w:rPr>
          <w:sz w:val="10"/>
        </w:rPr>
      </w:pPr>
    </w:p>
    <w:tbl>
      <w:tblPr>
        <w:tblW w:w="0" w:type="auto"/>
        <w:jc w:val="lef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4247"/>
      </w:tblGrid>
      <w:tr>
        <w:trPr>
          <w:trHeight w:val="395" w:hRule="atLeast"/>
        </w:trPr>
        <w:tc>
          <w:tcPr>
            <w:tcW w:w="4249" w:type="dxa"/>
            <w:tcBorders>
              <w:left w:val="single" w:sz="4" w:space="0" w:color="BEBEBE"/>
              <w:right w:val="single" w:sz="4" w:space="0" w:color="BEBEBE"/>
            </w:tcBorders>
          </w:tcPr>
          <w:p>
            <w:pPr>
              <w:pStyle w:val="TableParagraph"/>
              <w:spacing w:line="275" w:lineRule="exact"/>
              <w:rPr>
                <w:b/>
                <w:sz w:val="24"/>
              </w:rPr>
            </w:pPr>
            <w:r>
              <w:rPr>
                <w:b/>
                <w:sz w:val="24"/>
              </w:rPr>
              <w:t>Geleneksel Ağızdan Ağıza İletişim</w:t>
            </w:r>
          </w:p>
        </w:tc>
        <w:tc>
          <w:tcPr>
            <w:tcW w:w="4247" w:type="dxa"/>
            <w:tcBorders>
              <w:left w:val="single" w:sz="4" w:space="0" w:color="BEBEBE"/>
              <w:right w:val="single" w:sz="4" w:space="0" w:color="BEBEBE"/>
            </w:tcBorders>
          </w:tcPr>
          <w:p>
            <w:pPr>
              <w:pStyle w:val="TableParagraph"/>
              <w:spacing w:line="275" w:lineRule="exact"/>
              <w:rPr>
                <w:b/>
                <w:sz w:val="24"/>
              </w:rPr>
            </w:pPr>
            <w:r>
              <w:rPr>
                <w:b/>
                <w:sz w:val="24"/>
              </w:rPr>
              <w:t>Elektronik Ağızdan Ağıza İletişim</w:t>
            </w:r>
          </w:p>
        </w:tc>
      </w:tr>
      <w:tr>
        <w:trPr>
          <w:trHeight w:val="395" w:hRule="atLeast"/>
        </w:trPr>
        <w:tc>
          <w:tcPr>
            <w:tcW w:w="4249" w:type="dxa"/>
            <w:tcBorders>
              <w:left w:val="single" w:sz="4" w:space="0" w:color="BEBEBE"/>
              <w:bottom w:val="single" w:sz="4" w:space="0" w:color="BEBEBE"/>
              <w:right w:val="single" w:sz="4" w:space="0" w:color="BEBEBE"/>
            </w:tcBorders>
            <w:shd w:val="clear" w:color="auto" w:fill="F1F1F1"/>
          </w:tcPr>
          <w:p>
            <w:pPr>
              <w:pStyle w:val="TableParagraph"/>
              <w:spacing w:line="275" w:lineRule="exact"/>
              <w:rPr>
                <w:sz w:val="24"/>
              </w:rPr>
            </w:pPr>
            <w:r>
              <w:rPr>
                <w:sz w:val="24"/>
              </w:rPr>
              <w:t>Gerçek dünyada gerçekleşir.</w:t>
            </w:r>
          </w:p>
        </w:tc>
        <w:tc>
          <w:tcPr>
            <w:tcW w:w="4247" w:type="dxa"/>
            <w:tcBorders>
              <w:left w:val="single" w:sz="4" w:space="0" w:color="BEBEBE"/>
              <w:bottom w:val="single" w:sz="4" w:space="0" w:color="BEBEBE"/>
              <w:right w:val="single" w:sz="4" w:space="0" w:color="BEBEBE"/>
            </w:tcBorders>
            <w:shd w:val="clear" w:color="auto" w:fill="F1F1F1"/>
          </w:tcPr>
          <w:p>
            <w:pPr>
              <w:pStyle w:val="TableParagraph"/>
              <w:spacing w:line="275" w:lineRule="exact"/>
              <w:rPr>
                <w:sz w:val="24"/>
              </w:rPr>
            </w:pPr>
            <w:r>
              <w:rPr>
                <w:sz w:val="24"/>
              </w:rPr>
              <w:t>Sanal dünyada gerçekleşir.</w:t>
            </w:r>
          </w:p>
        </w:tc>
      </w:tr>
      <w:tr>
        <w:trPr>
          <w:trHeight w:val="671" w:hRule="atLeast"/>
        </w:trPr>
        <w:tc>
          <w:tcPr>
            <w:tcW w:w="4249" w:type="dxa"/>
            <w:tcBorders>
              <w:top w:val="single" w:sz="4" w:space="0" w:color="BEBEBE"/>
              <w:left w:val="single" w:sz="4" w:space="0" w:color="BEBEBE"/>
              <w:bottom w:val="single" w:sz="4" w:space="0" w:color="BEBEBE"/>
              <w:right w:val="single" w:sz="4" w:space="0" w:color="BEBEBE"/>
            </w:tcBorders>
          </w:tcPr>
          <w:p>
            <w:pPr>
              <w:pStyle w:val="TableParagraph"/>
              <w:spacing w:line="275" w:lineRule="exact"/>
              <w:rPr>
                <w:sz w:val="24"/>
              </w:rPr>
            </w:pPr>
            <w:r>
              <w:rPr>
                <w:sz w:val="24"/>
              </w:rPr>
              <w:t>Bireyin kendi çevresiyle sınırlıdır.</w:t>
            </w:r>
          </w:p>
        </w:tc>
        <w:tc>
          <w:tcPr>
            <w:tcW w:w="4247" w:type="dxa"/>
            <w:tcBorders>
              <w:top w:val="single" w:sz="4" w:space="0" w:color="BEBEBE"/>
              <w:left w:val="single" w:sz="4" w:space="0" w:color="BEBEBE"/>
              <w:bottom w:val="single" w:sz="4" w:space="0" w:color="BEBEBE"/>
              <w:right w:val="single" w:sz="4" w:space="0" w:color="BEBEBE"/>
            </w:tcBorders>
          </w:tcPr>
          <w:p>
            <w:pPr>
              <w:pStyle w:val="TableParagraph"/>
              <w:rPr>
                <w:sz w:val="24"/>
              </w:rPr>
            </w:pPr>
            <w:r>
              <w:rPr>
                <w:sz w:val="24"/>
              </w:rPr>
              <w:t>Dünyanın her yerinden mesaja erişim mümkündür.</w:t>
            </w:r>
          </w:p>
        </w:tc>
      </w:tr>
      <w:tr>
        <w:trPr>
          <w:trHeight w:val="671" w:hRule="atLeast"/>
        </w:trPr>
        <w:tc>
          <w:tcPr>
            <w:tcW w:w="4249"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spacing w:line="275" w:lineRule="exact"/>
              <w:rPr>
                <w:sz w:val="24"/>
              </w:rPr>
            </w:pPr>
            <w:r>
              <w:rPr>
                <w:sz w:val="24"/>
              </w:rPr>
              <w:t>Mesaj sözlü iletilir.</w:t>
            </w:r>
          </w:p>
        </w:tc>
        <w:tc>
          <w:tcPr>
            <w:tcW w:w="4247"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rPr>
                <w:sz w:val="24"/>
              </w:rPr>
            </w:pPr>
            <w:r>
              <w:rPr>
                <w:sz w:val="24"/>
              </w:rPr>
              <w:t>Mesaj yazılı, sözlü ve/veya görsel olarak iletilir.</w:t>
            </w:r>
          </w:p>
        </w:tc>
      </w:tr>
      <w:tr>
        <w:trPr>
          <w:trHeight w:val="397" w:hRule="atLeast"/>
        </w:trPr>
        <w:tc>
          <w:tcPr>
            <w:tcW w:w="4249" w:type="dxa"/>
            <w:tcBorders>
              <w:top w:val="single" w:sz="4" w:space="0" w:color="BEBEBE"/>
              <w:left w:val="single" w:sz="4" w:space="0" w:color="BEBEBE"/>
              <w:bottom w:val="single" w:sz="4" w:space="0" w:color="BEBEBE"/>
              <w:right w:val="single" w:sz="4" w:space="0" w:color="BEBEBE"/>
            </w:tcBorders>
          </w:tcPr>
          <w:p>
            <w:pPr>
              <w:pStyle w:val="TableParagraph"/>
              <w:spacing w:before="1"/>
              <w:rPr>
                <w:sz w:val="24"/>
              </w:rPr>
            </w:pPr>
            <w:r>
              <w:rPr>
                <w:sz w:val="24"/>
              </w:rPr>
              <w:t>Mesaj kalıcı değildir.</w:t>
            </w:r>
          </w:p>
        </w:tc>
        <w:tc>
          <w:tcPr>
            <w:tcW w:w="4247" w:type="dxa"/>
            <w:tcBorders>
              <w:top w:val="single" w:sz="4" w:space="0" w:color="BEBEBE"/>
              <w:left w:val="single" w:sz="4" w:space="0" w:color="BEBEBE"/>
              <w:bottom w:val="single" w:sz="4" w:space="0" w:color="BEBEBE"/>
              <w:right w:val="single" w:sz="4" w:space="0" w:color="BEBEBE"/>
            </w:tcBorders>
          </w:tcPr>
          <w:p>
            <w:pPr>
              <w:pStyle w:val="TableParagraph"/>
              <w:spacing w:before="1"/>
              <w:rPr>
                <w:sz w:val="24"/>
              </w:rPr>
            </w:pPr>
            <w:r>
              <w:rPr>
                <w:sz w:val="24"/>
              </w:rPr>
              <w:t>Mesaj kalıcıdır.</w:t>
            </w:r>
          </w:p>
        </w:tc>
      </w:tr>
      <w:tr>
        <w:trPr>
          <w:trHeight w:val="671" w:hRule="atLeast"/>
        </w:trPr>
        <w:tc>
          <w:tcPr>
            <w:tcW w:w="4249"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rPr>
                <w:sz w:val="24"/>
              </w:rPr>
            </w:pPr>
            <w:r>
              <w:rPr>
                <w:sz w:val="24"/>
              </w:rPr>
              <w:t>Şirketlerce gözlemlenemez, ölçülemez ve kontrol edilemez.</w:t>
            </w:r>
          </w:p>
        </w:tc>
        <w:tc>
          <w:tcPr>
            <w:tcW w:w="4247" w:type="dxa"/>
            <w:tcBorders>
              <w:top w:val="single" w:sz="4" w:space="0" w:color="BEBEBE"/>
              <w:left w:val="single" w:sz="4" w:space="0" w:color="BEBEBE"/>
              <w:bottom w:val="single" w:sz="4" w:space="0" w:color="BEBEBE"/>
              <w:right w:val="single" w:sz="4" w:space="0" w:color="BEBEBE"/>
            </w:tcBorders>
            <w:shd w:val="clear" w:color="auto" w:fill="F1F1F1"/>
          </w:tcPr>
          <w:p>
            <w:pPr>
              <w:pStyle w:val="TableParagraph"/>
              <w:rPr>
                <w:sz w:val="24"/>
              </w:rPr>
            </w:pPr>
            <w:r>
              <w:rPr>
                <w:sz w:val="24"/>
              </w:rPr>
              <w:t>Gözlemlenebilir, ölçülebilir ve kontrol edilebilir.</w:t>
            </w:r>
          </w:p>
        </w:tc>
      </w:tr>
      <w:tr>
        <w:trPr>
          <w:trHeight w:val="672" w:hRule="atLeast"/>
        </w:trPr>
        <w:tc>
          <w:tcPr>
            <w:tcW w:w="4249" w:type="dxa"/>
            <w:tcBorders>
              <w:top w:val="single" w:sz="4" w:space="0" w:color="BEBEBE"/>
              <w:left w:val="single" w:sz="4" w:space="0" w:color="BEBEBE"/>
              <w:bottom w:val="single" w:sz="4" w:space="0" w:color="BEBEBE"/>
              <w:right w:val="single" w:sz="4" w:space="0" w:color="BEBEBE"/>
            </w:tcBorders>
          </w:tcPr>
          <w:p>
            <w:pPr>
              <w:pStyle w:val="TableParagraph"/>
              <w:spacing w:line="276" w:lineRule="exact"/>
              <w:rPr>
                <w:sz w:val="24"/>
              </w:rPr>
            </w:pPr>
            <w:r>
              <w:rPr>
                <w:sz w:val="24"/>
              </w:rPr>
              <w:t>Mesaj kaynağı güvenilirliği yüksektir.</w:t>
            </w:r>
          </w:p>
        </w:tc>
        <w:tc>
          <w:tcPr>
            <w:tcW w:w="4247" w:type="dxa"/>
            <w:tcBorders>
              <w:top w:val="single" w:sz="4" w:space="0" w:color="BEBEBE"/>
              <w:left w:val="single" w:sz="4" w:space="0" w:color="BEBEBE"/>
              <w:bottom w:val="single" w:sz="4" w:space="0" w:color="BEBEBE"/>
              <w:right w:val="single" w:sz="4" w:space="0" w:color="BEBEBE"/>
            </w:tcBorders>
          </w:tcPr>
          <w:p>
            <w:pPr>
              <w:pStyle w:val="TableParagraph"/>
              <w:tabs>
                <w:tab w:pos="925" w:val="left" w:leader="none"/>
                <w:tab w:pos="1916" w:val="left" w:leader="none"/>
                <w:tab w:pos="3341" w:val="left" w:leader="none"/>
              </w:tabs>
              <w:ind w:right="94"/>
              <w:rPr>
                <w:sz w:val="24"/>
              </w:rPr>
            </w:pPr>
            <w:r>
              <w:rPr>
                <w:sz w:val="24"/>
              </w:rPr>
              <w:t>Mesaj</w:t>
              <w:tab/>
              <w:t>kaynağı</w:t>
              <w:tab/>
              <w:t>güvenilirliği</w:t>
              <w:tab/>
            </w:r>
            <w:r>
              <w:rPr>
                <w:spacing w:val="-4"/>
                <w:sz w:val="24"/>
              </w:rPr>
              <w:t>nispeten </w:t>
            </w:r>
            <w:r>
              <w:rPr>
                <w:sz w:val="24"/>
              </w:rPr>
              <w:t>düşük</w:t>
            </w:r>
            <w:r>
              <w:rPr>
                <w:spacing w:val="-1"/>
                <w:sz w:val="24"/>
              </w:rPr>
              <w:t> </w:t>
            </w:r>
            <w:r>
              <w:rPr>
                <w:sz w:val="24"/>
              </w:rPr>
              <w:t>olabilir.</w:t>
            </w:r>
          </w:p>
        </w:tc>
      </w:tr>
    </w:tbl>
    <w:p>
      <w:pPr>
        <w:pStyle w:val="Heading1"/>
        <w:numPr>
          <w:ilvl w:val="2"/>
          <w:numId w:val="1"/>
        </w:numPr>
        <w:tabs>
          <w:tab w:pos="1857" w:val="left" w:leader="none"/>
        </w:tabs>
        <w:spacing w:line="240" w:lineRule="auto" w:before="119" w:after="0"/>
        <w:ind w:left="1856" w:right="0" w:hanging="601"/>
        <w:jc w:val="both"/>
      </w:pPr>
      <w:r>
        <w:rPr/>
        <w:t>Elektronik Ağızdan Ağıza İletişim</w:t>
      </w:r>
      <w:r>
        <w:rPr>
          <w:spacing w:val="1"/>
        </w:rPr>
        <w:t> </w:t>
      </w:r>
      <w:r>
        <w:rPr/>
        <w:t>Mecraları</w:t>
      </w:r>
    </w:p>
    <w:p>
      <w:pPr>
        <w:pStyle w:val="BodyText"/>
        <w:spacing w:line="360" w:lineRule="auto" w:before="139"/>
        <w:ind w:right="315" w:firstLine="708"/>
      </w:pPr>
      <w:r>
        <w:rPr/>
        <w:t>Tüketiciler internetteki pek çok farklı mecrada elektronik ağızdan ağıza iletişim mesajlarına ulaşma ve mesaj yazma imkanına sahiptir. Bu mecralardan en yoğun kullanılanları şunlardır:</w:t>
      </w:r>
    </w:p>
    <w:p>
      <w:pPr>
        <w:pStyle w:val="Heading1"/>
        <w:numPr>
          <w:ilvl w:val="3"/>
          <w:numId w:val="1"/>
        </w:numPr>
        <w:tabs>
          <w:tab w:pos="2037" w:val="left" w:leader="none"/>
        </w:tabs>
        <w:spacing w:line="240" w:lineRule="auto" w:before="160" w:after="0"/>
        <w:ind w:left="2036" w:right="0" w:hanging="781"/>
        <w:jc w:val="both"/>
      </w:pPr>
      <w:r>
        <w:rPr/>
        <w:t>Online</w:t>
      </w:r>
      <w:r>
        <w:rPr>
          <w:spacing w:val="-8"/>
        </w:rPr>
        <w:t> </w:t>
      </w:r>
      <w:r>
        <w:rPr/>
        <w:t>Perakendeciler</w:t>
      </w:r>
    </w:p>
    <w:p>
      <w:pPr>
        <w:pStyle w:val="BodyText"/>
        <w:spacing w:line="360" w:lineRule="auto" w:before="137"/>
        <w:ind w:right="311" w:firstLine="708"/>
      </w:pPr>
      <w:r>
        <w:rPr/>
        <w:t>Elektronik ticaretin hızla geliştiği günümüzde, online perakendecilik parlak bir yatırım alanı olarak görünmektedir. Sadece internette perakendecilik hayatını sürdürenlerin yanı sıra farklı sektörlerden birçok perakendeci firma da sanal mağazalar açmıştır. Örneğin, ülkemizde Koton ve Mudo gibi mağazaların yanı sıra Migros ve Carrefoursa gibi zincir marketler de internet üzerinden perakende satış</w:t>
      </w:r>
      <w:r>
        <w:rPr>
          <w:spacing w:val="-4"/>
        </w:rPr>
        <w:t> </w:t>
      </w:r>
      <w:r>
        <w:rPr/>
        <w:t>yapmaktadır.</w:t>
      </w:r>
    </w:p>
    <w:p>
      <w:pPr>
        <w:pStyle w:val="BodyText"/>
        <w:spacing w:line="360" w:lineRule="auto" w:before="1"/>
        <w:ind w:right="310" w:firstLine="708"/>
      </w:pPr>
      <w:r>
        <w:rPr/>
        <w:t>Online perakendeci kümesi içerisinde Amazon ve Hepsiburada gibi ürün gamı çok geniş olanların yanında, sadece belirli kategorilerde (elektronik, süpermarket, giyim, kozmetik, anne-bebek ürünleri vb.) faaliyet gösterenler de (e-bebek.com, teknosa.com, koton.com gibi) bulunmaktadır. Ayrıca, mobil uygulama, oyun ve e-kitap gibi dijital ürünlerin satışının gerçekleştiği Apple Store ve Google Play Store da birer online perakendeci olarak sınıflandırılabilir.</w:t>
      </w:r>
    </w:p>
    <w:p>
      <w:pPr>
        <w:pStyle w:val="BodyText"/>
        <w:spacing w:line="360" w:lineRule="auto"/>
        <w:ind w:right="309" w:firstLine="708"/>
      </w:pPr>
      <w:r>
        <w:rPr/>
        <w:t>Online perakendecilerin pek çoğu ürün sayfalarında ürünle ilgili tüketici yorumları için özel alanlar bulundurmaktadır. Amazon gibi büyük perakendeciler ürünlerle ilgili yüzlerce hatta binlerce yorum içerebilmesi nedeniyle önemli bilgi kaynaklarıdır. ABD'de tüketicilerin yarıdan fazlası satın alma öncesi araştırmalarına Amazon.com’dan</w:t>
      </w:r>
      <w:r>
        <w:rPr>
          <w:spacing w:val="58"/>
        </w:rPr>
        <w:t> </w:t>
      </w:r>
      <w:r>
        <w:rPr/>
        <w:t>başlamakta</w:t>
      </w:r>
    </w:p>
    <w:p>
      <w:pPr>
        <w:spacing w:after="0" w:line="360" w:lineRule="auto"/>
        <w:sectPr>
          <w:pgSz w:w="12240" w:h="15840"/>
          <w:pgMar w:header="718" w:footer="0" w:top="1300" w:bottom="280" w:left="1720" w:right="820"/>
        </w:sectPr>
      </w:pPr>
    </w:p>
    <w:p>
      <w:pPr>
        <w:pStyle w:val="BodyText"/>
        <w:spacing w:line="360" w:lineRule="auto" w:before="100"/>
        <w:ind w:right="308"/>
      </w:pPr>
      <w:r>
        <w:rPr/>
        <w:t>ve yaklaşık %25’i geleneksel bir perakende mağazası içerisinde bulunduklarında dahi, bilgi almak için ilk olarak Amazon.com'daki yorumlara başvurmaktadırlar (Weise, 2017). Online perakendeciler, araştırmacılara da talep, satış ve ağızdan ağıza iletişim bağlamında önemli ve</w:t>
      </w:r>
      <w:r>
        <w:rPr>
          <w:spacing w:val="-13"/>
        </w:rPr>
        <w:t> </w:t>
      </w:r>
      <w:r>
        <w:rPr/>
        <w:t>çok</w:t>
      </w:r>
      <w:r>
        <w:rPr>
          <w:spacing w:val="-12"/>
        </w:rPr>
        <w:t> </w:t>
      </w:r>
      <w:r>
        <w:rPr/>
        <w:t>geniş</w:t>
      </w:r>
      <w:r>
        <w:rPr>
          <w:spacing w:val="-10"/>
        </w:rPr>
        <w:t> </w:t>
      </w:r>
      <w:r>
        <w:rPr/>
        <w:t>bilgiler</w:t>
      </w:r>
      <w:r>
        <w:rPr>
          <w:spacing w:val="-13"/>
        </w:rPr>
        <w:t> </w:t>
      </w:r>
      <w:r>
        <w:rPr/>
        <w:t>sunmaktadır.</w:t>
      </w:r>
      <w:r>
        <w:rPr>
          <w:spacing w:val="-11"/>
        </w:rPr>
        <w:t> </w:t>
      </w:r>
      <w:r>
        <w:rPr/>
        <w:t>Literatürde,</w:t>
      </w:r>
      <w:r>
        <w:rPr>
          <w:spacing w:val="-12"/>
        </w:rPr>
        <w:t> </w:t>
      </w:r>
      <w:r>
        <w:rPr/>
        <w:t>online</w:t>
      </w:r>
      <w:r>
        <w:rPr>
          <w:spacing w:val="-10"/>
        </w:rPr>
        <w:t> </w:t>
      </w:r>
      <w:r>
        <w:rPr/>
        <w:t>perakendeci</w:t>
      </w:r>
      <w:r>
        <w:rPr>
          <w:spacing w:val="-11"/>
        </w:rPr>
        <w:t> </w:t>
      </w:r>
      <w:r>
        <w:rPr/>
        <w:t>verileriyle</w:t>
      </w:r>
      <w:r>
        <w:rPr>
          <w:spacing w:val="-13"/>
        </w:rPr>
        <w:t> </w:t>
      </w:r>
      <w:r>
        <w:rPr/>
        <w:t>yapılan</w:t>
      </w:r>
      <w:r>
        <w:rPr>
          <w:spacing w:val="-11"/>
        </w:rPr>
        <w:t> </w:t>
      </w:r>
      <w:r>
        <w:rPr/>
        <w:t>pek</w:t>
      </w:r>
      <w:r>
        <w:rPr>
          <w:spacing w:val="-12"/>
        </w:rPr>
        <w:t> </w:t>
      </w:r>
      <w:r>
        <w:rPr/>
        <w:t>çok elektronik</w:t>
      </w:r>
      <w:r>
        <w:rPr>
          <w:spacing w:val="-5"/>
        </w:rPr>
        <w:t> </w:t>
      </w:r>
      <w:r>
        <w:rPr/>
        <w:t>ağızdan</w:t>
      </w:r>
      <w:r>
        <w:rPr>
          <w:spacing w:val="-2"/>
        </w:rPr>
        <w:t> </w:t>
      </w:r>
      <w:r>
        <w:rPr/>
        <w:t>ağıza</w:t>
      </w:r>
      <w:r>
        <w:rPr>
          <w:spacing w:val="-4"/>
        </w:rPr>
        <w:t> </w:t>
      </w:r>
      <w:r>
        <w:rPr/>
        <w:t>iletişim</w:t>
      </w:r>
      <w:r>
        <w:rPr>
          <w:spacing w:val="-5"/>
        </w:rPr>
        <w:t> </w:t>
      </w:r>
      <w:r>
        <w:rPr/>
        <w:t>çalışması</w:t>
      </w:r>
      <w:r>
        <w:rPr>
          <w:spacing w:val="-4"/>
        </w:rPr>
        <w:t> </w:t>
      </w:r>
      <w:r>
        <w:rPr/>
        <w:t>bulunmaktadır</w:t>
      </w:r>
      <w:r>
        <w:rPr>
          <w:spacing w:val="-5"/>
        </w:rPr>
        <w:t> </w:t>
      </w:r>
      <w:r>
        <w:rPr/>
        <w:t>(örn.</w:t>
      </w:r>
      <w:r>
        <w:rPr>
          <w:spacing w:val="-6"/>
        </w:rPr>
        <w:t> </w:t>
      </w:r>
      <w:r>
        <w:rPr/>
        <w:t>Chevalier</w:t>
      </w:r>
      <w:r>
        <w:rPr>
          <w:spacing w:val="-2"/>
        </w:rPr>
        <w:t> </w:t>
      </w:r>
      <w:r>
        <w:rPr/>
        <w:t>ve</w:t>
      </w:r>
      <w:r>
        <w:rPr>
          <w:spacing w:val="-7"/>
        </w:rPr>
        <w:t> </w:t>
      </w:r>
      <w:r>
        <w:rPr/>
        <w:t>Mayzlin,</w:t>
      </w:r>
      <w:r>
        <w:rPr>
          <w:spacing w:val="-5"/>
        </w:rPr>
        <w:t> </w:t>
      </w:r>
      <w:r>
        <w:rPr/>
        <w:t>2006; Mudambi ve Schuff, 2010; Cui vd., 2012; Gu vd., 2013; Chong vd.,</w:t>
      </w:r>
      <w:r>
        <w:rPr>
          <w:spacing w:val="-4"/>
        </w:rPr>
        <w:t> </w:t>
      </w:r>
      <w:r>
        <w:rPr/>
        <w:t>2017).</w:t>
      </w:r>
    </w:p>
    <w:p>
      <w:pPr>
        <w:pStyle w:val="Heading1"/>
        <w:numPr>
          <w:ilvl w:val="3"/>
          <w:numId w:val="1"/>
        </w:numPr>
        <w:tabs>
          <w:tab w:pos="2037" w:val="left" w:leader="none"/>
        </w:tabs>
        <w:spacing w:line="240" w:lineRule="auto" w:before="159" w:after="0"/>
        <w:ind w:left="2036" w:right="0" w:hanging="781"/>
        <w:jc w:val="both"/>
      </w:pPr>
      <w:r>
        <w:rPr/>
        <w:t>Online Pazar</w:t>
      </w:r>
      <w:r>
        <w:rPr>
          <w:spacing w:val="-3"/>
        </w:rPr>
        <w:t> </w:t>
      </w:r>
      <w:r>
        <w:rPr/>
        <w:t>Yerleri</w:t>
      </w:r>
    </w:p>
    <w:p>
      <w:pPr>
        <w:pStyle w:val="BodyText"/>
        <w:spacing w:line="360" w:lineRule="auto" w:before="139"/>
        <w:ind w:right="310" w:firstLine="708"/>
      </w:pPr>
      <w:r>
        <w:rPr/>
        <w:t>Online pazar yerleri, B2B, B2C ve C2C e-iş modellerinin yer alabildiği, alıcı ve satıcıyı bir araya getiren internet siteleridir (Chang ve Wong, 2010). Aliexpress, Ebay,</w:t>
      </w:r>
      <w:r>
        <w:rPr>
          <w:spacing w:val="-31"/>
        </w:rPr>
        <w:t> </w:t>
      </w:r>
      <w:r>
        <w:rPr/>
        <w:t>Etsy, Gittigidiyor, Sahibinden, N11 online pazar yerlerine örnek internet siteleridir. Amazon ve Hepsiburada online perakendeci olarak ticari hayatlarına başlamalarına karşın, bugün binlerce satıcıyı alıcılarla buluşturan online pazar yeri fonksiyonları da bulunmaktadır. Amazon’un online pazar yeri bölümü “zShops” (şu an “Marketplace”) 1999’da (DePillis ve Sherman,</w:t>
      </w:r>
      <w:r>
        <w:rPr>
          <w:spacing w:val="-11"/>
        </w:rPr>
        <w:t> </w:t>
      </w:r>
      <w:r>
        <w:rPr/>
        <w:t>2018),</w:t>
      </w:r>
      <w:r>
        <w:rPr>
          <w:spacing w:val="-9"/>
        </w:rPr>
        <w:t> </w:t>
      </w:r>
      <w:r>
        <w:rPr/>
        <w:t>Hepsiburada’nın</w:t>
      </w:r>
      <w:r>
        <w:rPr>
          <w:spacing w:val="-11"/>
        </w:rPr>
        <w:t> </w:t>
      </w:r>
      <w:r>
        <w:rPr/>
        <w:t>online</w:t>
      </w:r>
      <w:r>
        <w:rPr>
          <w:spacing w:val="-10"/>
        </w:rPr>
        <w:t> </w:t>
      </w:r>
      <w:r>
        <w:rPr/>
        <w:t>pazar</w:t>
      </w:r>
      <w:r>
        <w:rPr>
          <w:spacing w:val="-12"/>
        </w:rPr>
        <w:t> </w:t>
      </w:r>
      <w:r>
        <w:rPr/>
        <w:t>yeri</w:t>
      </w:r>
      <w:r>
        <w:rPr>
          <w:spacing w:val="-9"/>
        </w:rPr>
        <w:t> </w:t>
      </w:r>
      <w:r>
        <w:rPr/>
        <w:t>bölümü</w:t>
      </w:r>
      <w:r>
        <w:rPr>
          <w:spacing w:val="-11"/>
        </w:rPr>
        <w:t> </w:t>
      </w:r>
      <w:r>
        <w:rPr/>
        <w:t>“Pazaryeri”</w:t>
      </w:r>
      <w:r>
        <w:rPr>
          <w:spacing w:val="-10"/>
        </w:rPr>
        <w:t> </w:t>
      </w:r>
      <w:r>
        <w:rPr/>
        <w:t>de</w:t>
      </w:r>
      <w:r>
        <w:rPr>
          <w:spacing w:val="-6"/>
        </w:rPr>
        <w:t> </w:t>
      </w:r>
      <w:r>
        <w:rPr/>
        <w:t>2015’te</w:t>
      </w:r>
      <w:r>
        <w:rPr>
          <w:spacing w:val="-12"/>
        </w:rPr>
        <w:t> </w:t>
      </w:r>
      <w:r>
        <w:rPr/>
        <w:t>aktif</w:t>
      </w:r>
      <w:r>
        <w:rPr>
          <w:spacing w:val="-11"/>
        </w:rPr>
        <w:t> </w:t>
      </w:r>
      <w:r>
        <w:rPr/>
        <w:t>hale gelmiştir (Levent,</w:t>
      </w:r>
      <w:r>
        <w:rPr>
          <w:spacing w:val="-1"/>
        </w:rPr>
        <w:t> </w:t>
      </w:r>
      <w:r>
        <w:rPr/>
        <w:t>2016).</w:t>
      </w:r>
    </w:p>
    <w:p>
      <w:pPr>
        <w:pStyle w:val="BodyText"/>
        <w:spacing w:line="360" w:lineRule="auto" w:before="1"/>
        <w:ind w:right="309" w:firstLine="708"/>
      </w:pPr>
      <w:r>
        <w:rPr/>
        <w:t>Online pazar yerlerinde tüketici aynı ürünü satın alabileceği birden fazla alternatif satıcı ile karşılaşmakta ve hangi ürünü alacağının yanı sıra hangi satıcıdan alacağı kararını da vermesi gerekmektedir. Bu noktada, online perakendecilerden farklı olarak, tüketicinin güven inşasında satıcıya duyacağı güven de önemli hale gelmektedir (Chang vd., 2020). Tüketicinin</w:t>
      </w:r>
      <w:r>
        <w:rPr>
          <w:spacing w:val="-14"/>
        </w:rPr>
        <w:t> </w:t>
      </w:r>
      <w:r>
        <w:rPr/>
        <w:t>satıcıya</w:t>
      </w:r>
      <w:r>
        <w:rPr>
          <w:spacing w:val="-15"/>
        </w:rPr>
        <w:t> </w:t>
      </w:r>
      <w:r>
        <w:rPr/>
        <w:t>güven</w:t>
      </w:r>
      <w:r>
        <w:rPr>
          <w:spacing w:val="-14"/>
        </w:rPr>
        <w:t> </w:t>
      </w:r>
      <w:r>
        <w:rPr/>
        <w:t>duymasına</w:t>
      </w:r>
      <w:r>
        <w:rPr>
          <w:spacing w:val="-15"/>
        </w:rPr>
        <w:t> </w:t>
      </w:r>
      <w:r>
        <w:rPr/>
        <w:t>yardımcı</w:t>
      </w:r>
      <w:r>
        <w:rPr>
          <w:spacing w:val="-14"/>
        </w:rPr>
        <w:t> </w:t>
      </w:r>
      <w:r>
        <w:rPr/>
        <w:t>olabilmek</w:t>
      </w:r>
      <w:r>
        <w:rPr>
          <w:spacing w:val="-13"/>
        </w:rPr>
        <w:t> </w:t>
      </w:r>
      <w:r>
        <w:rPr/>
        <w:t>adına,</w:t>
      </w:r>
      <w:r>
        <w:rPr>
          <w:spacing w:val="-15"/>
        </w:rPr>
        <w:t> </w:t>
      </w:r>
      <w:r>
        <w:rPr/>
        <w:t>online</w:t>
      </w:r>
      <w:r>
        <w:rPr>
          <w:spacing w:val="-15"/>
        </w:rPr>
        <w:t> </w:t>
      </w:r>
      <w:r>
        <w:rPr/>
        <w:t>pazar</w:t>
      </w:r>
      <w:r>
        <w:rPr>
          <w:spacing w:val="-15"/>
        </w:rPr>
        <w:t> </w:t>
      </w:r>
      <w:r>
        <w:rPr/>
        <w:t>yerleri</w:t>
      </w:r>
      <w:r>
        <w:rPr>
          <w:spacing w:val="-15"/>
        </w:rPr>
        <w:t> </w:t>
      </w:r>
      <w:r>
        <w:rPr/>
        <w:t>satıcılar için yorum ve puanlama yapılabilmesine imkan sağlamaktadır. Bu yorumlar sayesinde tüketici, satıcının doğru ürünü kargolayıp kargolamadığı, kargolamaya gösterdiği özen ve müşteri</w:t>
      </w:r>
      <w:r>
        <w:rPr>
          <w:spacing w:val="-7"/>
        </w:rPr>
        <w:t> </w:t>
      </w:r>
      <w:r>
        <w:rPr/>
        <w:t>ilişkileri</w:t>
      </w:r>
      <w:r>
        <w:rPr>
          <w:spacing w:val="-6"/>
        </w:rPr>
        <w:t> </w:t>
      </w:r>
      <w:r>
        <w:rPr/>
        <w:t>gibi</w:t>
      </w:r>
      <w:r>
        <w:rPr>
          <w:spacing w:val="-6"/>
        </w:rPr>
        <w:t> </w:t>
      </w:r>
      <w:r>
        <w:rPr/>
        <w:t>nitelikleri</w:t>
      </w:r>
      <w:r>
        <w:rPr>
          <w:spacing w:val="-6"/>
        </w:rPr>
        <w:t> </w:t>
      </w:r>
      <w:r>
        <w:rPr/>
        <w:t>konusunda</w:t>
      </w:r>
      <w:r>
        <w:rPr>
          <w:spacing w:val="-7"/>
        </w:rPr>
        <w:t> </w:t>
      </w:r>
      <w:r>
        <w:rPr/>
        <w:t>fikir</w:t>
      </w:r>
      <w:r>
        <w:rPr>
          <w:spacing w:val="-7"/>
        </w:rPr>
        <w:t> </w:t>
      </w:r>
      <w:r>
        <w:rPr/>
        <w:t>sahibi</w:t>
      </w:r>
      <w:r>
        <w:rPr>
          <w:spacing w:val="-6"/>
        </w:rPr>
        <w:t> </w:t>
      </w:r>
      <w:r>
        <w:rPr/>
        <w:t>olabilmektedir</w:t>
      </w:r>
      <w:r>
        <w:rPr>
          <w:spacing w:val="-6"/>
        </w:rPr>
        <w:t> </w:t>
      </w:r>
      <w:r>
        <w:rPr/>
        <w:t>(Utz</w:t>
      </w:r>
      <w:r>
        <w:rPr>
          <w:spacing w:val="-4"/>
        </w:rPr>
        <w:t> </w:t>
      </w:r>
      <w:r>
        <w:rPr/>
        <w:t>vd.,</w:t>
      </w:r>
      <w:r>
        <w:rPr>
          <w:spacing w:val="-6"/>
        </w:rPr>
        <w:t> </w:t>
      </w:r>
      <w:r>
        <w:rPr/>
        <w:t>2012;</w:t>
      </w:r>
      <w:r>
        <w:rPr>
          <w:spacing w:val="-6"/>
        </w:rPr>
        <w:t> </w:t>
      </w:r>
      <w:r>
        <w:rPr/>
        <w:t>Chong vd., 2018).</w:t>
      </w:r>
    </w:p>
    <w:p>
      <w:pPr>
        <w:pStyle w:val="Heading1"/>
        <w:numPr>
          <w:ilvl w:val="3"/>
          <w:numId w:val="1"/>
        </w:numPr>
        <w:tabs>
          <w:tab w:pos="2037" w:val="left" w:leader="none"/>
        </w:tabs>
        <w:spacing w:line="240" w:lineRule="auto" w:before="161" w:after="0"/>
        <w:ind w:left="2036" w:right="0" w:hanging="781"/>
        <w:jc w:val="both"/>
      </w:pPr>
      <w:r>
        <w:rPr/>
        <w:t>Online Hizmet</w:t>
      </w:r>
      <w:r>
        <w:rPr>
          <w:spacing w:val="-2"/>
        </w:rPr>
        <w:t> </w:t>
      </w:r>
      <w:r>
        <w:rPr/>
        <w:t>Aracıları</w:t>
      </w:r>
    </w:p>
    <w:p>
      <w:pPr>
        <w:pStyle w:val="BodyText"/>
        <w:spacing w:line="360" w:lineRule="auto" w:before="137"/>
        <w:ind w:right="309" w:firstLine="708"/>
      </w:pPr>
      <w:r>
        <w:rPr/>
        <w:t>Online hizmet aracıları, kısaca, tüketicinin internet aracılığı ile hizmet sağlayıcılara ve hizmete ulaşmasına aracılık eden platformlardır. Booking.com ve Yemeksepeti.com popüler örnekleridir. Online hizmet aracıları, tüketicilerin hizmet sağlayıcıların (otel, restoran vb.) hizmet kaliteleri hakkında fikir sahibi olabilmeleri için daha önce hizmet</w:t>
      </w:r>
      <w:r>
        <w:rPr>
          <w:spacing w:val="-16"/>
        </w:rPr>
        <w:t> </w:t>
      </w:r>
      <w:r>
        <w:rPr/>
        <w:t>almış</w:t>
      </w:r>
    </w:p>
    <w:p>
      <w:pPr>
        <w:spacing w:after="0" w:line="360" w:lineRule="auto"/>
        <w:sectPr>
          <w:pgSz w:w="12240" w:h="15840"/>
          <w:pgMar w:header="718" w:footer="0" w:top="1300" w:bottom="280" w:left="1720" w:right="820"/>
        </w:sectPr>
      </w:pPr>
    </w:p>
    <w:p>
      <w:pPr>
        <w:pStyle w:val="BodyText"/>
        <w:spacing w:line="360" w:lineRule="auto" w:before="100"/>
        <w:ind w:right="314"/>
      </w:pPr>
      <w:r>
        <w:rPr/>
        <w:t>tüketicilerin yorumlarına ve puanlamalarına yer vermektedirler. Bu sayede tüketici, diğer tüketicilerin geçmiş deneyimlerine dayanarak tercihlerini şekillendirmeye çalışmaktadır.</w:t>
      </w:r>
    </w:p>
    <w:p>
      <w:pPr>
        <w:spacing w:line="360" w:lineRule="auto" w:before="1"/>
        <w:ind w:left="548" w:right="309" w:firstLine="708"/>
        <w:jc w:val="both"/>
        <w:rPr>
          <w:sz w:val="24"/>
        </w:rPr>
      </w:pPr>
      <w:r>
        <w:rPr>
          <w:sz w:val="24"/>
        </w:rPr>
        <w:t>Kadak (2018) online hizmet aracı platformu olan Armut</w:t>
      </w:r>
      <w:r>
        <w:rPr>
          <w:sz w:val="24"/>
          <w:vertAlign w:val="superscript"/>
        </w:rPr>
        <w:t>1</w:t>
      </w:r>
      <w:r>
        <w:rPr>
          <w:sz w:val="24"/>
          <w:vertAlign w:val="baseline"/>
        </w:rPr>
        <w:t>.com ile ilgili yaptığı haberde,</w:t>
      </w:r>
      <w:r>
        <w:rPr>
          <w:spacing w:val="-11"/>
          <w:sz w:val="24"/>
          <w:vertAlign w:val="baseline"/>
        </w:rPr>
        <w:t> </w:t>
      </w:r>
      <w:r>
        <w:rPr>
          <w:sz w:val="24"/>
          <w:vertAlign w:val="baseline"/>
        </w:rPr>
        <w:t>Armut.com'un</w:t>
      </w:r>
      <w:r>
        <w:rPr>
          <w:spacing w:val="-11"/>
          <w:sz w:val="24"/>
          <w:vertAlign w:val="baseline"/>
        </w:rPr>
        <w:t> </w:t>
      </w:r>
      <w:r>
        <w:rPr>
          <w:sz w:val="24"/>
          <w:vertAlign w:val="baseline"/>
        </w:rPr>
        <w:t>başarısının</w:t>
      </w:r>
      <w:r>
        <w:rPr>
          <w:spacing w:val="-10"/>
          <w:sz w:val="24"/>
          <w:vertAlign w:val="baseline"/>
        </w:rPr>
        <w:t> </w:t>
      </w:r>
      <w:r>
        <w:rPr>
          <w:sz w:val="24"/>
          <w:vertAlign w:val="baseline"/>
        </w:rPr>
        <w:t>arkasındaki</w:t>
      </w:r>
      <w:r>
        <w:rPr>
          <w:spacing w:val="-11"/>
          <w:sz w:val="24"/>
          <w:vertAlign w:val="baseline"/>
        </w:rPr>
        <w:t> </w:t>
      </w:r>
      <w:r>
        <w:rPr>
          <w:sz w:val="24"/>
          <w:vertAlign w:val="baseline"/>
        </w:rPr>
        <w:t>en</w:t>
      </w:r>
      <w:r>
        <w:rPr>
          <w:spacing w:val="-11"/>
          <w:sz w:val="24"/>
          <w:vertAlign w:val="baseline"/>
        </w:rPr>
        <w:t> </w:t>
      </w:r>
      <w:r>
        <w:rPr>
          <w:sz w:val="24"/>
          <w:vertAlign w:val="baseline"/>
        </w:rPr>
        <w:t>önemli</w:t>
      </w:r>
      <w:r>
        <w:rPr>
          <w:spacing w:val="-9"/>
          <w:sz w:val="24"/>
          <w:vertAlign w:val="baseline"/>
        </w:rPr>
        <w:t> </w:t>
      </w:r>
      <w:r>
        <w:rPr>
          <w:sz w:val="24"/>
          <w:vertAlign w:val="baseline"/>
        </w:rPr>
        <w:t>etkenin</w:t>
      </w:r>
      <w:r>
        <w:rPr>
          <w:spacing w:val="-11"/>
          <w:sz w:val="24"/>
          <w:vertAlign w:val="baseline"/>
        </w:rPr>
        <w:t> </w:t>
      </w:r>
      <w:r>
        <w:rPr>
          <w:sz w:val="24"/>
          <w:vertAlign w:val="baseline"/>
        </w:rPr>
        <w:t>hizmet</w:t>
      </w:r>
      <w:r>
        <w:rPr>
          <w:spacing w:val="-10"/>
          <w:sz w:val="24"/>
          <w:vertAlign w:val="baseline"/>
        </w:rPr>
        <w:t> </w:t>
      </w:r>
      <w:r>
        <w:rPr>
          <w:sz w:val="24"/>
          <w:vertAlign w:val="baseline"/>
        </w:rPr>
        <w:t>alanların</w:t>
      </w:r>
      <w:r>
        <w:rPr>
          <w:spacing w:val="-9"/>
          <w:sz w:val="24"/>
          <w:vertAlign w:val="baseline"/>
        </w:rPr>
        <w:t> </w:t>
      </w:r>
      <w:r>
        <w:rPr>
          <w:sz w:val="24"/>
          <w:vertAlign w:val="baseline"/>
        </w:rPr>
        <w:t>ve</w:t>
      </w:r>
      <w:r>
        <w:rPr>
          <w:spacing w:val="-12"/>
          <w:sz w:val="24"/>
          <w:vertAlign w:val="baseline"/>
        </w:rPr>
        <w:t> </w:t>
      </w:r>
      <w:r>
        <w:rPr>
          <w:sz w:val="24"/>
          <w:vertAlign w:val="baseline"/>
        </w:rPr>
        <w:t>hizmet verenlerin platforma duydukları güven olduğunu ve bu güvenin de temel sebebinin hizmet alanların platformda yaptıkları yorumlar olduğunu belirtmiştir. Armut.com kurucusu Başak Taşpınar Değim, haberde </w:t>
      </w:r>
      <w:r>
        <w:rPr>
          <w:i/>
          <w:sz w:val="24"/>
          <w:vertAlign w:val="baseline"/>
        </w:rPr>
        <w:t>“…herkes kayıt altına giriyor. Örneğin temizlik işi bittikten sonra </w:t>
      </w:r>
      <w:r>
        <w:rPr>
          <w:i/>
          <w:sz w:val="24"/>
          <w:vertAlign w:val="baseline"/>
        </w:rPr>
        <w:t>bu servisi kullananın platformda yaptığı yorumlar, temizliği aldığı kişinin bir başka işi alıp almamasında önemli rol oynuyor. Dolayısıyla hem servisi verenler hem de alanlar bu platforma güveniyor</w:t>
      </w:r>
      <w:r>
        <w:rPr>
          <w:sz w:val="24"/>
          <w:vertAlign w:val="baseline"/>
        </w:rPr>
        <w:t>" demiştir. Hizmet alanların yorumlarına dayanarak inşa edilen güven sayesinde Armut.com 2018 yılı sonu itibariyle, ayda 150 bin talebin açıldığı bir platform haline gelmiş ve yıllık büyümesi %85’e ulaşmıştır (Kadak,</w:t>
      </w:r>
      <w:r>
        <w:rPr>
          <w:spacing w:val="-3"/>
          <w:sz w:val="24"/>
          <w:vertAlign w:val="baseline"/>
        </w:rPr>
        <w:t> </w:t>
      </w:r>
      <w:r>
        <w:rPr>
          <w:sz w:val="24"/>
          <w:vertAlign w:val="baseline"/>
        </w:rPr>
        <w:t>2018).</w:t>
      </w:r>
    </w:p>
    <w:p>
      <w:pPr>
        <w:pStyle w:val="Heading1"/>
        <w:numPr>
          <w:ilvl w:val="3"/>
          <w:numId w:val="1"/>
        </w:numPr>
        <w:tabs>
          <w:tab w:pos="2037" w:val="left" w:leader="none"/>
        </w:tabs>
        <w:spacing w:line="240" w:lineRule="auto" w:before="159" w:after="0"/>
        <w:ind w:left="2036" w:right="0" w:hanging="781"/>
        <w:jc w:val="both"/>
      </w:pPr>
      <w:r>
        <w:rPr/>
        <w:t>İnceleme ve Değerlendirme</w:t>
      </w:r>
      <w:r>
        <w:rPr>
          <w:spacing w:val="-4"/>
        </w:rPr>
        <w:t> </w:t>
      </w:r>
      <w:r>
        <w:rPr/>
        <w:t>Siteleri</w:t>
      </w:r>
    </w:p>
    <w:p>
      <w:pPr>
        <w:pStyle w:val="BodyText"/>
        <w:spacing w:line="360" w:lineRule="auto" w:before="139"/>
        <w:ind w:right="310" w:firstLine="708"/>
      </w:pPr>
      <w:r>
        <w:rPr/>
        <w:t>İnceleme ve değerlendirme siteleri, belirli kategorilerdeki (örn. oyun, bilgisayar, turizm) ürün, hizmet veya yerlerin tüketicilerce ve/veya uzman kişilerce incelenip yorumların ve/veya değerlendirmelerin paylaşıldığı sitelerdir. En çok bilinenlerden olan TripAdvisor, seyahat planlaması yapan kişilerin daha önce seyahat etmiş kişilerin yorumlarını ve tavsiyelerini okuyarak gidecekleri yer, kalacakları otel, yemek yiyecekleri restoran ile ilgili karar vermelerine yardımcı olmaktadır. Letsgodigital ve Dpreview dijital fotoğraf makineleri, Merlininkazanı video oyunları alanında incelemelerin ve değerlendirmelerin yapıldığı örneklerdir.</w:t>
      </w:r>
    </w:p>
    <w:p>
      <w:pPr>
        <w:pStyle w:val="BodyText"/>
        <w:spacing w:line="360" w:lineRule="auto" w:before="1"/>
        <w:ind w:right="313" w:firstLine="708"/>
      </w:pPr>
      <w:r>
        <w:rPr/>
        <w:t>İnceleme ve değerlendirme siteleri tüketici satın alma kararlarında önemli bir etkiye sahiptir. Oxford Economics adlı danışmanlık şirketinin yaptığı araştırmaya göre, 2017 yılında dünya genelinde 433 milyondan fazla seyahat Tripadvisor’dan etkilenmiştir. Bu etki küresel</w:t>
      </w:r>
      <w:r>
        <w:rPr>
          <w:spacing w:val="-9"/>
        </w:rPr>
        <w:t> </w:t>
      </w:r>
      <w:r>
        <w:rPr/>
        <w:t>seyahat</w:t>
      </w:r>
      <w:r>
        <w:rPr>
          <w:spacing w:val="-9"/>
        </w:rPr>
        <w:t> </w:t>
      </w:r>
      <w:r>
        <w:rPr/>
        <w:t>ekonomisinin</w:t>
      </w:r>
      <w:r>
        <w:rPr>
          <w:spacing w:val="-9"/>
        </w:rPr>
        <w:t> </w:t>
      </w:r>
      <w:r>
        <w:rPr/>
        <w:t>%10.3’üne</w:t>
      </w:r>
      <w:r>
        <w:rPr>
          <w:spacing w:val="-11"/>
        </w:rPr>
        <w:t> </w:t>
      </w:r>
      <w:r>
        <w:rPr/>
        <w:t>(546</w:t>
      </w:r>
      <w:r>
        <w:rPr>
          <w:spacing w:val="-9"/>
        </w:rPr>
        <w:t> </w:t>
      </w:r>
      <w:r>
        <w:rPr/>
        <w:t>milyar</w:t>
      </w:r>
      <w:r>
        <w:rPr>
          <w:spacing w:val="-11"/>
        </w:rPr>
        <w:t> </w:t>
      </w:r>
      <w:r>
        <w:rPr/>
        <w:t>$)</w:t>
      </w:r>
      <w:r>
        <w:rPr>
          <w:spacing w:val="-9"/>
        </w:rPr>
        <w:t> </w:t>
      </w:r>
      <w:r>
        <w:rPr/>
        <w:t>karşılık</w:t>
      </w:r>
      <w:r>
        <w:rPr>
          <w:spacing w:val="-10"/>
        </w:rPr>
        <w:t> </w:t>
      </w:r>
      <w:r>
        <w:rPr/>
        <w:t>gelmektedir</w:t>
      </w:r>
      <w:r>
        <w:rPr>
          <w:spacing w:val="-9"/>
        </w:rPr>
        <w:t> </w:t>
      </w:r>
      <w:r>
        <w:rPr/>
        <w:t>(Menze,</w:t>
      </w:r>
      <w:r>
        <w:rPr>
          <w:spacing w:val="-10"/>
        </w:rPr>
        <w:t> </w:t>
      </w:r>
      <w:r>
        <w:rPr/>
        <w:t>2018). Literatürde özellikle Tripadvisor ve Yelp pek çok elektronik ağızdan ağıza iletişim çalışmasına konu olmuştur (örn. Lee ve Lee, 2012; Xie vd., 2014; Park ve Nicolau, 2015; Torres vd., 2015; Neirotti vd., 2016; Kim ve Park, 2017; Liu vd., 2018; Lui vd.,</w:t>
      </w:r>
      <w:r>
        <w:rPr>
          <w:spacing w:val="-5"/>
        </w:rPr>
        <w:t> </w:t>
      </w:r>
      <w:r>
        <w:rPr/>
        <w:t>2018).</w:t>
      </w:r>
    </w:p>
    <w:p>
      <w:pPr>
        <w:pStyle w:val="BodyText"/>
        <w:ind w:left="0"/>
        <w:jc w:val="left"/>
        <w:rPr>
          <w:sz w:val="20"/>
        </w:rPr>
      </w:pPr>
    </w:p>
    <w:p>
      <w:pPr>
        <w:pStyle w:val="BodyText"/>
        <w:spacing w:before="8"/>
        <w:ind w:left="0"/>
        <w:jc w:val="left"/>
        <w:rPr>
          <w:sz w:val="15"/>
        </w:rPr>
      </w:pPr>
      <w:r>
        <w:rPr/>
        <w:pict>
          <v:rect style="position:absolute;margin-left:113.419998pt;margin-top:10.97419pt;width:144.020pt;height:.71997pt;mso-position-horizontal-relative:page;mso-position-vertical-relative:paragraph;z-index:-15712256;mso-wrap-distance-left:0;mso-wrap-distance-right:0" filled="true" fillcolor="#000000" stroked="false">
            <v:fill type="solid"/>
            <w10:wrap type="topAndBottom"/>
          </v:rect>
        </w:pict>
      </w:r>
    </w:p>
    <w:p>
      <w:pPr>
        <w:spacing w:before="72"/>
        <w:ind w:left="548" w:right="317" w:firstLine="0"/>
        <w:jc w:val="both"/>
        <w:rPr>
          <w:sz w:val="20"/>
        </w:rPr>
      </w:pPr>
      <w:r>
        <w:rPr>
          <w:sz w:val="20"/>
          <w:vertAlign w:val="superscript"/>
        </w:rPr>
        <w:t>1</w:t>
      </w:r>
      <w:r>
        <w:rPr>
          <w:sz w:val="20"/>
          <w:vertAlign w:val="baseline"/>
        </w:rPr>
        <w:t> Armut.com, 2011 yılında kurulmuş olan, hizmet verenler ile hizmet almak isteyenleri bir araya getiren bir platformdur. Ev temizliği, evden eve nakliyat, tamirat, özel ders gibi pek çok alanda hizmet aracılığı yapmaktadır.</w:t>
      </w:r>
    </w:p>
    <w:p>
      <w:pPr>
        <w:spacing w:after="0"/>
        <w:jc w:val="both"/>
        <w:rPr>
          <w:sz w:val="20"/>
        </w:rPr>
        <w:sectPr>
          <w:pgSz w:w="12240" w:h="15840"/>
          <w:pgMar w:header="718" w:footer="0" w:top="1300" w:bottom="280" w:left="1720" w:right="820"/>
        </w:sectPr>
      </w:pPr>
    </w:p>
    <w:p>
      <w:pPr>
        <w:pStyle w:val="Heading1"/>
        <w:numPr>
          <w:ilvl w:val="3"/>
          <w:numId w:val="1"/>
        </w:numPr>
        <w:tabs>
          <w:tab w:pos="2037" w:val="left" w:leader="none"/>
        </w:tabs>
        <w:spacing w:line="240" w:lineRule="auto" w:before="100" w:after="0"/>
        <w:ind w:left="2036" w:right="0" w:hanging="781"/>
        <w:jc w:val="both"/>
      </w:pPr>
      <w:r>
        <w:rPr/>
        <w:t>Bloglar ve</w:t>
      </w:r>
      <w:r>
        <w:rPr>
          <w:spacing w:val="-2"/>
        </w:rPr>
        <w:t> </w:t>
      </w:r>
      <w:r>
        <w:rPr/>
        <w:t>Vloglar</w:t>
      </w:r>
    </w:p>
    <w:p>
      <w:pPr>
        <w:pStyle w:val="BodyText"/>
        <w:spacing w:line="360" w:lineRule="auto" w:before="137"/>
        <w:ind w:right="313" w:firstLine="708"/>
      </w:pPr>
      <w:r>
        <w:rPr/>
        <w:t>Bloglar, kendi istedikleri şeyleri, kendi istedikleri şekilde yazan insanların oluşturabildikleri, günlüğe benzeyen internet siteleridir (Aggarwal vd., 2012). Kişiler ürün, marka, hizmet veya seyahat deneyimlerini bloglarında paylaşabilmektedir. Diğer insanlar bilgi arayış süreçlerinde bu deneyimlere ve tavsiyelere başvurabilmektedir. Bilgi arama sürecinde başvuru kaynağı olmaları sebebiyle bloglar elektronik ağızdan ağıza iletişim çalışmalarına da konu olmuşlardır (Bayraktaroğlu ve Aykol, 2008; Aggarwal vd., 2012; Onishi ve Manchanda, 2012; Hsu vd., 2013).</w:t>
      </w:r>
    </w:p>
    <w:p>
      <w:pPr>
        <w:pStyle w:val="BodyText"/>
        <w:spacing w:line="360" w:lineRule="auto" w:before="2"/>
        <w:ind w:right="310" w:firstLine="768"/>
      </w:pPr>
      <w:r>
        <w:rPr/>
        <w:t>Son yıllarda gelişen teknolojilerle birlikte, özellikle Youtube aracılığıyla, blogların farklı</w:t>
      </w:r>
      <w:r>
        <w:rPr>
          <w:spacing w:val="-8"/>
        </w:rPr>
        <w:t> </w:t>
      </w:r>
      <w:r>
        <w:rPr/>
        <w:t>bir</w:t>
      </w:r>
      <w:r>
        <w:rPr>
          <w:spacing w:val="-9"/>
        </w:rPr>
        <w:t> </w:t>
      </w:r>
      <w:r>
        <w:rPr/>
        <w:t>biçimi</w:t>
      </w:r>
      <w:r>
        <w:rPr>
          <w:spacing w:val="-8"/>
        </w:rPr>
        <w:t> </w:t>
      </w:r>
      <w:r>
        <w:rPr/>
        <w:t>olan</w:t>
      </w:r>
      <w:r>
        <w:rPr>
          <w:spacing w:val="-8"/>
        </w:rPr>
        <w:t> </w:t>
      </w:r>
      <w:r>
        <w:rPr/>
        <w:t>vloglar</w:t>
      </w:r>
      <w:r>
        <w:rPr>
          <w:spacing w:val="-10"/>
        </w:rPr>
        <w:t> </w:t>
      </w:r>
      <w:r>
        <w:rPr/>
        <w:t>(video</w:t>
      </w:r>
      <w:r>
        <w:rPr>
          <w:spacing w:val="-9"/>
        </w:rPr>
        <w:t> </w:t>
      </w:r>
      <w:r>
        <w:rPr/>
        <w:t>bloglar)</w:t>
      </w:r>
      <w:r>
        <w:rPr>
          <w:spacing w:val="-10"/>
        </w:rPr>
        <w:t> </w:t>
      </w:r>
      <w:r>
        <w:rPr/>
        <w:t>ön</w:t>
      </w:r>
      <w:r>
        <w:rPr>
          <w:spacing w:val="-6"/>
        </w:rPr>
        <w:t> </w:t>
      </w:r>
      <w:r>
        <w:rPr/>
        <w:t>plana</w:t>
      </w:r>
      <w:r>
        <w:rPr>
          <w:spacing w:val="-10"/>
        </w:rPr>
        <w:t> </w:t>
      </w:r>
      <w:r>
        <w:rPr/>
        <w:t>çıkmaya</w:t>
      </w:r>
      <w:r>
        <w:rPr>
          <w:spacing w:val="-7"/>
        </w:rPr>
        <w:t> </w:t>
      </w:r>
      <w:r>
        <w:rPr/>
        <w:t>başlamıştır.</w:t>
      </w:r>
      <w:r>
        <w:rPr>
          <w:spacing w:val="-7"/>
        </w:rPr>
        <w:t> </w:t>
      </w:r>
      <w:r>
        <w:rPr/>
        <w:t>İnsanlar,</w:t>
      </w:r>
      <w:r>
        <w:rPr>
          <w:spacing w:val="-8"/>
        </w:rPr>
        <w:t> </w:t>
      </w:r>
      <w:r>
        <w:rPr/>
        <w:t>video</w:t>
      </w:r>
      <w:r>
        <w:rPr>
          <w:spacing w:val="-9"/>
        </w:rPr>
        <w:t> </w:t>
      </w:r>
      <w:r>
        <w:rPr/>
        <w:t>ve internet teknolojilerinin sağladığı kolaylıklarla birlikte kendi video içeriklerini oluşturup, Youtube gibi platformlarda paylaşarak geniş kitlelere ulaştırabilmektedir. Wearesocial.com’da yer alan yazısında Kemp (2019) araştırmanın yapıldığı son bir ayda dünya genelinde 2 milyardan fazla kişinin vlog izlediğini</w:t>
      </w:r>
      <w:r>
        <w:rPr>
          <w:spacing w:val="-4"/>
        </w:rPr>
        <w:t> </w:t>
      </w:r>
      <w:r>
        <w:rPr/>
        <w:t>belirtmektedir.</w:t>
      </w:r>
    </w:p>
    <w:p>
      <w:pPr>
        <w:pStyle w:val="BodyText"/>
        <w:spacing w:line="360" w:lineRule="auto" w:before="1"/>
        <w:ind w:right="310" w:firstLine="708"/>
      </w:pPr>
      <w:r>
        <w:rPr/>
        <w:t>Vloglar</w:t>
      </w:r>
      <w:r>
        <w:rPr>
          <w:spacing w:val="-9"/>
        </w:rPr>
        <w:t> </w:t>
      </w:r>
      <w:r>
        <w:rPr/>
        <w:t>eğlence,</w:t>
      </w:r>
      <w:r>
        <w:rPr>
          <w:spacing w:val="-6"/>
        </w:rPr>
        <w:t> </w:t>
      </w:r>
      <w:r>
        <w:rPr/>
        <w:t>tartışma,</w:t>
      </w:r>
      <w:r>
        <w:rPr>
          <w:spacing w:val="-6"/>
        </w:rPr>
        <w:t> </w:t>
      </w:r>
      <w:r>
        <w:rPr/>
        <w:t>öğretme</w:t>
      </w:r>
      <w:r>
        <w:rPr>
          <w:spacing w:val="-8"/>
        </w:rPr>
        <w:t> </w:t>
      </w:r>
      <w:r>
        <w:rPr/>
        <w:t>ve</w:t>
      </w:r>
      <w:r>
        <w:rPr>
          <w:spacing w:val="-5"/>
        </w:rPr>
        <w:t> </w:t>
      </w:r>
      <w:r>
        <w:rPr/>
        <w:t>öğrenme</w:t>
      </w:r>
      <w:r>
        <w:rPr>
          <w:spacing w:val="-7"/>
        </w:rPr>
        <w:t> </w:t>
      </w:r>
      <w:r>
        <w:rPr/>
        <w:t>ve</w:t>
      </w:r>
      <w:r>
        <w:rPr>
          <w:spacing w:val="-6"/>
        </w:rPr>
        <w:t> </w:t>
      </w:r>
      <w:r>
        <w:rPr/>
        <w:t>sanatsal</w:t>
      </w:r>
      <w:r>
        <w:rPr>
          <w:spacing w:val="-6"/>
        </w:rPr>
        <w:t> </w:t>
      </w:r>
      <w:r>
        <w:rPr/>
        <w:t>anlatım</w:t>
      </w:r>
      <w:r>
        <w:rPr>
          <w:spacing w:val="-6"/>
        </w:rPr>
        <w:t> </w:t>
      </w:r>
      <w:r>
        <w:rPr/>
        <w:t>gibi</w:t>
      </w:r>
      <w:r>
        <w:rPr>
          <w:spacing w:val="-6"/>
        </w:rPr>
        <w:t> </w:t>
      </w:r>
      <w:r>
        <w:rPr/>
        <w:t>birçok</w:t>
      </w:r>
      <w:r>
        <w:rPr>
          <w:spacing w:val="-7"/>
        </w:rPr>
        <w:t> </w:t>
      </w:r>
      <w:r>
        <w:rPr/>
        <w:t>amaca hizmet etmektedir (Sanchez-Cortes vd., 2015). Tıpkı bloglarda olduğu gibi ürün, marka, hizmet veya seyahat deneyimlerini paylaşan vlog hesapları da bulunmaktadır. Vloglar elektronik ağızdan ağıza iletişim çalışmalarının ilgisini henüz bloglar kadar çekebilmiş olmasa da Susarla vd. (2012), Tang vd. (2014) ve Park vd. (2018) vloglar özelinde nadir çalışmalardandır.</w:t>
      </w:r>
    </w:p>
    <w:p>
      <w:pPr>
        <w:pStyle w:val="Heading1"/>
        <w:numPr>
          <w:ilvl w:val="3"/>
          <w:numId w:val="1"/>
        </w:numPr>
        <w:tabs>
          <w:tab w:pos="2037" w:val="left" w:leader="none"/>
        </w:tabs>
        <w:spacing w:line="240" w:lineRule="auto" w:before="159" w:after="0"/>
        <w:ind w:left="2036" w:right="0" w:hanging="781"/>
        <w:jc w:val="both"/>
      </w:pPr>
      <w:r>
        <w:rPr/>
        <w:t>Forumlar</w:t>
      </w:r>
    </w:p>
    <w:p>
      <w:pPr>
        <w:pStyle w:val="BodyText"/>
        <w:spacing w:line="360" w:lineRule="auto" w:before="139"/>
        <w:ind w:right="311" w:firstLine="708"/>
      </w:pPr>
      <w:r>
        <w:rPr/>
        <w:t>Forumlar internet ortamında yer alan tartışma ve paylaşım platformlarıdır (Cheung vd., 2009). Forumlarda tartışılan konular arasında ürün, marka, hizmet tavsiyesi ya da eleştirisi bulunabilmektedir. Forum üyeleri, yapacakları satın alma işlemi öncesi diğer üyelerden tavsiyede bulunmalarını isteyebilmekte (Bickart ve Schindler, 2001) ve diğer üyeler de istekli bir şekilde geçmiş satın alma deneyimlerini ve görüşlerini paylaşmaktadır (Luo vd., 2018). Son yıllarda forumlar, internet kullanıcılarının ürün veya hizmet bilgisi ararken başvurdukları en önemli kaynaklardan birisi haline gelmiştir (Yan vd., 2016). Forumlar kendi içlerinde birer sosyal topluluklardır. Tüketiciler, tıpkı gerçek dünyadaki sosyal çevrelerine olduğu gibi, bu sanal topluluklara da aidiyet duygusu hissedebilmekte ve forum üyelerini arkadaş olarak görebilmektedir (Luo vd., 2018). Dolayısıyla, forum</w:t>
      </w:r>
    </w:p>
    <w:p>
      <w:pPr>
        <w:spacing w:after="0" w:line="360" w:lineRule="auto"/>
        <w:sectPr>
          <w:pgSz w:w="12240" w:h="15840"/>
          <w:pgMar w:header="718" w:footer="0" w:top="1300" w:bottom="280" w:left="1720" w:right="820"/>
        </w:sectPr>
      </w:pPr>
    </w:p>
    <w:p>
      <w:pPr>
        <w:pStyle w:val="BodyText"/>
        <w:spacing w:line="360" w:lineRule="auto" w:before="100"/>
        <w:ind w:right="316"/>
      </w:pPr>
      <w:r>
        <w:rPr/>
        <w:t>üyelerinin vereceği tavsiye ve bilgilere güvenerek satın alma kararlarını şekillendirebilmektedir (Choi ve Shin, 2017).</w:t>
      </w:r>
    </w:p>
    <w:p>
      <w:pPr>
        <w:pStyle w:val="Heading1"/>
        <w:numPr>
          <w:ilvl w:val="3"/>
          <w:numId w:val="1"/>
        </w:numPr>
        <w:tabs>
          <w:tab w:pos="2037" w:val="left" w:leader="none"/>
        </w:tabs>
        <w:spacing w:line="240" w:lineRule="auto" w:before="159" w:after="0"/>
        <w:ind w:left="2036" w:right="0" w:hanging="781"/>
        <w:jc w:val="both"/>
      </w:pPr>
      <w:r>
        <w:rPr/>
        <w:t>Sosyal</w:t>
      </w:r>
      <w:r>
        <w:rPr>
          <w:spacing w:val="-1"/>
        </w:rPr>
        <w:t> </w:t>
      </w:r>
      <w:r>
        <w:rPr/>
        <w:t>Ağlar</w:t>
      </w:r>
    </w:p>
    <w:p>
      <w:pPr>
        <w:pStyle w:val="BodyText"/>
        <w:spacing w:line="360" w:lineRule="auto" w:before="139"/>
        <w:ind w:right="309" w:firstLine="708"/>
      </w:pPr>
      <w:r>
        <w:rPr/>
        <w:t>Başta Facebook, Twitter ve Instagram olmak üzere, sosyal ağlar internet kullanıcılarının pek çoğu tarafından benimsenmiştir (Kemp, 2019). Geleneksel medyanın ifade özgürlüğü anlamında karşılaştığı engellerin aşılması için bir seçenek olan sosyal</w:t>
      </w:r>
      <w:r>
        <w:rPr>
          <w:spacing w:val="-29"/>
        </w:rPr>
        <w:t> </w:t>
      </w:r>
      <w:r>
        <w:rPr/>
        <w:t>ağlar, kimi durumlarda bilgi ve haber akışı için insanların kullandıkları en önemli araç haline gelmektedir. 2010’da başlayan Arap Baharı sürecinde protestocular sosyal ağlar üzerinden bilgi almış ve iletişim kurmuşlardır. Sosyal medyanın kitlelerin iletişiminde ne derece kilit rol alabileceği Arap Baharı ile tarih sayfalarında yerini almıştır (Brown vd., 2012). Ancak unutulmamalıdır</w:t>
      </w:r>
      <w:r>
        <w:rPr>
          <w:spacing w:val="-13"/>
        </w:rPr>
        <w:t> </w:t>
      </w:r>
      <w:r>
        <w:rPr/>
        <w:t>ki</w:t>
      </w:r>
      <w:r>
        <w:rPr>
          <w:spacing w:val="-10"/>
        </w:rPr>
        <w:t> </w:t>
      </w:r>
      <w:r>
        <w:rPr/>
        <w:t>bilgi</w:t>
      </w:r>
      <w:r>
        <w:rPr>
          <w:spacing w:val="-14"/>
        </w:rPr>
        <w:t> </w:t>
      </w:r>
      <w:r>
        <w:rPr/>
        <w:t>akışı</w:t>
      </w:r>
      <w:r>
        <w:rPr>
          <w:spacing w:val="-12"/>
        </w:rPr>
        <w:t> </w:t>
      </w:r>
      <w:r>
        <w:rPr/>
        <w:t>ve</w:t>
      </w:r>
      <w:r>
        <w:rPr>
          <w:spacing w:val="-12"/>
        </w:rPr>
        <w:t> </w:t>
      </w:r>
      <w:r>
        <w:rPr/>
        <w:t>iletişim</w:t>
      </w:r>
      <w:r>
        <w:rPr>
          <w:spacing w:val="-13"/>
        </w:rPr>
        <w:t> </w:t>
      </w:r>
      <w:r>
        <w:rPr/>
        <w:t>gerçekleşirken</w:t>
      </w:r>
      <w:r>
        <w:rPr>
          <w:spacing w:val="-12"/>
        </w:rPr>
        <w:t> </w:t>
      </w:r>
      <w:r>
        <w:rPr/>
        <w:t>sosyal</w:t>
      </w:r>
      <w:r>
        <w:rPr>
          <w:spacing w:val="-12"/>
        </w:rPr>
        <w:t> </w:t>
      </w:r>
      <w:r>
        <w:rPr/>
        <w:t>ağların</w:t>
      </w:r>
      <w:r>
        <w:rPr>
          <w:spacing w:val="-13"/>
        </w:rPr>
        <w:t> </w:t>
      </w:r>
      <w:r>
        <w:rPr/>
        <w:t>bir</w:t>
      </w:r>
      <w:r>
        <w:rPr>
          <w:spacing w:val="-12"/>
        </w:rPr>
        <w:t> </w:t>
      </w:r>
      <w:r>
        <w:rPr/>
        <w:t>“gerçeklik</w:t>
      </w:r>
      <w:r>
        <w:rPr>
          <w:spacing w:val="-12"/>
        </w:rPr>
        <w:t> </w:t>
      </w:r>
      <w:r>
        <w:rPr/>
        <w:t>filtresi” olmaması</w:t>
      </w:r>
      <w:r>
        <w:rPr>
          <w:spacing w:val="-7"/>
        </w:rPr>
        <w:t> </w:t>
      </w:r>
      <w:r>
        <w:rPr/>
        <w:t>kişilerin</w:t>
      </w:r>
      <w:r>
        <w:rPr>
          <w:spacing w:val="-6"/>
        </w:rPr>
        <w:t> </w:t>
      </w:r>
      <w:r>
        <w:rPr/>
        <w:t>sahte</w:t>
      </w:r>
      <w:r>
        <w:rPr>
          <w:spacing w:val="-9"/>
        </w:rPr>
        <w:t> </w:t>
      </w:r>
      <w:r>
        <w:rPr/>
        <w:t>ve</w:t>
      </w:r>
      <w:r>
        <w:rPr>
          <w:spacing w:val="-7"/>
        </w:rPr>
        <w:t> </w:t>
      </w:r>
      <w:r>
        <w:rPr/>
        <w:t>manipülatif</w:t>
      </w:r>
      <w:r>
        <w:rPr>
          <w:spacing w:val="-7"/>
        </w:rPr>
        <w:t> </w:t>
      </w:r>
      <w:r>
        <w:rPr/>
        <w:t>haberlere</w:t>
      </w:r>
      <w:r>
        <w:rPr>
          <w:spacing w:val="-5"/>
        </w:rPr>
        <w:t> </w:t>
      </w:r>
      <w:r>
        <w:rPr/>
        <w:t>maruz</w:t>
      </w:r>
      <w:r>
        <w:rPr>
          <w:spacing w:val="-7"/>
        </w:rPr>
        <w:t> </w:t>
      </w:r>
      <w:r>
        <w:rPr/>
        <w:t>kalmasına</w:t>
      </w:r>
      <w:r>
        <w:rPr>
          <w:spacing w:val="-7"/>
        </w:rPr>
        <w:t> </w:t>
      </w:r>
      <w:r>
        <w:rPr/>
        <w:t>ve</w:t>
      </w:r>
      <w:r>
        <w:rPr>
          <w:spacing w:val="-7"/>
        </w:rPr>
        <w:t> </w:t>
      </w:r>
      <w:r>
        <w:rPr/>
        <w:t>bilinçli</w:t>
      </w:r>
      <w:r>
        <w:rPr>
          <w:spacing w:val="-7"/>
        </w:rPr>
        <w:t> </w:t>
      </w:r>
      <w:r>
        <w:rPr/>
        <w:t>ya</w:t>
      </w:r>
      <w:r>
        <w:rPr>
          <w:spacing w:val="-7"/>
        </w:rPr>
        <w:t> </w:t>
      </w:r>
      <w:r>
        <w:rPr/>
        <w:t>da</w:t>
      </w:r>
      <w:r>
        <w:rPr>
          <w:spacing w:val="-7"/>
        </w:rPr>
        <w:t> </w:t>
      </w:r>
      <w:r>
        <w:rPr/>
        <w:t>bilinçsiz şekilde bu haberleri/bilgileri yaymasına imkan vermektedir. Bireyler, sosyal ağlardan aldıkları</w:t>
      </w:r>
      <w:r>
        <w:rPr>
          <w:spacing w:val="-13"/>
        </w:rPr>
        <w:t> </w:t>
      </w:r>
      <w:r>
        <w:rPr/>
        <w:t>yalan</w:t>
      </w:r>
      <w:r>
        <w:rPr>
          <w:spacing w:val="-13"/>
        </w:rPr>
        <w:t> </w:t>
      </w:r>
      <w:r>
        <w:rPr/>
        <w:t>ve</w:t>
      </w:r>
      <w:r>
        <w:rPr>
          <w:spacing w:val="-14"/>
        </w:rPr>
        <w:t> </w:t>
      </w:r>
      <w:r>
        <w:rPr/>
        <w:t>yanlış</w:t>
      </w:r>
      <w:r>
        <w:rPr>
          <w:spacing w:val="-12"/>
        </w:rPr>
        <w:t> </w:t>
      </w:r>
      <w:r>
        <w:rPr/>
        <w:t>haberlerle/bilgilerle</w:t>
      </w:r>
      <w:r>
        <w:rPr>
          <w:spacing w:val="-14"/>
        </w:rPr>
        <w:t> </w:t>
      </w:r>
      <w:r>
        <w:rPr/>
        <w:t>kolaylıkla</w:t>
      </w:r>
      <w:r>
        <w:rPr>
          <w:spacing w:val="-13"/>
        </w:rPr>
        <w:t> </w:t>
      </w:r>
      <w:r>
        <w:rPr/>
        <w:t>manipüle</w:t>
      </w:r>
      <w:r>
        <w:rPr>
          <w:spacing w:val="-14"/>
        </w:rPr>
        <w:t> </w:t>
      </w:r>
      <w:r>
        <w:rPr/>
        <w:t>edilebilmektedir</w:t>
      </w:r>
      <w:r>
        <w:rPr>
          <w:spacing w:val="-12"/>
        </w:rPr>
        <w:t> </w:t>
      </w:r>
      <w:r>
        <w:rPr/>
        <w:t>(Vosoughi vd., 2018; Aral ve Eckles,</w:t>
      </w:r>
      <w:r>
        <w:rPr>
          <w:spacing w:val="-1"/>
        </w:rPr>
        <w:t> </w:t>
      </w:r>
      <w:r>
        <w:rPr/>
        <w:t>2019).</w:t>
      </w:r>
    </w:p>
    <w:p>
      <w:pPr>
        <w:pStyle w:val="BodyText"/>
        <w:spacing w:line="360" w:lineRule="auto" w:before="1"/>
        <w:ind w:right="312" w:firstLine="708"/>
      </w:pPr>
      <w:r>
        <w:rPr/>
        <w:t>Sosyal ağlar genel anlamda haber ve bilginin iletildiği modern iletişim kanalları olmalarının yanı sıra, aynı zamanda, önemli birer elektronik ağızdan ağıza iletişim platformlarıdır.</w:t>
      </w:r>
      <w:r>
        <w:rPr>
          <w:spacing w:val="-14"/>
        </w:rPr>
        <w:t> </w:t>
      </w:r>
      <w:r>
        <w:rPr/>
        <w:t>Tüketiciler</w:t>
      </w:r>
      <w:r>
        <w:rPr>
          <w:spacing w:val="-13"/>
        </w:rPr>
        <w:t> </w:t>
      </w:r>
      <w:r>
        <w:rPr/>
        <w:t>sosyal</w:t>
      </w:r>
      <w:r>
        <w:rPr>
          <w:spacing w:val="-12"/>
        </w:rPr>
        <w:t> </w:t>
      </w:r>
      <w:r>
        <w:rPr/>
        <w:t>ağlar</w:t>
      </w:r>
      <w:r>
        <w:rPr>
          <w:spacing w:val="-13"/>
        </w:rPr>
        <w:t> </w:t>
      </w:r>
      <w:r>
        <w:rPr/>
        <w:t>üzerinden</w:t>
      </w:r>
      <w:r>
        <w:rPr>
          <w:spacing w:val="-11"/>
        </w:rPr>
        <w:t> </w:t>
      </w:r>
      <w:r>
        <w:rPr/>
        <w:t>diğer</w:t>
      </w:r>
      <w:r>
        <w:rPr>
          <w:spacing w:val="-13"/>
        </w:rPr>
        <w:t> </w:t>
      </w:r>
      <w:r>
        <w:rPr/>
        <w:t>tüketicilerle</w:t>
      </w:r>
      <w:r>
        <w:rPr>
          <w:spacing w:val="-12"/>
        </w:rPr>
        <w:t> </w:t>
      </w:r>
      <w:r>
        <w:rPr/>
        <w:t>bağlantı</w:t>
      </w:r>
      <w:r>
        <w:rPr>
          <w:spacing w:val="-12"/>
        </w:rPr>
        <w:t> </w:t>
      </w:r>
      <w:r>
        <w:rPr/>
        <w:t>kurarak</w:t>
      </w:r>
      <w:r>
        <w:rPr>
          <w:spacing w:val="-12"/>
        </w:rPr>
        <w:t> </w:t>
      </w:r>
      <w:r>
        <w:rPr/>
        <w:t>ürünler ve markalar hakkında bilgi, deneyim ve fikir alışverişi yapabilmektedirler (Chu ve Kim, 2011).</w:t>
      </w:r>
      <w:r>
        <w:rPr>
          <w:spacing w:val="-18"/>
        </w:rPr>
        <w:t> </w:t>
      </w:r>
      <w:r>
        <w:rPr/>
        <w:t>Jansen</w:t>
      </w:r>
      <w:r>
        <w:rPr>
          <w:spacing w:val="-17"/>
        </w:rPr>
        <w:t> </w:t>
      </w:r>
      <w:r>
        <w:rPr/>
        <w:t>vd.</w:t>
      </w:r>
      <w:r>
        <w:rPr>
          <w:spacing w:val="-17"/>
        </w:rPr>
        <w:t> </w:t>
      </w:r>
      <w:r>
        <w:rPr/>
        <w:t>(2009)</w:t>
      </w:r>
      <w:r>
        <w:rPr>
          <w:spacing w:val="-15"/>
        </w:rPr>
        <w:t> </w:t>
      </w:r>
      <w:r>
        <w:rPr/>
        <w:t>sosyal</w:t>
      </w:r>
      <w:r>
        <w:rPr>
          <w:spacing w:val="-17"/>
        </w:rPr>
        <w:t> </w:t>
      </w:r>
      <w:r>
        <w:rPr/>
        <w:t>ağların,</w:t>
      </w:r>
      <w:r>
        <w:rPr>
          <w:spacing w:val="-16"/>
        </w:rPr>
        <w:t> </w:t>
      </w:r>
      <w:r>
        <w:rPr/>
        <w:t>tüketicilerin</w:t>
      </w:r>
      <w:r>
        <w:rPr>
          <w:spacing w:val="-17"/>
        </w:rPr>
        <w:t> </w:t>
      </w:r>
      <w:r>
        <w:rPr/>
        <w:t>marka</w:t>
      </w:r>
      <w:r>
        <w:rPr>
          <w:spacing w:val="-18"/>
        </w:rPr>
        <w:t> </w:t>
      </w:r>
      <w:r>
        <w:rPr/>
        <w:t>algılarını</w:t>
      </w:r>
      <w:r>
        <w:rPr>
          <w:spacing w:val="-16"/>
        </w:rPr>
        <w:t> </w:t>
      </w:r>
      <w:r>
        <w:rPr/>
        <w:t>ve</w:t>
      </w:r>
      <w:r>
        <w:rPr>
          <w:spacing w:val="-18"/>
        </w:rPr>
        <w:t> </w:t>
      </w:r>
      <w:r>
        <w:rPr/>
        <w:t>satın</w:t>
      </w:r>
      <w:r>
        <w:rPr>
          <w:spacing w:val="-17"/>
        </w:rPr>
        <w:t> </w:t>
      </w:r>
      <w:r>
        <w:rPr/>
        <w:t>alma</w:t>
      </w:r>
      <w:r>
        <w:rPr>
          <w:spacing w:val="-18"/>
        </w:rPr>
        <w:t> </w:t>
      </w:r>
      <w:r>
        <w:rPr/>
        <w:t>kararlarını gün geçtikçe daha fazla etkilediğini belirtmektedir. Sosyal ağların, tüketiciler için önemli bilgi kaynağı haline gelmesi araştırmacıların da ilgisini çekmiştir. Elektronik ağızdan ağıza iletişim literatüründe özellikle Facebook (örn. Goh vd., 2013; Kwok ve Yu, 2013; Tang vd., 2014; Kudeshia ve Kumar, 2017; Scholz vd., 2018; Yoon vd., 2018) ve Twitter (örn.</w:t>
      </w:r>
      <w:r>
        <w:rPr>
          <w:spacing w:val="-16"/>
        </w:rPr>
        <w:t> </w:t>
      </w:r>
      <w:r>
        <w:rPr/>
        <w:t>Jansen vd., 2009; Sotiriadi ve Van Zyl, 2013; Baek vd., 2014; Seiler vd., 2017; Yoon vd., 2017; Vujić ve Zhang, 2018) üzerine odaklanmış çalışmalar</w:t>
      </w:r>
      <w:r>
        <w:rPr>
          <w:spacing w:val="-7"/>
        </w:rPr>
        <w:t> </w:t>
      </w:r>
      <w:r>
        <w:rPr/>
        <w:t>bulunmaktadır.</w:t>
      </w:r>
    </w:p>
    <w:p>
      <w:pPr>
        <w:pStyle w:val="Heading1"/>
        <w:numPr>
          <w:ilvl w:val="3"/>
          <w:numId w:val="1"/>
        </w:numPr>
        <w:tabs>
          <w:tab w:pos="2037" w:val="left" w:leader="none"/>
        </w:tabs>
        <w:spacing w:line="240" w:lineRule="auto" w:before="161" w:after="0"/>
        <w:ind w:left="2036" w:right="0" w:hanging="781"/>
        <w:jc w:val="both"/>
      </w:pPr>
      <w:r>
        <w:rPr/>
        <w:t>Şikayet ve Boykot</w:t>
      </w:r>
      <w:r>
        <w:rPr>
          <w:spacing w:val="-3"/>
        </w:rPr>
        <w:t> </w:t>
      </w:r>
      <w:r>
        <w:rPr/>
        <w:t>Siteleri</w:t>
      </w:r>
    </w:p>
    <w:p>
      <w:pPr>
        <w:pStyle w:val="BodyText"/>
        <w:spacing w:line="360" w:lineRule="auto" w:before="137"/>
        <w:ind w:right="311" w:firstLine="708"/>
      </w:pPr>
      <w:r>
        <w:rPr/>
        <w:t>Memnuniyetsiz tüketicilerin bir araya geldiği şikayet ve boykot siteleri gibi platformlarda yer alan olumsuz yorumlar kümülatif etki oluşturma potansiyeline sahiptir (Hennig‐Thurau</w:t>
      </w:r>
      <w:r>
        <w:rPr>
          <w:spacing w:val="-18"/>
        </w:rPr>
        <w:t> </w:t>
      </w:r>
      <w:r>
        <w:rPr/>
        <w:t>vd.,</w:t>
      </w:r>
      <w:r>
        <w:rPr>
          <w:spacing w:val="-17"/>
        </w:rPr>
        <w:t> </w:t>
      </w:r>
      <w:r>
        <w:rPr/>
        <w:t>2004).</w:t>
      </w:r>
      <w:r>
        <w:rPr>
          <w:spacing w:val="-17"/>
        </w:rPr>
        <w:t> </w:t>
      </w:r>
      <w:r>
        <w:rPr/>
        <w:t>Şikayet</w:t>
      </w:r>
      <w:r>
        <w:rPr>
          <w:spacing w:val="-16"/>
        </w:rPr>
        <w:t> </w:t>
      </w:r>
      <w:r>
        <w:rPr/>
        <w:t>siteleri</w:t>
      </w:r>
      <w:r>
        <w:rPr>
          <w:spacing w:val="-16"/>
        </w:rPr>
        <w:t> </w:t>
      </w:r>
      <w:r>
        <w:rPr/>
        <w:t>tüketicilerin</w:t>
      </w:r>
      <w:r>
        <w:rPr>
          <w:spacing w:val="-17"/>
        </w:rPr>
        <w:t> </w:t>
      </w:r>
      <w:r>
        <w:rPr/>
        <w:t>bir</w:t>
      </w:r>
      <w:r>
        <w:rPr>
          <w:spacing w:val="-18"/>
        </w:rPr>
        <w:t> </w:t>
      </w:r>
      <w:r>
        <w:rPr/>
        <w:t>marka</w:t>
      </w:r>
      <w:r>
        <w:rPr>
          <w:spacing w:val="-17"/>
        </w:rPr>
        <w:t> </w:t>
      </w:r>
      <w:r>
        <w:rPr/>
        <w:t>ya</w:t>
      </w:r>
      <w:r>
        <w:rPr>
          <w:spacing w:val="-16"/>
        </w:rPr>
        <w:t> </w:t>
      </w:r>
      <w:r>
        <w:rPr/>
        <w:t>da</w:t>
      </w:r>
      <w:r>
        <w:rPr>
          <w:spacing w:val="-18"/>
        </w:rPr>
        <w:t> </w:t>
      </w:r>
      <w:r>
        <w:rPr/>
        <w:t>firma</w:t>
      </w:r>
      <w:r>
        <w:rPr>
          <w:spacing w:val="-17"/>
        </w:rPr>
        <w:t> </w:t>
      </w:r>
      <w:r>
        <w:rPr/>
        <w:t>ile</w:t>
      </w:r>
      <w:r>
        <w:rPr>
          <w:spacing w:val="-18"/>
        </w:rPr>
        <w:t> </w:t>
      </w:r>
      <w:r>
        <w:rPr>
          <w:spacing w:val="-5"/>
        </w:rPr>
        <w:t>yaşadıkları</w:t>
      </w:r>
    </w:p>
    <w:p>
      <w:pPr>
        <w:spacing w:after="0" w:line="360" w:lineRule="auto"/>
        <w:sectPr>
          <w:pgSz w:w="12240" w:h="15840"/>
          <w:pgMar w:header="718" w:footer="0" w:top="1300" w:bottom="280" w:left="1720" w:right="820"/>
        </w:sectPr>
      </w:pPr>
    </w:p>
    <w:p>
      <w:pPr>
        <w:pStyle w:val="BodyText"/>
        <w:spacing w:line="360" w:lineRule="auto" w:before="100"/>
        <w:ind w:right="313"/>
      </w:pPr>
      <w:r>
        <w:rPr/>
        <w:t>sorunları</w:t>
      </w:r>
      <w:r>
        <w:rPr>
          <w:spacing w:val="-13"/>
        </w:rPr>
        <w:t> </w:t>
      </w:r>
      <w:r>
        <w:rPr/>
        <w:t>online</w:t>
      </w:r>
      <w:r>
        <w:rPr>
          <w:spacing w:val="-14"/>
        </w:rPr>
        <w:t> </w:t>
      </w:r>
      <w:r>
        <w:rPr/>
        <w:t>olarak</w:t>
      </w:r>
      <w:r>
        <w:rPr>
          <w:spacing w:val="-13"/>
        </w:rPr>
        <w:t> </w:t>
      </w:r>
      <w:r>
        <w:rPr/>
        <w:t>dile</w:t>
      </w:r>
      <w:r>
        <w:rPr>
          <w:spacing w:val="-13"/>
        </w:rPr>
        <w:t> </w:t>
      </w:r>
      <w:r>
        <w:rPr/>
        <w:t>getirebildikleri</w:t>
      </w:r>
      <w:r>
        <w:rPr>
          <w:spacing w:val="-13"/>
        </w:rPr>
        <w:t> </w:t>
      </w:r>
      <w:r>
        <w:rPr/>
        <w:t>platformlardır.</w:t>
      </w:r>
      <w:r>
        <w:rPr>
          <w:spacing w:val="-13"/>
        </w:rPr>
        <w:t> </w:t>
      </w:r>
      <w:r>
        <w:rPr/>
        <w:t>Kullanıcıların</w:t>
      </w:r>
      <w:r>
        <w:rPr>
          <w:spacing w:val="-13"/>
        </w:rPr>
        <w:t> </w:t>
      </w:r>
      <w:r>
        <w:rPr/>
        <w:t>yaptıkları</w:t>
      </w:r>
      <w:r>
        <w:rPr>
          <w:spacing w:val="-13"/>
        </w:rPr>
        <w:t> </w:t>
      </w:r>
      <w:r>
        <w:rPr/>
        <w:t>şikayetler herkese açıktır. Firma eğer bu şikayete yanıt verip sorun çözülürse, şikayet daha sonra bir memnuniyete dönüşebilmekte, negatif yorum pozitif yöne kaymaktadır. Ülkemizde bu konuda en popüler olanlardan Sikayetvar.com’un (e.t. 04.09.2019) 4 milyondan fazla üye sayısı bulunmakta ve her yıl giderek daha fazla şikayet</w:t>
      </w:r>
      <w:r>
        <w:rPr>
          <w:spacing w:val="-4"/>
        </w:rPr>
        <w:t> </w:t>
      </w:r>
      <w:r>
        <w:rPr/>
        <w:t>yayınlanmaktadır.</w:t>
      </w:r>
    </w:p>
    <w:p>
      <w:pPr>
        <w:pStyle w:val="BodyText"/>
        <w:spacing w:line="360" w:lineRule="auto"/>
        <w:ind w:right="313" w:firstLine="708"/>
      </w:pPr>
      <w:r>
        <w:rPr/>
        <w:t>Boykot, tüketicilerin sosyopolitik hedeflerine ulaşmak maksadıyla uzun süredir kullandığı güçlü bir araçtır (Izberk-Bilgin, 2012). Günümüzde, internet ve sosyal medya sayesinde boykot mesajları hızla yayılabilmekte, kartopu gibi büyüyerek geniş kitlelere ulaşabilmekte</w:t>
      </w:r>
      <w:r>
        <w:rPr>
          <w:spacing w:val="-11"/>
        </w:rPr>
        <w:t> </w:t>
      </w:r>
      <w:r>
        <w:rPr/>
        <w:t>ve</w:t>
      </w:r>
      <w:r>
        <w:rPr>
          <w:spacing w:val="-10"/>
        </w:rPr>
        <w:t> </w:t>
      </w:r>
      <w:r>
        <w:rPr/>
        <w:t>bunun</w:t>
      </w:r>
      <w:r>
        <w:rPr>
          <w:spacing w:val="-5"/>
        </w:rPr>
        <w:t> </w:t>
      </w:r>
      <w:r>
        <w:rPr/>
        <w:t>sonucunda</w:t>
      </w:r>
      <w:r>
        <w:rPr>
          <w:spacing w:val="-10"/>
        </w:rPr>
        <w:t> </w:t>
      </w:r>
      <w:r>
        <w:rPr/>
        <w:t>boykot</w:t>
      </w:r>
      <w:r>
        <w:rPr>
          <w:spacing w:val="-8"/>
        </w:rPr>
        <w:t> </w:t>
      </w:r>
      <w:r>
        <w:rPr/>
        <w:t>edilen</w:t>
      </w:r>
      <w:r>
        <w:rPr>
          <w:spacing w:val="-7"/>
        </w:rPr>
        <w:t> </w:t>
      </w:r>
      <w:r>
        <w:rPr/>
        <w:t>şirketin</w:t>
      </w:r>
      <w:r>
        <w:rPr>
          <w:spacing w:val="-10"/>
        </w:rPr>
        <w:t> </w:t>
      </w:r>
      <w:r>
        <w:rPr/>
        <w:t>imajı</w:t>
      </w:r>
      <w:r>
        <w:rPr>
          <w:spacing w:val="-8"/>
        </w:rPr>
        <w:t> </w:t>
      </w:r>
      <w:r>
        <w:rPr/>
        <w:t>zedelenebilmekte</w:t>
      </w:r>
      <w:r>
        <w:rPr>
          <w:spacing w:val="-10"/>
        </w:rPr>
        <w:t> </w:t>
      </w:r>
      <w:r>
        <w:rPr/>
        <w:t>ve</w:t>
      </w:r>
      <w:r>
        <w:rPr>
          <w:spacing w:val="-10"/>
        </w:rPr>
        <w:t> </w:t>
      </w:r>
      <w:r>
        <w:rPr/>
        <w:t>satışları ciddi oranda düşebilmektedir (Trabelsi-Zoghlami vd., 2016). Donald Trump ABD başkanı olduktan sonra, ABD’de tüketiciler başkan Trump’ın kızı Ivanka Trump’ın moda markasını boykot etmeye başlamışlardır. Boykotun sebebi, Ivanka Trump’ın Donald Trump’ın kızı olmasının</w:t>
      </w:r>
      <w:r>
        <w:rPr>
          <w:spacing w:val="-5"/>
        </w:rPr>
        <w:t> </w:t>
      </w:r>
      <w:r>
        <w:rPr/>
        <w:t>yanı</w:t>
      </w:r>
      <w:r>
        <w:rPr>
          <w:spacing w:val="-3"/>
        </w:rPr>
        <w:t> </w:t>
      </w:r>
      <w:r>
        <w:rPr/>
        <w:t>sıra</w:t>
      </w:r>
      <w:r>
        <w:rPr>
          <w:spacing w:val="-5"/>
        </w:rPr>
        <w:t> </w:t>
      </w:r>
      <w:r>
        <w:rPr/>
        <w:t>seçimlerde</w:t>
      </w:r>
      <w:r>
        <w:rPr>
          <w:spacing w:val="-5"/>
        </w:rPr>
        <w:t> </w:t>
      </w:r>
      <w:r>
        <w:rPr/>
        <w:t>danışman</w:t>
      </w:r>
      <w:r>
        <w:rPr>
          <w:spacing w:val="-5"/>
        </w:rPr>
        <w:t> </w:t>
      </w:r>
      <w:r>
        <w:rPr/>
        <w:t>olarak</w:t>
      </w:r>
      <w:r>
        <w:rPr>
          <w:spacing w:val="-4"/>
        </w:rPr>
        <w:t> </w:t>
      </w:r>
      <w:r>
        <w:rPr/>
        <w:t>aktif</w:t>
      </w:r>
      <w:r>
        <w:rPr>
          <w:spacing w:val="-5"/>
        </w:rPr>
        <w:t> </w:t>
      </w:r>
      <w:r>
        <w:rPr/>
        <w:t>rol</w:t>
      </w:r>
      <w:r>
        <w:rPr>
          <w:spacing w:val="-4"/>
        </w:rPr>
        <w:t> </w:t>
      </w:r>
      <w:r>
        <w:rPr/>
        <w:t>almasıdır.</w:t>
      </w:r>
      <w:r>
        <w:rPr>
          <w:spacing w:val="-6"/>
        </w:rPr>
        <w:t> </w:t>
      </w:r>
      <w:r>
        <w:rPr/>
        <w:t>Boykot</w:t>
      </w:r>
      <w:r>
        <w:rPr>
          <w:spacing w:val="-1"/>
        </w:rPr>
        <w:t> </w:t>
      </w:r>
      <w:r>
        <w:rPr/>
        <w:t>sonucunda,</w:t>
      </w:r>
      <w:r>
        <w:rPr>
          <w:spacing w:val="-4"/>
        </w:rPr>
        <w:t> </w:t>
      </w:r>
      <w:r>
        <w:rPr/>
        <w:t>2018 yılı ilk altı ayında markanın online satışları %45 düşmüş, bazı perakendeciler markayı satmamaya başlamış ve Temmuz 2018’de Ivanka Trump markasını kapatmıştır (Carlile, 2019).</w:t>
      </w:r>
    </w:p>
    <w:p>
      <w:pPr>
        <w:pStyle w:val="Heading1"/>
        <w:numPr>
          <w:ilvl w:val="2"/>
          <w:numId w:val="1"/>
        </w:numPr>
        <w:tabs>
          <w:tab w:pos="1857" w:val="left" w:leader="none"/>
        </w:tabs>
        <w:spacing w:line="240" w:lineRule="auto" w:before="160" w:after="0"/>
        <w:ind w:left="1856" w:right="0" w:hanging="601"/>
        <w:jc w:val="both"/>
      </w:pPr>
      <w:r>
        <w:rPr/>
        <w:t>Elektronik Ağızdan Ağıza İletişimin Literatürdeki</w:t>
      </w:r>
      <w:r>
        <w:rPr>
          <w:spacing w:val="-3"/>
        </w:rPr>
        <w:t> </w:t>
      </w:r>
      <w:r>
        <w:rPr/>
        <w:t>Yeri</w:t>
      </w:r>
    </w:p>
    <w:p>
      <w:pPr>
        <w:pStyle w:val="BodyText"/>
        <w:spacing w:line="360" w:lineRule="auto" w:before="140"/>
        <w:ind w:right="310" w:firstLine="708"/>
      </w:pPr>
      <w:r>
        <w:rPr/>
        <w:t>Elektronik ağızdan ağıza iletişimin literatürdeki yeri ve önemini belirtmek adına sistematik bir literatür taraması yapılması uygun görülmüştür. Elektronik ağızdan ağıza iletişimin etkisi üzerine yayınlanmış çalışmaların kapsamı geniş ve parçalı (Cheung ve Thadani, 2012; Park vd., 2019) olsa da, bu çalışmaları bireysel düzeyde ve pazar düzeyinde yapılan analizler olmak üzere iki temel düzeyde sınıflandırmak mümkündür (Lee ve Lee, 2009).</w:t>
      </w:r>
    </w:p>
    <w:p>
      <w:pPr>
        <w:pStyle w:val="BodyText"/>
        <w:spacing w:line="360" w:lineRule="auto"/>
        <w:ind w:right="309" w:firstLine="708"/>
      </w:pPr>
      <w:r>
        <w:rPr/>
        <w:t>Bireysel düzey analizlerinde, araştırmacılar elektronik ağızdan ağıza iletişimi kişisel etki süreci olarak kabul etmektedirler. Bu kabule göre, mesajı gönderen ile alan arasındaki iletişim</w:t>
      </w:r>
      <w:r>
        <w:rPr>
          <w:spacing w:val="-9"/>
        </w:rPr>
        <w:t> </w:t>
      </w:r>
      <w:r>
        <w:rPr/>
        <w:t>tüketici</w:t>
      </w:r>
      <w:r>
        <w:rPr>
          <w:spacing w:val="-12"/>
        </w:rPr>
        <w:t> </w:t>
      </w:r>
      <w:r>
        <w:rPr/>
        <w:t>satın</w:t>
      </w:r>
      <w:r>
        <w:rPr>
          <w:spacing w:val="-10"/>
        </w:rPr>
        <w:t> </w:t>
      </w:r>
      <w:r>
        <w:rPr/>
        <w:t>alma</w:t>
      </w:r>
      <w:r>
        <w:rPr>
          <w:spacing w:val="-11"/>
        </w:rPr>
        <w:t> </w:t>
      </w:r>
      <w:r>
        <w:rPr/>
        <w:t>kararını</w:t>
      </w:r>
      <w:r>
        <w:rPr>
          <w:spacing w:val="-9"/>
        </w:rPr>
        <w:t> </w:t>
      </w:r>
      <w:r>
        <w:rPr/>
        <w:t>etkileyebilmektedir</w:t>
      </w:r>
      <w:r>
        <w:rPr>
          <w:spacing w:val="-9"/>
        </w:rPr>
        <w:t> </w:t>
      </w:r>
      <w:r>
        <w:rPr/>
        <w:t>(Park</w:t>
      </w:r>
      <w:r>
        <w:rPr>
          <w:spacing w:val="-10"/>
        </w:rPr>
        <w:t> </w:t>
      </w:r>
      <w:r>
        <w:rPr/>
        <w:t>ve</w:t>
      </w:r>
      <w:r>
        <w:rPr>
          <w:spacing w:val="-11"/>
        </w:rPr>
        <w:t> </w:t>
      </w:r>
      <w:r>
        <w:rPr/>
        <w:t>Kim,</w:t>
      </w:r>
      <w:r>
        <w:rPr>
          <w:spacing w:val="-9"/>
        </w:rPr>
        <w:t> </w:t>
      </w:r>
      <w:r>
        <w:rPr/>
        <w:t>2008;</w:t>
      </w:r>
      <w:r>
        <w:rPr>
          <w:spacing w:val="-9"/>
        </w:rPr>
        <w:t> </w:t>
      </w:r>
      <w:r>
        <w:rPr/>
        <w:t>Zhang</w:t>
      </w:r>
      <w:r>
        <w:rPr>
          <w:spacing w:val="-10"/>
        </w:rPr>
        <w:t> </w:t>
      </w:r>
      <w:r>
        <w:rPr/>
        <w:t>ve</w:t>
      </w:r>
      <w:r>
        <w:rPr>
          <w:spacing w:val="-10"/>
        </w:rPr>
        <w:t> </w:t>
      </w:r>
      <w:r>
        <w:rPr/>
        <w:t>Watts, 2008; Cheung vd., 2009). Bireysel düzey analizler, elektronik ağızdan ağıza iletişime bilgi kaynağı olarak odaklanmakta ve tüketici karar verme sürecini nasıl etkilediğini açıklamaya çalışmaktadır (Lee ve Lee, 2009). Literatürde, yorum içeriği analizleri (örn. Shen vd., 2015; Zhou vd., 2016; Ahmad ve Laroche, 2017; Goldberg ve Abrahams, 2018; Wang vd., 2019) ve</w:t>
      </w:r>
      <w:r>
        <w:rPr>
          <w:spacing w:val="-5"/>
        </w:rPr>
        <w:t> </w:t>
      </w:r>
      <w:r>
        <w:rPr/>
        <w:t>yorum</w:t>
      </w:r>
      <w:r>
        <w:rPr>
          <w:spacing w:val="-4"/>
        </w:rPr>
        <w:t> </w:t>
      </w:r>
      <w:r>
        <w:rPr/>
        <w:t>faydalılığı</w:t>
      </w:r>
      <w:r>
        <w:rPr>
          <w:spacing w:val="-3"/>
        </w:rPr>
        <w:t> </w:t>
      </w:r>
      <w:r>
        <w:rPr/>
        <w:t>analizleri</w:t>
      </w:r>
      <w:r>
        <w:rPr>
          <w:spacing w:val="-3"/>
        </w:rPr>
        <w:t> </w:t>
      </w:r>
      <w:r>
        <w:rPr/>
        <w:t>(örn.</w:t>
      </w:r>
      <w:r>
        <w:rPr>
          <w:spacing w:val="-4"/>
        </w:rPr>
        <w:t> </w:t>
      </w:r>
      <w:r>
        <w:rPr/>
        <w:t>Weathers</w:t>
      </w:r>
      <w:r>
        <w:rPr>
          <w:spacing w:val="-3"/>
        </w:rPr>
        <w:t> </w:t>
      </w:r>
      <w:r>
        <w:rPr/>
        <w:t>vd.,</w:t>
      </w:r>
      <w:r>
        <w:rPr>
          <w:spacing w:val="-1"/>
        </w:rPr>
        <w:t> </w:t>
      </w:r>
      <w:r>
        <w:rPr/>
        <w:t>2015;</w:t>
      </w:r>
      <w:r>
        <w:rPr>
          <w:spacing w:val="-3"/>
        </w:rPr>
        <w:t> </w:t>
      </w:r>
      <w:r>
        <w:rPr/>
        <w:t>Singh</w:t>
      </w:r>
      <w:r>
        <w:rPr>
          <w:spacing w:val="-3"/>
        </w:rPr>
        <w:t> </w:t>
      </w:r>
      <w:r>
        <w:rPr/>
        <w:t>vd.,</w:t>
      </w:r>
      <w:r>
        <w:rPr>
          <w:spacing w:val="-4"/>
        </w:rPr>
        <w:t> </w:t>
      </w:r>
      <w:r>
        <w:rPr/>
        <w:t>2017;</w:t>
      </w:r>
      <w:r>
        <w:rPr>
          <w:spacing w:val="-3"/>
        </w:rPr>
        <w:t> </w:t>
      </w:r>
      <w:r>
        <w:rPr/>
        <w:t>Lu</w:t>
      </w:r>
      <w:r>
        <w:rPr>
          <w:spacing w:val="-4"/>
        </w:rPr>
        <w:t> </w:t>
      </w:r>
      <w:r>
        <w:rPr/>
        <w:t>vd.,</w:t>
      </w:r>
      <w:r>
        <w:rPr>
          <w:spacing w:val="-3"/>
        </w:rPr>
        <w:t> </w:t>
      </w:r>
      <w:r>
        <w:rPr/>
        <w:t>2018;</w:t>
      </w:r>
      <w:r>
        <w:rPr>
          <w:spacing w:val="-3"/>
        </w:rPr>
        <w:t> </w:t>
      </w:r>
      <w:r>
        <w:rPr/>
        <w:t>Ren</w:t>
      </w:r>
    </w:p>
    <w:p>
      <w:pPr>
        <w:spacing w:after="0" w:line="360" w:lineRule="auto"/>
        <w:sectPr>
          <w:pgSz w:w="12240" w:h="15840"/>
          <w:pgMar w:header="718" w:footer="0" w:top="1300" w:bottom="280" w:left="1720" w:right="820"/>
        </w:sectPr>
      </w:pPr>
    </w:p>
    <w:p>
      <w:pPr>
        <w:pStyle w:val="BodyText"/>
        <w:spacing w:line="360" w:lineRule="auto" w:before="100"/>
        <w:ind w:right="314"/>
      </w:pPr>
      <w:r>
        <w:rPr/>
        <w:t>ve Hong, 2019) yapan çalışmalar sık yapılan bireysel düzey analiz çalışmaları olarak karşımıza çıkmaktadır.</w:t>
      </w:r>
    </w:p>
    <w:p>
      <w:pPr>
        <w:pStyle w:val="BodyText"/>
        <w:spacing w:line="360" w:lineRule="auto" w:before="1"/>
        <w:ind w:right="314" w:firstLine="708"/>
      </w:pPr>
      <w:r>
        <w:rPr/>
        <w:t>Pazar düzeyi analizlerinde ise araştırmacılar ürün satışları gibi pazar düzeyi parametrelerine odaklanmaktadırlar. Bu düzeydeki araştırmalar, elektronik ağızdan ağıza iletişim mesajlarının ürün satışları üzerindeki etkisini incelemek için, genellikle, çeşitli internet</w:t>
      </w:r>
      <w:r>
        <w:rPr>
          <w:spacing w:val="-14"/>
        </w:rPr>
        <w:t> </w:t>
      </w:r>
      <w:r>
        <w:rPr/>
        <w:t>sitelerinden</w:t>
      </w:r>
      <w:r>
        <w:rPr>
          <w:spacing w:val="-14"/>
        </w:rPr>
        <w:t> </w:t>
      </w:r>
      <w:r>
        <w:rPr/>
        <w:t>elde</w:t>
      </w:r>
      <w:r>
        <w:rPr>
          <w:spacing w:val="-12"/>
        </w:rPr>
        <w:t> </w:t>
      </w:r>
      <w:r>
        <w:rPr/>
        <w:t>edilen</w:t>
      </w:r>
      <w:r>
        <w:rPr>
          <w:spacing w:val="-13"/>
        </w:rPr>
        <w:t> </w:t>
      </w:r>
      <w:r>
        <w:rPr/>
        <w:t>panel</w:t>
      </w:r>
      <w:r>
        <w:rPr>
          <w:spacing w:val="-14"/>
        </w:rPr>
        <w:t> </w:t>
      </w:r>
      <w:r>
        <w:rPr/>
        <w:t>veriler</w:t>
      </w:r>
      <w:r>
        <w:rPr>
          <w:spacing w:val="-14"/>
        </w:rPr>
        <w:t> </w:t>
      </w:r>
      <w:r>
        <w:rPr/>
        <w:t>(örn.</w:t>
      </w:r>
      <w:r>
        <w:rPr>
          <w:spacing w:val="-14"/>
        </w:rPr>
        <w:t> </w:t>
      </w:r>
      <w:r>
        <w:rPr/>
        <w:t>tüketici</w:t>
      </w:r>
      <w:r>
        <w:rPr>
          <w:spacing w:val="-13"/>
        </w:rPr>
        <w:t> </w:t>
      </w:r>
      <w:r>
        <w:rPr/>
        <w:t>incelemelerinin</w:t>
      </w:r>
      <w:r>
        <w:rPr>
          <w:spacing w:val="-14"/>
        </w:rPr>
        <w:t> </w:t>
      </w:r>
      <w:r>
        <w:rPr/>
        <w:t>oranı</w:t>
      </w:r>
      <w:r>
        <w:rPr>
          <w:spacing w:val="-13"/>
        </w:rPr>
        <w:t> </w:t>
      </w:r>
      <w:r>
        <w:rPr/>
        <w:t>ve</w:t>
      </w:r>
      <w:r>
        <w:rPr>
          <w:spacing w:val="-14"/>
        </w:rPr>
        <w:t> </w:t>
      </w:r>
      <w:r>
        <w:rPr/>
        <w:t>değerliği) kullanmaktadır (Chen ve Xie, 2005; Chevalier ve Mayzlin, 2006; Clemons vd., 2006; Dellarocas vd., 2007; Duan vd., 2008b; Zhu ve Zhang,</w:t>
      </w:r>
      <w:r>
        <w:rPr>
          <w:spacing w:val="-1"/>
        </w:rPr>
        <w:t> </w:t>
      </w:r>
      <w:r>
        <w:rPr/>
        <w:t>2010).</w:t>
      </w:r>
    </w:p>
    <w:p>
      <w:pPr>
        <w:pStyle w:val="BodyText"/>
        <w:spacing w:line="360" w:lineRule="auto"/>
        <w:ind w:right="308" w:firstLine="708"/>
      </w:pPr>
      <w:r>
        <w:rPr/>
        <w:t>Tezimizin</w:t>
      </w:r>
      <w:r>
        <w:rPr>
          <w:spacing w:val="-18"/>
        </w:rPr>
        <w:t> </w:t>
      </w:r>
      <w:r>
        <w:rPr/>
        <w:t>araştırma</w:t>
      </w:r>
      <w:r>
        <w:rPr>
          <w:spacing w:val="-18"/>
        </w:rPr>
        <w:t> </w:t>
      </w:r>
      <w:r>
        <w:rPr/>
        <w:t>konusu</w:t>
      </w:r>
      <w:r>
        <w:rPr>
          <w:spacing w:val="-17"/>
        </w:rPr>
        <w:t> </w:t>
      </w:r>
      <w:r>
        <w:rPr/>
        <w:t>elektronik</w:t>
      </w:r>
      <w:r>
        <w:rPr>
          <w:spacing w:val="-16"/>
        </w:rPr>
        <w:t> </w:t>
      </w:r>
      <w:r>
        <w:rPr/>
        <w:t>ağızdan</w:t>
      </w:r>
      <w:r>
        <w:rPr>
          <w:spacing w:val="-16"/>
        </w:rPr>
        <w:t> </w:t>
      </w:r>
      <w:r>
        <w:rPr/>
        <w:t>ağıza</w:t>
      </w:r>
      <w:r>
        <w:rPr>
          <w:spacing w:val="-18"/>
        </w:rPr>
        <w:t> </w:t>
      </w:r>
      <w:r>
        <w:rPr/>
        <w:t>iletişim</w:t>
      </w:r>
      <w:r>
        <w:rPr>
          <w:spacing w:val="-16"/>
        </w:rPr>
        <w:t> </w:t>
      </w:r>
      <w:r>
        <w:rPr/>
        <w:t>etkisini</w:t>
      </w:r>
      <w:r>
        <w:rPr>
          <w:spacing w:val="-17"/>
        </w:rPr>
        <w:t> </w:t>
      </w:r>
      <w:r>
        <w:rPr/>
        <w:t>pazar</w:t>
      </w:r>
      <w:r>
        <w:rPr>
          <w:spacing w:val="-15"/>
        </w:rPr>
        <w:t> </w:t>
      </w:r>
      <w:r>
        <w:rPr/>
        <w:t>düzeyinde irdelemek olduğundan, bireysel düzey araştırmaları dahil etmeden sadece pazar düzeyi araştırmaları üzerine bir literatür taraması gerçekleştirilerek elektronik ağızdan ağıza iletişimin bu bağlamda önemi ortaya konmaya çalışılmıştır. Bu maksatla, öncelikli olarak, literatür taramasının SCI, SSCI ve ESCI gibi veri tabanlarını bünyesinde barındıran Web of Science üzerinden, 2019 yılı sonuna kadar yayınlanmış makaleler arasından yapılmasına karar verilmiştir. Sonrasında ise, Cheung ve Thadani’nin (2012), King vd.nin (2014) ve Özbük ve Aksoy’un (2017) çalışmalarından yola çıkarak belirlenen anahtar kelimelerle aramalar</w:t>
      </w:r>
      <w:r>
        <w:rPr>
          <w:spacing w:val="-16"/>
        </w:rPr>
        <w:t> </w:t>
      </w:r>
      <w:r>
        <w:rPr/>
        <w:t>gerçekleştirilmiştir.</w:t>
      </w:r>
      <w:r>
        <w:rPr>
          <w:spacing w:val="-16"/>
        </w:rPr>
        <w:t> </w:t>
      </w:r>
      <w:r>
        <w:rPr/>
        <w:t>Başlangıçta,</w:t>
      </w:r>
      <w:r>
        <w:rPr>
          <w:spacing w:val="-15"/>
        </w:rPr>
        <w:t> </w:t>
      </w:r>
      <w:r>
        <w:rPr/>
        <w:t>"satış</w:t>
      </w:r>
      <w:r>
        <w:rPr>
          <w:spacing w:val="-14"/>
        </w:rPr>
        <w:t> </w:t>
      </w:r>
      <w:r>
        <w:rPr/>
        <w:t>(sales)"</w:t>
      </w:r>
      <w:r>
        <w:rPr>
          <w:spacing w:val="-15"/>
        </w:rPr>
        <w:t> </w:t>
      </w:r>
      <w:r>
        <w:rPr/>
        <w:t>ve</w:t>
      </w:r>
      <w:r>
        <w:rPr>
          <w:spacing w:val="-16"/>
        </w:rPr>
        <w:t> </w:t>
      </w:r>
      <w:r>
        <w:rPr/>
        <w:t>"elektronik</w:t>
      </w:r>
      <w:r>
        <w:rPr>
          <w:spacing w:val="-14"/>
        </w:rPr>
        <w:t> </w:t>
      </w:r>
      <w:r>
        <w:rPr/>
        <w:t>ağızdan</w:t>
      </w:r>
      <w:r>
        <w:rPr>
          <w:spacing w:val="-15"/>
        </w:rPr>
        <w:t> </w:t>
      </w:r>
      <w:r>
        <w:rPr/>
        <w:t>ağıza</w:t>
      </w:r>
      <w:r>
        <w:rPr>
          <w:spacing w:val="-17"/>
        </w:rPr>
        <w:t> </w:t>
      </w:r>
      <w:r>
        <w:rPr/>
        <w:t>iletişim (e-wom)" arama kelimeleri kullanılmış, daha sonra literatürde elektronik ağızdan ağıza iletişim yerine kullanılan "ürün yorumu (product review)", "online yorum (online review)", "müşteri</w:t>
      </w:r>
      <w:r>
        <w:rPr>
          <w:spacing w:val="-10"/>
        </w:rPr>
        <w:t> </w:t>
      </w:r>
      <w:r>
        <w:rPr/>
        <w:t>yorumu</w:t>
      </w:r>
      <w:r>
        <w:rPr>
          <w:spacing w:val="-10"/>
        </w:rPr>
        <w:t> </w:t>
      </w:r>
      <w:r>
        <w:rPr/>
        <w:t>(customer</w:t>
      </w:r>
      <w:r>
        <w:rPr>
          <w:spacing w:val="-10"/>
        </w:rPr>
        <w:t> </w:t>
      </w:r>
      <w:r>
        <w:rPr/>
        <w:t>review)",</w:t>
      </w:r>
      <w:r>
        <w:rPr>
          <w:spacing w:val="-10"/>
        </w:rPr>
        <w:t> </w:t>
      </w:r>
      <w:r>
        <w:rPr/>
        <w:t>"kullanıcı</w:t>
      </w:r>
      <w:r>
        <w:rPr>
          <w:spacing w:val="-9"/>
        </w:rPr>
        <w:t> </w:t>
      </w:r>
      <w:r>
        <w:rPr/>
        <w:t>tarafından</w:t>
      </w:r>
      <w:r>
        <w:rPr>
          <w:spacing w:val="-10"/>
        </w:rPr>
        <w:t> </w:t>
      </w:r>
      <w:r>
        <w:rPr/>
        <w:t>oluşturulan</w:t>
      </w:r>
      <w:r>
        <w:rPr>
          <w:spacing w:val="-11"/>
        </w:rPr>
        <w:t> </w:t>
      </w:r>
      <w:r>
        <w:rPr/>
        <w:t>içerik</w:t>
      </w:r>
      <w:r>
        <w:rPr>
          <w:spacing w:val="-10"/>
        </w:rPr>
        <w:t> </w:t>
      </w:r>
      <w:r>
        <w:rPr/>
        <w:t>(user</w:t>
      </w:r>
      <w:r>
        <w:rPr>
          <w:spacing w:val="-10"/>
        </w:rPr>
        <w:t> </w:t>
      </w:r>
      <w:r>
        <w:rPr/>
        <w:t>generated content)", "online ağızdan ağıza iletişim (online wom)", "online tüketici yorumları (online consumer reviews)", "online tavsiyeler (online recomendations)" ve "online fısıltı (online buzz)" kelime gruplarıyla da aramalar</w:t>
      </w:r>
      <w:r>
        <w:rPr>
          <w:spacing w:val="-3"/>
        </w:rPr>
        <w:t> </w:t>
      </w:r>
      <w:r>
        <w:rPr/>
        <w:t>yapılmıştır.</w:t>
      </w:r>
    </w:p>
    <w:p>
      <w:pPr>
        <w:pStyle w:val="BodyText"/>
        <w:spacing w:line="360" w:lineRule="auto"/>
        <w:ind w:right="308" w:firstLine="708"/>
      </w:pPr>
      <w:r>
        <w:rPr/>
        <w:t>Gerçekleştirilen tarama sonucunda ulaşılan makalelerin özetleri incelenerek konuyla ilgili olmayanlar çıkarılmıştır. Sonuç olarak, pazar düzeyinde elektronik ağızdan ağıza iletişimin etkisini ele alan 154 makaleye ulaşılmıştır.</w:t>
      </w:r>
    </w:p>
    <w:p>
      <w:pPr>
        <w:pStyle w:val="BodyText"/>
        <w:spacing w:line="360" w:lineRule="auto"/>
        <w:ind w:right="310" w:firstLine="708"/>
      </w:pPr>
      <w:r>
        <w:rPr/>
        <w:t>Cheung ve Thadani (2012) ve Özbük ve Aksoy (2017) çalışmalarında elektronik ağızdan ağıza iletişim araştırmalarının 2000 yılı itibariyle yayınlanmaya başladığını belirtmektedirler. Ancak, yapılan ilk çalışmalar bireysel düzey analizlere dahil olup, pazar düzeyi analizlerini içeren çalışmaların ilki 2005 yılında "Marketing Science"da yayınlanan Chen ve Xie'ye (2005) ait makaledir. Şekil 6'da görüldüğü üzere, elektronik ağızdan ağıza</w:t>
      </w:r>
    </w:p>
    <w:p>
      <w:pPr>
        <w:spacing w:after="0" w:line="360" w:lineRule="auto"/>
        <w:sectPr>
          <w:pgSz w:w="12240" w:h="15840"/>
          <w:pgMar w:header="718" w:footer="0" w:top="1300" w:bottom="280" w:left="1720" w:right="820"/>
        </w:sectPr>
      </w:pPr>
    </w:p>
    <w:p>
      <w:pPr>
        <w:pStyle w:val="BodyText"/>
        <w:spacing w:line="360" w:lineRule="auto" w:before="100"/>
        <w:ind w:right="310"/>
      </w:pPr>
      <w:r>
        <w:rPr/>
        <w:t>iletişimin etkisini pazar düzeyinde inceleyen makale sayısı yıldan yıla artmıştır. Özellikle 2013’ten sonra dikkat çekici bir artış mevcuttur.</w:t>
      </w:r>
    </w:p>
    <w:p>
      <w:pPr>
        <w:pStyle w:val="BodyText"/>
        <w:spacing w:before="6"/>
        <w:ind w:left="0"/>
        <w:jc w:val="left"/>
        <w:rPr>
          <w:sz w:val="10"/>
        </w:rPr>
      </w:pPr>
      <w:r>
        <w:rPr/>
        <w:drawing>
          <wp:anchor distT="0" distB="0" distL="0" distR="0" allowOverlap="1" layoutInCell="1" locked="0" behindDoc="0" simplePos="0" relativeHeight="33">
            <wp:simplePos x="0" y="0"/>
            <wp:positionH relativeFrom="page">
              <wp:posOffset>1440180</wp:posOffset>
            </wp:positionH>
            <wp:positionV relativeFrom="paragraph">
              <wp:posOffset>102210</wp:posOffset>
            </wp:positionV>
            <wp:extent cx="4728474" cy="2389631"/>
            <wp:effectExtent l="0" t="0" r="0" b="0"/>
            <wp:wrapTopAndBottom/>
            <wp:docPr id="15" name="image12.png"/>
            <wp:cNvGraphicFramePr>
              <a:graphicFrameLocks noChangeAspect="1"/>
            </wp:cNvGraphicFramePr>
            <a:graphic>
              <a:graphicData uri="http://schemas.openxmlformats.org/drawingml/2006/picture">
                <pic:pic>
                  <pic:nvPicPr>
                    <pic:cNvPr id="16" name="image12.png"/>
                    <pic:cNvPicPr/>
                  </pic:nvPicPr>
                  <pic:blipFill>
                    <a:blip r:embed="rId18" cstate="print"/>
                    <a:stretch>
                      <a:fillRect/>
                    </a:stretch>
                  </pic:blipFill>
                  <pic:spPr>
                    <a:xfrm>
                      <a:off x="0" y="0"/>
                      <a:ext cx="4728474" cy="2389631"/>
                    </a:xfrm>
                    <a:prstGeom prst="rect">
                      <a:avLst/>
                    </a:prstGeom>
                  </pic:spPr>
                </pic:pic>
              </a:graphicData>
            </a:graphic>
          </wp:anchor>
        </w:drawing>
      </w:r>
    </w:p>
    <w:p>
      <w:pPr>
        <w:pStyle w:val="BodyText"/>
        <w:ind w:right="319"/>
      </w:pPr>
      <w:r>
        <w:rPr>
          <w:b/>
        </w:rPr>
        <w:t>Şekil 6: </w:t>
      </w:r>
      <w:r>
        <w:rPr/>
        <w:t>Elektronik Ağızdan Ağıza İletişimin Etkisini Pazar Düzeyinde İnceleyen Makale Sayısının Yıllara Göre Dağılımı (Web of Science veri tabanı)</w:t>
      </w:r>
    </w:p>
    <w:p>
      <w:pPr>
        <w:pStyle w:val="BodyText"/>
        <w:spacing w:line="360" w:lineRule="auto" w:before="120"/>
        <w:ind w:right="310" w:firstLine="708"/>
      </w:pPr>
      <w:r>
        <w:rPr/>
        <w:t>Konu ile ilgili ulaşılan makalelerin yayınlandığı dergilerin dağılımı Tablo 3'te görülmektedir. Tabloda görüldüğü üzere, ilgili makaleler pazarlama dışında yönetim</w:t>
      </w:r>
      <w:r>
        <w:rPr>
          <w:spacing w:val="-20"/>
        </w:rPr>
        <w:t> </w:t>
      </w:r>
      <w:r>
        <w:rPr/>
        <w:t>bilişim sistemleri, turizm ve hatta mühendislik gibi çok farklı disiplinlere odaklanmış dergilerde de yayınlanmıştır. En fazla makalenin pazarlama kapsamında olmayan "Decision Support Systems"da yayınlandığı</w:t>
      </w:r>
      <w:r>
        <w:rPr>
          <w:spacing w:val="-2"/>
        </w:rPr>
        <w:t> </w:t>
      </w:r>
      <w:r>
        <w:rPr/>
        <w:t>görülmektedir.</w:t>
      </w:r>
    </w:p>
    <w:p>
      <w:pPr>
        <w:pStyle w:val="BodyText"/>
        <w:spacing w:before="160"/>
        <w:ind w:right="319"/>
      </w:pPr>
      <w:r>
        <w:rPr>
          <w:b/>
        </w:rPr>
        <w:t>Tablo 3: </w:t>
      </w:r>
      <w:r>
        <w:rPr/>
        <w:t>Elektronik Ağızdan Ağıza İletişimin Etkisini Pazar Düzeyinde İnceleyen Makalelerin Dergilere Göre Dağılımı (Web of Science veri tabanı)</w:t>
      </w:r>
    </w:p>
    <w:tbl>
      <w:tblPr>
        <w:tblW w:w="0" w:type="auto"/>
        <w:jc w:val="left"/>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
        <w:gridCol w:w="6581"/>
        <w:gridCol w:w="1773"/>
      </w:tblGrid>
      <w:tr>
        <w:trPr>
          <w:trHeight w:val="460" w:hRule="atLeast"/>
        </w:trPr>
        <w:tc>
          <w:tcPr>
            <w:tcW w:w="437" w:type="dxa"/>
            <w:tcBorders>
              <w:top w:val="single" w:sz="4" w:space="0" w:color="000000"/>
              <w:bottom w:val="single" w:sz="4" w:space="0" w:color="7E7E7E"/>
            </w:tcBorders>
          </w:tcPr>
          <w:p>
            <w:pPr>
              <w:pStyle w:val="TableParagraph"/>
              <w:ind w:left="0" w:right="119"/>
              <w:jc w:val="center"/>
              <w:rPr>
                <w:b/>
                <w:sz w:val="20"/>
              </w:rPr>
            </w:pPr>
            <w:r>
              <w:rPr>
                <w:b/>
                <w:w w:val="99"/>
                <w:sz w:val="20"/>
              </w:rPr>
              <w:t>#</w:t>
            </w:r>
          </w:p>
        </w:tc>
        <w:tc>
          <w:tcPr>
            <w:tcW w:w="6581" w:type="dxa"/>
            <w:tcBorders>
              <w:top w:val="single" w:sz="4" w:space="0" w:color="000000"/>
              <w:bottom w:val="single" w:sz="4" w:space="0" w:color="7E7E7E"/>
            </w:tcBorders>
          </w:tcPr>
          <w:p>
            <w:pPr>
              <w:pStyle w:val="TableParagraph"/>
              <w:rPr>
                <w:b/>
                <w:sz w:val="20"/>
              </w:rPr>
            </w:pPr>
            <w:r>
              <w:rPr>
                <w:b/>
                <w:sz w:val="20"/>
              </w:rPr>
              <w:t>DERGİ ADI</w:t>
            </w:r>
          </w:p>
        </w:tc>
        <w:tc>
          <w:tcPr>
            <w:tcW w:w="1773" w:type="dxa"/>
            <w:tcBorders>
              <w:top w:val="single" w:sz="4" w:space="0" w:color="000000"/>
              <w:bottom w:val="single" w:sz="4" w:space="0" w:color="7E7E7E"/>
            </w:tcBorders>
          </w:tcPr>
          <w:p>
            <w:pPr>
              <w:pStyle w:val="TableParagraph"/>
              <w:spacing w:line="230" w:lineRule="atLeast"/>
              <w:ind w:left="747"/>
              <w:rPr>
                <w:b/>
                <w:sz w:val="20"/>
              </w:rPr>
            </w:pPr>
            <w:r>
              <w:rPr>
                <w:b/>
                <w:w w:val="95"/>
                <w:sz w:val="20"/>
              </w:rPr>
              <w:t>MAKALE </w:t>
            </w:r>
            <w:r>
              <w:rPr>
                <w:b/>
                <w:sz w:val="20"/>
              </w:rPr>
              <w:t>SAYISI</w:t>
            </w:r>
          </w:p>
        </w:tc>
      </w:tr>
      <w:tr>
        <w:trPr>
          <w:trHeight w:val="290" w:hRule="atLeast"/>
        </w:trPr>
        <w:tc>
          <w:tcPr>
            <w:tcW w:w="437" w:type="dxa"/>
            <w:tcBorders>
              <w:top w:val="single" w:sz="4" w:space="0" w:color="7E7E7E"/>
              <w:right w:val="single" w:sz="4" w:space="0" w:color="7E7E7E"/>
            </w:tcBorders>
            <w:shd w:val="clear" w:color="auto" w:fill="F1F1F1"/>
          </w:tcPr>
          <w:p>
            <w:pPr>
              <w:pStyle w:val="TableParagraph"/>
              <w:ind w:left="0" w:right="114"/>
              <w:jc w:val="center"/>
              <w:rPr>
                <w:b/>
                <w:sz w:val="20"/>
              </w:rPr>
            </w:pPr>
            <w:r>
              <w:rPr>
                <w:b/>
                <w:w w:val="99"/>
                <w:sz w:val="20"/>
              </w:rPr>
              <w:t>1</w:t>
            </w:r>
          </w:p>
        </w:tc>
        <w:tc>
          <w:tcPr>
            <w:tcW w:w="6581" w:type="dxa"/>
            <w:tcBorders>
              <w:top w:val="single" w:sz="4" w:space="0" w:color="7E7E7E"/>
              <w:left w:val="single" w:sz="4" w:space="0" w:color="7E7E7E"/>
            </w:tcBorders>
            <w:shd w:val="clear" w:color="auto" w:fill="F1F1F1"/>
          </w:tcPr>
          <w:p>
            <w:pPr>
              <w:pStyle w:val="TableParagraph"/>
              <w:ind w:left="102"/>
              <w:rPr>
                <w:sz w:val="20"/>
              </w:rPr>
            </w:pPr>
            <w:r>
              <w:rPr>
                <w:sz w:val="20"/>
              </w:rPr>
              <w:t>DECISION SUPPORT SYSTEMS</w:t>
            </w:r>
          </w:p>
        </w:tc>
        <w:tc>
          <w:tcPr>
            <w:tcW w:w="1773" w:type="dxa"/>
            <w:tcBorders>
              <w:top w:val="single" w:sz="4" w:space="0" w:color="7E7E7E"/>
            </w:tcBorders>
            <w:shd w:val="clear" w:color="auto" w:fill="F1F1F1"/>
          </w:tcPr>
          <w:p>
            <w:pPr>
              <w:pStyle w:val="TableParagraph"/>
              <w:ind w:left="747"/>
              <w:rPr>
                <w:sz w:val="20"/>
              </w:rPr>
            </w:pPr>
            <w:r>
              <w:rPr>
                <w:sz w:val="20"/>
              </w:rPr>
              <w:t>14</w:t>
            </w:r>
          </w:p>
        </w:tc>
      </w:tr>
      <w:tr>
        <w:trPr>
          <w:trHeight w:val="290" w:hRule="atLeast"/>
        </w:trPr>
        <w:tc>
          <w:tcPr>
            <w:tcW w:w="437" w:type="dxa"/>
            <w:tcBorders>
              <w:right w:val="single" w:sz="4" w:space="0" w:color="7E7E7E"/>
            </w:tcBorders>
          </w:tcPr>
          <w:p>
            <w:pPr>
              <w:pStyle w:val="TableParagraph"/>
              <w:spacing w:line="228" w:lineRule="exact"/>
              <w:ind w:left="0" w:right="114"/>
              <w:jc w:val="center"/>
              <w:rPr>
                <w:b/>
                <w:sz w:val="20"/>
              </w:rPr>
            </w:pPr>
            <w:r>
              <w:rPr>
                <w:b/>
                <w:w w:val="99"/>
                <w:sz w:val="20"/>
              </w:rPr>
              <w:t>2</w:t>
            </w:r>
          </w:p>
        </w:tc>
        <w:tc>
          <w:tcPr>
            <w:tcW w:w="6581" w:type="dxa"/>
            <w:tcBorders>
              <w:left w:val="single" w:sz="4" w:space="0" w:color="7E7E7E"/>
            </w:tcBorders>
          </w:tcPr>
          <w:p>
            <w:pPr>
              <w:pStyle w:val="TableParagraph"/>
              <w:spacing w:line="228" w:lineRule="exact"/>
              <w:ind w:left="102"/>
              <w:rPr>
                <w:sz w:val="20"/>
              </w:rPr>
            </w:pPr>
            <w:r>
              <w:rPr>
                <w:sz w:val="20"/>
              </w:rPr>
              <w:t>INTERNATIONAL JOURNAL OF HOSPITALITY MANAGEMENT</w:t>
            </w:r>
          </w:p>
        </w:tc>
        <w:tc>
          <w:tcPr>
            <w:tcW w:w="1773" w:type="dxa"/>
          </w:tcPr>
          <w:p>
            <w:pPr>
              <w:pStyle w:val="TableParagraph"/>
              <w:spacing w:line="228" w:lineRule="exact"/>
              <w:ind w:left="747"/>
              <w:rPr>
                <w:sz w:val="20"/>
              </w:rPr>
            </w:pPr>
            <w:r>
              <w:rPr>
                <w:w w:val="99"/>
                <w:sz w:val="20"/>
              </w:rPr>
              <w:t>7</w:t>
            </w:r>
          </w:p>
        </w:tc>
      </w:tr>
      <w:tr>
        <w:trPr>
          <w:trHeight w:val="287" w:hRule="atLeast"/>
        </w:trPr>
        <w:tc>
          <w:tcPr>
            <w:tcW w:w="437" w:type="dxa"/>
            <w:tcBorders>
              <w:right w:val="single" w:sz="4" w:space="0" w:color="7E7E7E"/>
            </w:tcBorders>
            <w:shd w:val="clear" w:color="auto" w:fill="F1F1F1"/>
          </w:tcPr>
          <w:p>
            <w:pPr>
              <w:pStyle w:val="TableParagraph"/>
              <w:spacing w:line="228" w:lineRule="exact"/>
              <w:ind w:left="0" w:right="114"/>
              <w:jc w:val="center"/>
              <w:rPr>
                <w:b/>
                <w:sz w:val="20"/>
              </w:rPr>
            </w:pPr>
            <w:r>
              <w:rPr>
                <w:b/>
                <w:w w:val="99"/>
                <w:sz w:val="20"/>
              </w:rPr>
              <w:t>3</w:t>
            </w:r>
          </w:p>
        </w:tc>
        <w:tc>
          <w:tcPr>
            <w:tcW w:w="6581" w:type="dxa"/>
            <w:tcBorders>
              <w:left w:val="single" w:sz="4" w:space="0" w:color="7E7E7E"/>
            </w:tcBorders>
            <w:shd w:val="clear" w:color="auto" w:fill="F1F1F1"/>
          </w:tcPr>
          <w:p>
            <w:pPr>
              <w:pStyle w:val="TableParagraph"/>
              <w:spacing w:line="228" w:lineRule="exact"/>
              <w:ind w:left="102"/>
              <w:rPr>
                <w:sz w:val="20"/>
              </w:rPr>
            </w:pPr>
            <w:r>
              <w:rPr>
                <w:sz w:val="20"/>
              </w:rPr>
              <w:t>MARKETING SCIENCE</w:t>
            </w:r>
          </w:p>
        </w:tc>
        <w:tc>
          <w:tcPr>
            <w:tcW w:w="1773" w:type="dxa"/>
            <w:shd w:val="clear" w:color="auto" w:fill="F1F1F1"/>
          </w:tcPr>
          <w:p>
            <w:pPr>
              <w:pStyle w:val="TableParagraph"/>
              <w:spacing w:line="228" w:lineRule="exact"/>
              <w:ind w:left="747"/>
              <w:rPr>
                <w:sz w:val="20"/>
              </w:rPr>
            </w:pPr>
            <w:r>
              <w:rPr>
                <w:w w:val="99"/>
                <w:sz w:val="20"/>
              </w:rPr>
              <w:t>6</w:t>
            </w:r>
          </w:p>
        </w:tc>
      </w:tr>
      <w:tr>
        <w:trPr>
          <w:trHeight w:val="290" w:hRule="atLeast"/>
        </w:trPr>
        <w:tc>
          <w:tcPr>
            <w:tcW w:w="437" w:type="dxa"/>
            <w:tcBorders>
              <w:right w:val="single" w:sz="4" w:space="0" w:color="7E7E7E"/>
            </w:tcBorders>
          </w:tcPr>
          <w:p>
            <w:pPr>
              <w:pStyle w:val="TableParagraph"/>
              <w:ind w:left="0" w:right="114"/>
              <w:jc w:val="center"/>
              <w:rPr>
                <w:b/>
                <w:sz w:val="20"/>
              </w:rPr>
            </w:pPr>
            <w:r>
              <w:rPr>
                <w:b/>
                <w:w w:val="99"/>
                <w:sz w:val="20"/>
              </w:rPr>
              <w:t>4</w:t>
            </w:r>
          </w:p>
        </w:tc>
        <w:tc>
          <w:tcPr>
            <w:tcW w:w="6581" w:type="dxa"/>
            <w:tcBorders>
              <w:left w:val="single" w:sz="4" w:space="0" w:color="7E7E7E"/>
            </w:tcBorders>
          </w:tcPr>
          <w:p>
            <w:pPr>
              <w:pStyle w:val="TableParagraph"/>
              <w:ind w:left="102"/>
              <w:rPr>
                <w:sz w:val="20"/>
              </w:rPr>
            </w:pPr>
            <w:r>
              <w:rPr>
                <w:sz w:val="20"/>
              </w:rPr>
              <w:t>INFORMATION SYSTEMS RESEARCH</w:t>
            </w:r>
          </w:p>
        </w:tc>
        <w:tc>
          <w:tcPr>
            <w:tcW w:w="1773" w:type="dxa"/>
          </w:tcPr>
          <w:p>
            <w:pPr>
              <w:pStyle w:val="TableParagraph"/>
              <w:ind w:left="747"/>
              <w:rPr>
                <w:sz w:val="20"/>
              </w:rPr>
            </w:pPr>
            <w:r>
              <w:rPr>
                <w:w w:val="99"/>
                <w:sz w:val="20"/>
              </w:rPr>
              <w:t>6</w:t>
            </w:r>
          </w:p>
        </w:tc>
      </w:tr>
      <w:tr>
        <w:trPr>
          <w:trHeight w:val="290" w:hRule="atLeast"/>
        </w:trPr>
        <w:tc>
          <w:tcPr>
            <w:tcW w:w="437" w:type="dxa"/>
            <w:tcBorders>
              <w:right w:val="single" w:sz="4" w:space="0" w:color="7E7E7E"/>
            </w:tcBorders>
            <w:shd w:val="clear" w:color="auto" w:fill="F1F1F1"/>
          </w:tcPr>
          <w:p>
            <w:pPr>
              <w:pStyle w:val="TableParagraph"/>
              <w:ind w:left="0" w:right="114"/>
              <w:jc w:val="center"/>
              <w:rPr>
                <w:b/>
                <w:sz w:val="20"/>
              </w:rPr>
            </w:pPr>
            <w:r>
              <w:rPr>
                <w:b/>
                <w:w w:val="99"/>
                <w:sz w:val="20"/>
              </w:rPr>
              <w:t>5</w:t>
            </w:r>
          </w:p>
        </w:tc>
        <w:tc>
          <w:tcPr>
            <w:tcW w:w="6581" w:type="dxa"/>
            <w:tcBorders>
              <w:left w:val="single" w:sz="4" w:space="0" w:color="7E7E7E"/>
            </w:tcBorders>
            <w:shd w:val="clear" w:color="auto" w:fill="F1F1F1"/>
          </w:tcPr>
          <w:p>
            <w:pPr>
              <w:pStyle w:val="TableParagraph"/>
              <w:ind w:left="102"/>
              <w:rPr>
                <w:sz w:val="20"/>
              </w:rPr>
            </w:pPr>
            <w:r>
              <w:rPr>
                <w:sz w:val="20"/>
              </w:rPr>
              <w:t>JOURNAL OF MANAGEMENT INFORMATION SYSTEMS</w:t>
            </w:r>
          </w:p>
        </w:tc>
        <w:tc>
          <w:tcPr>
            <w:tcW w:w="1773" w:type="dxa"/>
            <w:shd w:val="clear" w:color="auto" w:fill="F1F1F1"/>
          </w:tcPr>
          <w:p>
            <w:pPr>
              <w:pStyle w:val="TableParagraph"/>
              <w:ind w:left="747"/>
              <w:rPr>
                <w:sz w:val="20"/>
              </w:rPr>
            </w:pPr>
            <w:r>
              <w:rPr>
                <w:w w:val="99"/>
                <w:sz w:val="20"/>
              </w:rPr>
              <w:t>5</w:t>
            </w:r>
          </w:p>
        </w:tc>
      </w:tr>
      <w:tr>
        <w:trPr>
          <w:trHeight w:val="290" w:hRule="atLeast"/>
        </w:trPr>
        <w:tc>
          <w:tcPr>
            <w:tcW w:w="437" w:type="dxa"/>
            <w:tcBorders>
              <w:right w:val="single" w:sz="4" w:space="0" w:color="7E7E7E"/>
            </w:tcBorders>
          </w:tcPr>
          <w:p>
            <w:pPr>
              <w:pStyle w:val="TableParagraph"/>
              <w:ind w:left="0" w:right="114"/>
              <w:jc w:val="center"/>
              <w:rPr>
                <w:b/>
                <w:sz w:val="20"/>
              </w:rPr>
            </w:pPr>
            <w:r>
              <w:rPr>
                <w:b/>
                <w:w w:val="99"/>
                <w:sz w:val="20"/>
              </w:rPr>
              <w:t>6</w:t>
            </w:r>
          </w:p>
        </w:tc>
        <w:tc>
          <w:tcPr>
            <w:tcW w:w="6581" w:type="dxa"/>
            <w:tcBorders>
              <w:left w:val="single" w:sz="4" w:space="0" w:color="7E7E7E"/>
            </w:tcBorders>
          </w:tcPr>
          <w:p>
            <w:pPr>
              <w:pStyle w:val="TableParagraph"/>
              <w:ind w:left="102"/>
              <w:rPr>
                <w:sz w:val="20"/>
              </w:rPr>
            </w:pPr>
            <w:r>
              <w:rPr>
                <w:sz w:val="20"/>
              </w:rPr>
              <w:t>JOURNAL OF INTERACTIVE MARKETING</w:t>
            </w:r>
          </w:p>
        </w:tc>
        <w:tc>
          <w:tcPr>
            <w:tcW w:w="1773" w:type="dxa"/>
          </w:tcPr>
          <w:p>
            <w:pPr>
              <w:pStyle w:val="TableParagraph"/>
              <w:ind w:left="747"/>
              <w:rPr>
                <w:sz w:val="20"/>
              </w:rPr>
            </w:pPr>
            <w:r>
              <w:rPr>
                <w:w w:val="99"/>
                <w:sz w:val="20"/>
              </w:rPr>
              <w:t>5</w:t>
            </w:r>
          </w:p>
        </w:tc>
      </w:tr>
      <w:tr>
        <w:trPr>
          <w:trHeight w:val="290" w:hRule="atLeast"/>
        </w:trPr>
        <w:tc>
          <w:tcPr>
            <w:tcW w:w="437" w:type="dxa"/>
            <w:tcBorders>
              <w:right w:val="single" w:sz="4" w:space="0" w:color="7E7E7E"/>
            </w:tcBorders>
            <w:shd w:val="clear" w:color="auto" w:fill="F1F1F1"/>
          </w:tcPr>
          <w:p>
            <w:pPr>
              <w:pStyle w:val="TableParagraph"/>
              <w:ind w:left="0" w:right="114"/>
              <w:jc w:val="center"/>
              <w:rPr>
                <w:b/>
                <w:sz w:val="20"/>
              </w:rPr>
            </w:pPr>
            <w:r>
              <w:rPr>
                <w:b/>
                <w:w w:val="99"/>
                <w:sz w:val="20"/>
              </w:rPr>
              <w:t>7</w:t>
            </w:r>
          </w:p>
        </w:tc>
        <w:tc>
          <w:tcPr>
            <w:tcW w:w="6581" w:type="dxa"/>
            <w:tcBorders>
              <w:left w:val="single" w:sz="4" w:space="0" w:color="7E7E7E"/>
            </w:tcBorders>
            <w:shd w:val="clear" w:color="auto" w:fill="F1F1F1"/>
          </w:tcPr>
          <w:p>
            <w:pPr>
              <w:pStyle w:val="TableParagraph"/>
              <w:ind w:left="102"/>
              <w:rPr>
                <w:sz w:val="20"/>
              </w:rPr>
            </w:pPr>
            <w:r>
              <w:rPr>
                <w:sz w:val="20"/>
              </w:rPr>
              <w:t>ELECTRONIC COMMERCE RESEARCH AND APPLICATIONS</w:t>
            </w:r>
          </w:p>
        </w:tc>
        <w:tc>
          <w:tcPr>
            <w:tcW w:w="1773" w:type="dxa"/>
            <w:shd w:val="clear" w:color="auto" w:fill="F1F1F1"/>
          </w:tcPr>
          <w:p>
            <w:pPr>
              <w:pStyle w:val="TableParagraph"/>
              <w:ind w:left="747"/>
              <w:rPr>
                <w:sz w:val="20"/>
              </w:rPr>
            </w:pPr>
            <w:r>
              <w:rPr>
                <w:w w:val="99"/>
                <w:sz w:val="20"/>
              </w:rPr>
              <w:t>4</w:t>
            </w:r>
          </w:p>
        </w:tc>
      </w:tr>
      <w:tr>
        <w:trPr>
          <w:trHeight w:val="290" w:hRule="atLeast"/>
        </w:trPr>
        <w:tc>
          <w:tcPr>
            <w:tcW w:w="437" w:type="dxa"/>
            <w:tcBorders>
              <w:right w:val="single" w:sz="4" w:space="0" w:color="7E7E7E"/>
            </w:tcBorders>
          </w:tcPr>
          <w:p>
            <w:pPr>
              <w:pStyle w:val="TableParagraph"/>
              <w:spacing w:line="228" w:lineRule="exact"/>
              <w:ind w:left="0" w:right="114"/>
              <w:jc w:val="center"/>
              <w:rPr>
                <w:b/>
                <w:sz w:val="20"/>
              </w:rPr>
            </w:pPr>
            <w:r>
              <w:rPr>
                <w:b/>
                <w:w w:val="99"/>
                <w:sz w:val="20"/>
              </w:rPr>
              <w:t>8</w:t>
            </w:r>
          </w:p>
        </w:tc>
        <w:tc>
          <w:tcPr>
            <w:tcW w:w="6581" w:type="dxa"/>
            <w:tcBorders>
              <w:left w:val="single" w:sz="4" w:space="0" w:color="7E7E7E"/>
            </w:tcBorders>
          </w:tcPr>
          <w:p>
            <w:pPr>
              <w:pStyle w:val="TableParagraph"/>
              <w:spacing w:line="228" w:lineRule="exact"/>
              <w:ind w:left="102"/>
              <w:rPr>
                <w:sz w:val="20"/>
              </w:rPr>
            </w:pPr>
            <w:r>
              <w:rPr>
                <w:sz w:val="20"/>
              </w:rPr>
              <w:t>JOURNAL OF RETAILING</w:t>
            </w:r>
          </w:p>
        </w:tc>
        <w:tc>
          <w:tcPr>
            <w:tcW w:w="1773" w:type="dxa"/>
          </w:tcPr>
          <w:p>
            <w:pPr>
              <w:pStyle w:val="TableParagraph"/>
              <w:spacing w:line="228" w:lineRule="exact"/>
              <w:ind w:left="747"/>
              <w:rPr>
                <w:sz w:val="20"/>
              </w:rPr>
            </w:pPr>
            <w:r>
              <w:rPr>
                <w:w w:val="99"/>
                <w:sz w:val="20"/>
              </w:rPr>
              <w:t>4</w:t>
            </w:r>
          </w:p>
        </w:tc>
      </w:tr>
      <w:tr>
        <w:trPr>
          <w:trHeight w:val="287" w:hRule="atLeast"/>
        </w:trPr>
        <w:tc>
          <w:tcPr>
            <w:tcW w:w="437" w:type="dxa"/>
            <w:tcBorders>
              <w:right w:val="single" w:sz="4" w:space="0" w:color="7E7E7E"/>
            </w:tcBorders>
            <w:shd w:val="clear" w:color="auto" w:fill="F1F1F1"/>
          </w:tcPr>
          <w:p>
            <w:pPr>
              <w:pStyle w:val="TableParagraph"/>
              <w:spacing w:line="228" w:lineRule="exact"/>
              <w:ind w:left="0" w:right="114"/>
              <w:jc w:val="center"/>
              <w:rPr>
                <w:b/>
                <w:sz w:val="20"/>
              </w:rPr>
            </w:pPr>
            <w:r>
              <w:rPr>
                <w:b/>
                <w:w w:val="99"/>
                <w:sz w:val="20"/>
              </w:rPr>
              <w:t>9</w:t>
            </w:r>
          </w:p>
        </w:tc>
        <w:tc>
          <w:tcPr>
            <w:tcW w:w="6581" w:type="dxa"/>
            <w:tcBorders>
              <w:left w:val="single" w:sz="4" w:space="0" w:color="7E7E7E"/>
            </w:tcBorders>
            <w:shd w:val="clear" w:color="auto" w:fill="F1F1F1"/>
          </w:tcPr>
          <w:p>
            <w:pPr>
              <w:pStyle w:val="TableParagraph"/>
              <w:spacing w:line="228" w:lineRule="exact"/>
              <w:ind w:left="102"/>
              <w:rPr>
                <w:sz w:val="20"/>
              </w:rPr>
            </w:pPr>
            <w:r>
              <w:rPr>
                <w:sz w:val="20"/>
              </w:rPr>
              <w:t>INTERNATIONAL JOURNAL OF ELECTRONIC COMMERCE</w:t>
            </w:r>
          </w:p>
        </w:tc>
        <w:tc>
          <w:tcPr>
            <w:tcW w:w="1773" w:type="dxa"/>
            <w:shd w:val="clear" w:color="auto" w:fill="F1F1F1"/>
          </w:tcPr>
          <w:p>
            <w:pPr>
              <w:pStyle w:val="TableParagraph"/>
              <w:spacing w:line="228" w:lineRule="exact"/>
              <w:ind w:left="747"/>
              <w:rPr>
                <w:sz w:val="20"/>
              </w:rPr>
            </w:pPr>
            <w:r>
              <w:rPr>
                <w:w w:val="99"/>
                <w:sz w:val="20"/>
              </w:rPr>
              <w:t>4</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10</w:t>
            </w:r>
          </w:p>
        </w:tc>
        <w:tc>
          <w:tcPr>
            <w:tcW w:w="6581" w:type="dxa"/>
            <w:tcBorders>
              <w:left w:val="single" w:sz="4" w:space="0" w:color="7E7E7E"/>
            </w:tcBorders>
          </w:tcPr>
          <w:p>
            <w:pPr>
              <w:pStyle w:val="TableParagraph"/>
              <w:ind w:left="102"/>
              <w:rPr>
                <w:sz w:val="20"/>
              </w:rPr>
            </w:pPr>
            <w:r>
              <w:rPr>
                <w:sz w:val="20"/>
              </w:rPr>
              <w:t>JOURNAL OF MARKETING RESEARCH</w:t>
            </w:r>
          </w:p>
        </w:tc>
        <w:tc>
          <w:tcPr>
            <w:tcW w:w="1773" w:type="dxa"/>
          </w:tcPr>
          <w:p>
            <w:pPr>
              <w:pStyle w:val="TableParagraph"/>
              <w:ind w:left="747"/>
              <w:rPr>
                <w:sz w:val="20"/>
              </w:rPr>
            </w:pPr>
            <w:r>
              <w:rPr>
                <w:w w:val="99"/>
                <w:sz w:val="20"/>
              </w:rPr>
              <w:t>4</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11</w:t>
            </w:r>
          </w:p>
        </w:tc>
        <w:tc>
          <w:tcPr>
            <w:tcW w:w="6581" w:type="dxa"/>
            <w:tcBorders>
              <w:left w:val="single" w:sz="4" w:space="0" w:color="7E7E7E"/>
            </w:tcBorders>
            <w:shd w:val="clear" w:color="auto" w:fill="F1F1F1"/>
          </w:tcPr>
          <w:p>
            <w:pPr>
              <w:pStyle w:val="TableParagraph"/>
              <w:ind w:left="102"/>
              <w:rPr>
                <w:sz w:val="20"/>
              </w:rPr>
            </w:pPr>
            <w:r>
              <w:rPr>
                <w:sz w:val="20"/>
              </w:rPr>
              <w:t>INFORMATION &amp; MANAGEMENT</w:t>
            </w:r>
          </w:p>
        </w:tc>
        <w:tc>
          <w:tcPr>
            <w:tcW w:w="1773" w:type="dxa"/>
            <w:shd w:val="clear" w:color="auto" w:fill="F1F1F1"/>
          </w:tcPr>
          <w:p>
            <w:pPr>
              <w:pStyle w:val="TableParagraph"/>
              <w:ind w:left="747"/>
              <w:rPr>
                <w:sz w:val="20"/>
              </w:rPr>
            </w:pPr>
            <w:r>
              <w:rPr>
                <w:w w:val="99"/>
                <w:sz w:val="20"/>
              </w:rPr>
              <w:t>4</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12</w:t>
            </w:r>
          </w:p>
        </w:tc>
        <w:tc>
          <w:tcPr>
            <w:tcW w:w="6581" w:type="dxa"/>
            <w:tcBorders>
              <w:left w:val="single" w:sz="4" w:space="0" w:color="7E7E7E"/>
            </w:tcBorders>
          </w:tcPr>
          <w:p>
            <w:pPr>
              <w:pStyle w:val="TableParagraph"/>
              <w:ind w:left="102"/>
              <w:rPr>
                <w:sz w:val="20"/>
              </w:rPr>
            </w:pPr>
            <w:r>
              <w:rPr>
                <w:sz w:val="20"/>
              </w:rPr>
              <w:t>MANAGEMENT SCIENCE</w:t>
            </w:r>
          </w:p>
        </w:tc>
        <w:tc>
          <w:tcPr>
            <w:tcW w:w="1773" w:type="dxa"/>
          </w:tcPr>
          <w:p>
            <w:pPr>
              <w:pStyle w:val="TableParagraph"/>
              <w:ind w:left="747"/>
              <w:rPr>
                <w:sz w:val="20"/>
              </w:rPr>
            </w:pPr>
            <w:r>
              <w:rPr>
                <w:w w:val="99"/>
                <w:sz w:val="20"/>
              </w:rPr>
              <w:t>3</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13</w:t>
            </w:r>
          </w:p>
        </w:tc>
        <w:tc>
          <w:tcPr>
            <w:tcW w:w="6581" w:type="dxa"/>
            <w:tcBorders>
              <w:left w:val="single" w:sz="4" w:space="0" w:color="7E7E7E"/>
            </w:tcBorders>
            <w:shd w:val="clear" w:color="auto" w:fill="F1F1F1"/>
          </w:tcPr>
          <w:p>
            <w:pPr>
              <w:pStyle w:val="TableParagraph"/>
              <w:ind w:left="102"/>
              <w:rPr>
                <w:sz w:val="20"/>
              </w:rPr>
            </w:pPr>
            <w:r>
              <w:rPr>
                <w:sz w:val="20"/>
              </w:rPr>
              <w:t>MIS QUARTERLY</w:t>
            </w:r>
          </w:p>
        </w:tc>
        <w:tc>
          <w:tcPr>
            <w:tcW w:w="1773" w:type="dxa"/>
            <w:shd w:val="clear" w:color="auto" w:fill="F1F1F1"/>
          </w:tcPr>
          <w:p>
            <w:pPr>
              <w:pStyle w:val="TableParagraph"/>
              <w:ind w:left="747"/>
              <w:rPr>
                <w:sz w:val="20"/>
              </w:rPr>
            </w:pPr>
            <w:r>
              <w:rPr>
                <w:w w:val="99"/>
                <w:sz w:val="20"/>
              </w:rPr>
              <w:t>3</w:t>
            </w:r>
          </w:p>
        </w:tc>
      </w:tr>
      <w:tr>
        <w:trPr>
          <w:trHeight w:val="290" w:hRule="atLeast"/>
        </w:trPr>
        <w:tc>
          <w:tcPr>
            <w:tcW w:w="437" w:type="dxa"/>
            <w:tcBorders>
              <w:right w:val="single" w:sz="4" w:space="0" w:color="7E7E7E"/>
            </w:tcBorders>
          </w:tcPr>
          <w:p>
            <w:pPr>
              <w:pStyle w:val="TableParagraph"/>
              <w:spacing w:line="228" w:lineRule="exact"/>
              <w:ind w:left="90" w:right="102"/>
              <w:jc w:val="center"/>
              <w:rPr>
                <w:b/>
                <w:sz w:val="20"/>
              </w:rPr>
            </w:pPr>
            <w:r>
              <w:rPr>
                <w:b/>
                <w:sz w:val="20"/>
              </w:rPr>
              <w:t>14</w:t>
            </w:r>
          </w:p>
        </w:tc>
        <w:tc>
          <w:tcPr>
            <w:tcW w:w="6581" w:type="dxa"/>
            <w:tcBorders>
              <w:left w:val="single" w:sz="4" w:space="0" w:color="7E7E7E"/>
            </w:tcBorders>
          </w:tcPr>
          <w:p>
            <w:pPr>
              <w:pStyle w:val="TableParagraph"/>
              <w:spacing w:line="228" w:lineRule="exact"/>
              <w:ind w:left="102"/>
              <w:rPr>
                <w:sz w:val="20"/>
              </w:rPr>
            </w:pPr>
            <w:r>
              <w:rPr>
                <w:sz w:val="20"/>
              </w:rPr>
              <w:t>INFORMATION SYSTEMS AND E-BUSINESS MANAGEMENT</w:t>
            </w:r>
          </w:p>
        </w:tc>
        <w:tc>
          <w:tcPr>
            <w:tcW w:w="1773" w:type="dxa"/>
          </w:tcPr>
          <w:p>
            <w:pPr>
              <w:pStyle w:val="TableParagraph"/>
              <w:spacing w:line="228" w:lineRule="exact"/>
              <w:ind w:left="747"/>
              <w:rPr>
                <w:sz w:val="20"/>
              </w:rPr>
            </w:pPr>
            <w:r>
              <w:rPr>
                <w:w w:val="99"/>
                <w:sz w:val="20"/>
              </w:rPr>
              <w:t>3</w:t>
            </w:r>
          </w:p>
        </w:tc>
      </w:tr>
    </w:tbl>
    <w:p>
      <w:pPr>
        <w:spacing w:after="0" w:line="228" w:lineRule="exact"/>
        <w:rPr>
          <w:sz w:val="20"/>
        </w:rPr>
        <w:sectPr>
          <w:pgSz w:w="12240" w:h="15840"/>
          <w:pgMar w:header="718" w:footer="0" w:top="1300" w:bottom="280" w:left="1720" w:right="820"/>
        </w:sectPr>
      </w:pPr>
    </w:p>
    <w:p>
      <w:pPr>
        <w:pStyle w:val="BodyText"/>
        <w:spacing w:before="9"/>
        <w:ind w:left="0"/>
        <w:jc w:val="left"/>
        <w:rPr>
          <w:sz w:val="8"/>
        </w:rPr>
      </w:pPr>
    </w:p>
    <w:tbl>
      <w:tblPr>
        <w:tblW w:w="0" w:type="auto"/>
        <w:jc w:val="left"/>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
        <w:gridCol w:w="6960"/>
        <w:gridCol w:w="1393"/>
      </w:tblGrid>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15</w:t>
            </w:r>
          </w:p>
        </w:tc>
        <w:tc>
          <w:tcPr>
            <w:tcW w:w="6960" w:type="dxa"/>
            <w:tcBorders>
              <w:left w:val="single" w:sz="4" w:space="0" w:color="7E7E7E"/>
            </w:tcBorders>
            <w:shd w:val="clear" w:color="auto" w:fill="F1F1F1"/>
          </w:tcPr>
          <w:p>
            <w:pPr>
              <w:pStyle w:val="TableParagraph"/>
              <w:ind w:left="102"/>
              <w:rPr>
                <w:sz w:val="20"/>
              </w:rPr>
            </w:pPr>
            <w:r>
              <w:rPr>
                <w:sz w:val="20"/>
              </w:rPr>
              <w:t>JOURNAL OF MARKETING</w:t>
            </w:r>
          </w:p>
        </w:tc>
        <w:tc>
          <w:tcPr>
            <w:tcW w:w="1393" w:type="dxa"/>
            <w:shd w:val="clear" w:color="auto" w:fill="F1F1F1"/>
          </w:tcPr>
          <w:p>
            <w:pPr>
              <w:pStyle w:val="TableParagraph"/>
              <w:ind w:left="368"/>
              <w:rPr>
                <w:sz w:val="20"/>
              </w:rPr>
            </w:pPr>
            <w:r>
              <w:rPr>
                <w:w w:val="99"/>
                <w:sz w:val="20"/>
              </w:rPr>
              <w:t>3</w:t>
            </w:r>
          </w:p>
        </w:tc>
      </w:tr>
      <w:tr>
        <w:trPr>
          <w:trHeight w:val="288" w:hRule="atLeast"/>
        </w:trPr>
        <w:tc>
          <w:tcPr>
            <w:tcW w:w="437" w:type="dxa"/>
            <w:tcBorders>
              <w:right w:val="single" w:sz="4" w:space="0" w:color="7E7E7E"/>
            </w:tcBorders>
          </w:tcPr>
          <w:p>
            <w:pPr>
              <w:pStyle w:val="TableParagraph"/>
              <w:spacing w:line="228" w:lineRule="exact"/>
              <w:ind w:left="90" w:right="102"/>
              <w:jc w:val="center"/>
              <w:rPr>
                <w:b/>
                <w:sz w:val="20"/>
              </w:rPr>
            </w:pPr>
            <w:r>
              <w:rPr>
                <w:b/>
                <w:sz w:val="20"/>
              </w:rPr>
              <w:t>16</w:t>
            </w:r>
          </w:p>
        </w:tc>
        <w:tc>
          <w:tcPr>
            <w:tcW w:w="6960" w:type="dxa"/>
            <w:tcBorders>
              <w:left w:val="single" w:sz="4" w:space="0" w:color="7E7E7E"/>
            </w:tcBorders>
          </w:tcPr>
          <w:p>
            <w:pPr>
              <w:pStyle w:val="TableParagraph"/>
              <w:spacing w:line="228" w:lineRule="exact"/>
              <w:ind w:left="102"/>
              <w:rPr>
                <w:sz w:val="20"/>
              </w:rPr>
            </w:pPr>
            <w:r>
              <w:rPr>
                <w:sz w:val="20"/>
              </w:rPr>
              <w:t>INTERNATIONAL JOURNAL OF INFORMATION MANAGEMENT</w:t>
            </w:r>
          </w:p>
        </w:tc>
        <w:tc>
          <w:tcPr>
            <w:tcW w:w="1393" w:type="dxa"/>
          </w:tcPr>
          <w:p>
            <w:pPr>
              <w:pStyle w:val="TableParagraph"/>
              <w:spacing w:line="228" w:lineRule="exact"/>
              <w:ind w:left="368"/>
              <w:rPr>
                <w:sz w:val="20"/>
              </w:rPr>
            </w:pPr>
            <w:r>
              <w:rPr>
                <w:w w:val="99"/>
                <w:sz w:val="20"/>
              </w:rPr>
              <w:t>3</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17</w:t>
            </w:r>
          </w:p>
        </w:tc>
        <w:tc>
          <w:tcPr>
            <w:tcW w:w="6960" w:type="dxa"/>
            <w:tcBorders>
              <w:left w:val="single" w:sz="4" w:space="0" w:color="7E7E7E"/>
            </w:tcBorders>
            <w:shd w:val="clear" w:color="auto" w:fill="F1F1F1"/>
          </w:tcPr>
          <w:p>
            <w:pPr>
              <w:pStyle w:val="TableParagraph"/>
              <w:ind w:left="102"/>
              <w:rPr>
                <w:sz w:val="20"/>
              </w:rPr>
            </w:pPr>
            <w:r>
              <w:rPr>
                <w:sz w:val="20"/>
              </w:rPr>
              <w:t>INTERNATIONAL JOURNAL OF RESEARCH IN MARKETING</w:t>
            </w:r>
          </w:p>
        </w:tc>
        <w:tc>
          <w:tcPr>
            <w:tcW w:w="1393" w:type="dxa"/>
            <w:shd w:val="clear" w:color="auto" w:fill="F1F1F1"/>
          </w:tcPr>
          <w:p>
            <w:pPr>
              <w:pStyle w:val="TableParagraph"/>
              <w:ind w:left="368"/>
              <w:rPr>
                <w:sz w:val="20"/>
              </w:rPr>
            </w:pPr>
            <w:r>
              <w:rPr>
                <w:w w:val="99"/>
                <w:sz w:val="20"/>
              </w:rPr>
              <w:t>3</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18</w:t>
            </w:r>
          </w:p>
        </w:tc>
        <w:tc>
          <w:tcPr>
            <w:tcW w:w="6960" w:type="dxa"/>
            <w:tcBorders>
              <w:left w:val="single" w:sz="4" w:space="0" w:color="7E7E7E"/>
            </w:tcBorders>
          </w:tcPr>
          <w:p>
            <w:pPr>
              <w:pStyle w:val="TableParagraph"/>
              <w:ind w:left="102"/>
              <w:rPr>
                <w:sz w:val="20"/>
              </w:rPr>
            </w:pPr>
            <w:r>
              <w:rPr>
                <w:sz w:val="20"/>
              </w:rPr>
              <w:t>JOURNAL OF ELECTRONIC COMMERCE RESEARCH</w:t>
            </w:r>
          </w:p>
        </w:tc>
        <w:tc>
          <w:tcPr>
            <w:tcW w:w="1393" w:type="dxa"/>
          </w:tcPr>
          <w:p>
            <w:pPr>
              <w:pStyle w:val="TableParagraph"/>
              <w:ind w:left="368"/>
              <w:rPr>
                <w:sz w:val="20"/>
              </w:rPr>
            </w:pPr>
            <w:r>
              <w:rPr>
                <w:w w:val="99"/>
                <w:sz w:val="20"/>
              </w:rPr>
              <w:t>3</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19</w:t>
            </w:r>
          </w:p>
        </w:tc>
        <w:tc>
          <w:tcPr>
            <w:tcW w:w="6960" w:type="dxa"/>
            <w:tcBorders>
              <w:left w:val="single" w:sz="4" w:space="0" w:color="7E7E7E"/>
            </w:tcBorders>
            <w:shd w:val="clear" w:color="auto" w:fill="F1F1F1"/>
          </w:tcPr>
          <w:p>
            <w:pPr>
              <w:pStyle w:val="TableParagraph"/>
              <w:ind w:left="102"/>
              <w:rPr>
                <w:sz w:val="20"/>
              </w:rPr>
            </w:pPr>
            <w:r>
              <w:rPr>
                <w:sz w:val="20"/>
              </w:rPr>
              <w:t>ELECTRONIC COMMERCE RESEARCH</w:t>
            </w:r>
          </w:p>
        </w:tc>
        <w:tc>
          <w:tcPr>
            <w:tcW w:w="1393" w:type="dxa"/>
            <w:shd w:val="clear" w:color="auto" w:fill="F1F1F1"/>
          </w:tcPr>
          <w:p>
            <w:pPr>
              <w:pStyle w:val="TableParagraph"/>
              <w:ind w:left="368"/>
              <w:rPr>
                <w:sz w:val="20"/>
              </w:rPr>
            </w:pPr>
            <w:r>
              <w:rPr>
                <w:w w:val="99"/>
                <w:sz w:val="20"/>
              </w:rPr>
              <w:t>3</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20</w:t>
            </w:r>
          </w:p>
        </w:tc>
        <w:tc>
          <w:tcPr>
            <w:tcW w:w="6960" w:type="dxa"/>
            <w:tcBorders>
              <w:left w:val="single" w:sz="4" w:space="0" w:color="7E7E7E"/>
            </w:tcBorders>
          </w:tcPr>
          <w:p>
            <w:pPr>
              <w:pStyle w:val="TableParagraph"/>
              <w:ind w:left="102"/>
              <w:rPr>
                <w:sz w:val="20"/>
              </w:rPr>
            </w:pPr>
            <w:r>
              <w:rPr>
                <w:sz w:val="20"/>
              </w:rPr>
              <w:t>INTERNATIONAL JOURNAL OF ADVERTISING</w:t>
            </w:r>
          </w:p>
        </w:tc>
        <w:tc>
          <w:tcPr>
            <w:tcW w:w="1393" w:type="dxa"/>
          </w:tcPr>
          <w:p>
            <w:pPr>
              <w:pStyle w:val="TableParagraph"/>
              <w:ind w:left="368"/>
              <w:rPr>
                <w:sz w:val="20"/>
              </w:rPr>
            </w:pPr>
            <w:r>
              <w:rPr>
                <w:w w:val="99"/>
                <w:sz w:val="20"/>
              </w:rPr>
              <w:t>3</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21</w:t>
            </w:r>
          </w:p>
        </w:tc>
        <w:tc>
          <w:tcPr>
            <w:tcW w:w="6960" w:type="dxa"/>
            <w:tcBorders>
              <w:left w:val="single" w:sz="4" w:space="0" w:color="7E7E7E"/>
            </w:tcBorders>
            <w:shd w:val="clear" w:color="auto" w:fill="F1F1F1"/>
          </w:tcPr>
          <w:p>
            <w:pPr>
              <w:pStyle w:val="TableParagraph"/>
              <w:ind w:left="102"/>
              <w:rPr>
                <w:sz w:val="20"/>
              </w:rPr>
            </w:pPr>
            <w:r>
              <w:rPr>
                <w:sz w:val="20"/>
              </w:rPr>
              <w:t>ANNALS OF OPERATIONS RESEARCH</w:t>
            </w:r>
          </w:p>
        </w:tc>
        <w:tc>
          <w:tcPr>
            <w:tcW w:w="1393" w:type="dxa"/>
            <w:shd w:val="clear" w:color="auto" w:fill="F1F1F1"/>
          </w:tcPr>
          <w:p>
            <w:pPr>
              <w:pStyle w:val="TableParagraph"/>
              <w:ind w:left="368"/>
              <w:rPr>
                <w:sz w:val="20"/>
              </w:rPr>
            </w:pPr>
            <w:r>
              <w:rPr>
                <w:w w:val="99"/>
                <w:sz w:val="20"/>
              </w:rPr>
              <w:t>3</w:t>
            </w:r>
          </w:p>
        </w:tc>
      </w:tr>
      <w:tr>
        <w:trPr>
          <w:trHeight w:val="287" w:hRule="atLeast"/>
        </w:trPr>
        <w:tc>
          <w:tcPr>
            <w:tcW w:w="437" w:type="dxa"/>
            <w:tcBorders>
              <w:right w:val="single" w:sz="4" w:space="0" w:color="7E7E7E"/>
            </w:tcBorders>
          </w:tcPr>
          <w:p>
            <w:pPr>
              <w:pStyle w:val="TableParagraph"/>
              <w:spacing w:line="228" w:lineRule="exact"/>
              <w:ind w:left="90" w:right="102"/>
              <w:jc w:val="center"/>
              <w:rPr>
                <w:b/>
                <w:sz w:val="20"/>
              </w:rPr>
            </w:pPr>
            <w:r>
              <w:rPr>
                <w:b/>
                <w:sz w:val="20"/>
              </w:rPr>
              <w:t>22</w:t>
            </w:r>
          </w:p>
        </w:tc>
        <w:tc>
          <w:tcPr>
            <w:tcW w:w="6960" w:type="dxa"/>
            <w:tcBorders>
              <w:left w:val="single" w:sz="4" w:space="0" w:color="7E7E7E"/>
            </w:tcBorders>
          </w:tcPr>
          <w:p>
            <w:pPr>
              <w:pStyle w:val="TableParagraph"/>
              <w:spacing w:line="228" w:lineRule="exact"/>
              <w:ind w:left="102"/>
              <w:rPr>
                <w:sz w:val="20"/>
              </w:rPr>
            </w:pPr>
            <w:r>
              <w:rPr>
                <w:sz w:val="20"/>
              </w:rPr>
              <w:t>APPLIED ECONOMICS</w:t>
            </w:r>
          </w:p>
        </w:tc>
        <w:tc>
          <w:tcPr>
            <w:tcW w:w="1393" w:type="dxa"/>
          </w:tcPr>
          <w:p>
            <w:pPr>
              <w:pStyle w:val="TableParagraph"/>
              <w:spacing w:line="228" w:lineRule="exact"/>
              <w:ind w:left="368"/>
              <w:rPr>
                <w:sz w:val="20"/>
              </w:rPr>
            </w:pPr>
            <w:r>
              <w:rPr>
                <w:w w:val="99"/>
                <w:sz w:val="20"/>
              </w:rPr>
              <w:t>2</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23</w:t>
            </w:r>
          </w:p>
        </w:tc>
        <w:tc>
          <w:tcPr>
            <w:tcW w:w="6960" w:type="dxa"/>
            <w:tcBorders>
              <w:left w:val="single" w:sz="4" w:space="0" w:color="7E7E7E"/>
            </w:tcBorders>
            <w:shd w:val="clear" w:color="auto" w:fill="F1F1F1"/>
          </w:tcPr>
          <w:p>
            <w:pPr>
              <w:pStyle w:val="TableParagraph"/>
              <w:ind w:left="102"/>
              <w:rPr>
                <w:sz w:val="20"/>
              </w:rPr>
            </w:pPr>
            <w:r>
              <w:rPr>
                <w:sz w:val="20"/>
              </w:rPr>
              <w:t>JOURNAL OF BUSINESS RESEARCH</w:t>
            </w:r>
          </w:p>
        </w:tc>
        <w:tc>
          <w:tcPr>
            <w:tcW w:w="1393" w:type="dxa"/>
            <w:shd w:val="clear" w:color="auto" w:fill="F1F1F1"/>
          </w:tcPr>
          <w:p>
            <w:pPr>
              <w:pStyle w:val="TableParagraph"/>
              <w:ind w:left="368"/>
              <w:rPr>
                <w:sz w:val="20"/>
              </w:rPr>
            </w:pPr>
            <w:r>
              <w:rPr>
                <w:w w:val="99"/>
                <w:sz w:val="20"/>
              </w:rPr>
              <w:t>2</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24</w:t>
            </w:r>
          </w:p>
        </w:tc>
        <w:tc>
          <w:tcPr>
            <w:tcW w:w="6960" w:type="dxa"/>
            <w:tcBorders>
              <w:left w:val="single" w:sz="4" w:space="0" w:color="7E7E7E"/>
            </w:tcBorders>
          </w:tcPr>
          <w:p>
            <w:pPr>
              <w:pStyle w:val="TableParagraph"/>
              <w:ind w:left="102"/>
              <w:rPr>
                <w:sz w:val="20"/>
              </w:rPr>
            </w:pPr>
            <w:r>
              <w:rPr>
                <w:sz w:val="20"/>
              </w:rPr>
              <w:t>BUSINESS HORIZONS</w:t>
            </w:r>
          </w:p>
        </w:tc>
        <w:tc>
          <w:tcPr>
            <w:tcW w:w="1393" w:type="dxa"/>
          </w:tcPr>
          <w:p>
            <w:pPr>
              <w:pStyle w:val="TableParagraph"/>
              <w:ind w:left="368"/>
              <w:rPr>
                <w:sz w:val="20"/>
              </w:rPr>
            </w:pPr>
            <w:r>
              <w:rPr>
                <w:w w:val="99"/>
                <w:sz w:val="20"/>
              </w:rPr>
              <w:t>2</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25</w:t>
            </w:r>
          </w:p>
        </w:tc>
        <w:tc>
          <w:tcPr>
            <w:tcW w:w="6960" w:type="dxa"/>
            <w:tcBorders>
              <w:left w:val="single" w:sz="4" w:space="0" w:color="7E7E7E"/>
            </w:tcBorders>
            <w:shd w:val="clear" w:color="auto" w:fill="F1F1F1"/>
          </w:tcPr>
          <w:p>
            <w:pPr>
              <w:pStyle w:val="TableParagraph"/>
              <w:ind w:left="102"/>
              <w:rPr>
                <w:sz w:val="20"/>
              </w:rPr>
            </w:pPr>
            <w:r>
              <w:rPr>
                <w:sz w:val="20"/>
              </w:rPr>
              <w:t>JOURNAL OF TRAVEL RESEARCH</w:t>
            </w:r>
          </w:p>
        </w:tc>
        <w:tc>
          <w:tcPr>
            <w:tcW w:w="1393" w:type="dxa"/>
            <w:shd w:val="clear" w:color="auto" w:fill="F1F1F1"/>
          </w:tcPr>
          <w:p>
            <w:pPr>
              <w:pStyle w:val="TableParagraph"/>
              <w:ind w:left="368"/>
              <w:rPr>
                <w:sz w:val="20"/>
              </w:rPr>
            </w:pPr>
            <w:r>
              <w:rPr>
                <w:w w:val="99"/>
                <w:sz w:val="20"/>
              </w:rPr>
              <w:t>2</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26</w:t>
            </w:r>
          </w:p>
        </w:tc>
        <w:tc>
          <w:tcPr>
            <w:tcW w:w="6960" w:type="dxa"/>
            <w:tcBorders>
              <w:left w:val="single" w:sz="4" w:space="0" w:color="7E7E7E"/>
            </w:tcBorders>
          </w:tcPr>
          <w:p>
            <w:pPr>
              <w:pStyle w:val="TableParagraph"/>
              <w:ind w:left="102"/>
              <w:rPr>
                <w:sz w:val="20"/>
              </w:rPr>
            </w:pPr>
            <w:r>
              <w:rPr>
                <w:sz w:val="20"/>
              </w:rPr>
              <w:t>INTERNET RESEARCH</w:t>
            </w:r>
          </w:p>
        </w:tc>
        <w:tc>
          <w:tcPr>
            <w:tcW w:w="1393" w:type="dxa"/>
          </w:tcPr>
          <w:p>
            <w:pPr>
              <w:pStyle w:val="TableParagraph"/>
              <w:ind w:left="368"/>
              <w:rPr>
                <w:sz w:val="20"/>
              </w:rPr>
            </w:pPr>
            <w:r>
              <w:rPr>
                <w:w w:val="99"/>
                <w:sz w:val="20"/>
              </w:rPr>
              <w:t>2</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27</w:t>
            </w:r>
          </w:p>
        </w:tc>
        <w:tc>
          <w:tcPr>
            <w:tcW w:w="6960" w:type="dxa"/>
            <w:tcBorders>
              <w:left w:val="single" w:sz="4" w:space="0" w:color="7E7E7E"/>
            </w:tcBorders>
            <w:shd w:val="clear" w:color="auto" w:fill="F1F1F1"/>
          </w:tcPr>
          <w:p>
            <w:pPr>
              <w:pStyle w:val="TableParagraph"/>
              <w:ind w:left="102"/>
              <w:rPr>
                <w:sz w:val="20"/>
              </w:rPr>
            </w:pPr>
            <w:r>
              <w:rPr>
                <w:sz w:val="20"/>
              </w:rPr>
              <w:t>JOURNAL OF ADVERTISING RESEARCH</w:t>
            </w:r>
          </w:p>
        </w:tc>
        <w:tc>
          <w:tcPr>
            <w:tcW w:w="1393" w:type="dxa"/>
            <w:shd w:val="clear" w:color="auto" w:fill="F1F1F1"/>
          </w:tcPr>
          <w:p>
            <w:pPr>
              <w:pStyle w:val="TableParagraph"/>
              <w:ind w:left="368"/>
              <w:rPr>
                <w:sz w:val="20"/>
              </w:rPr>
            </w:pPr>
            <w:r>
              <w:rPr>
                <w:w w:val="99"/>
                <w:sz w:val="20"/>
              </w:rPr>
              <w:t>2</w:t>
            </w:r>
          </w:p>
        </w:tc>
      </w:tr>
      <w:tr>
        <w:trPr>
          <w:trHeight w:val="288" w:hRule="atLeast"/>
        </w:trPr>
        <w:tc>
          <w:tcPr>
            <w:tcW w:w="437" w:type="dxa"/>
            <w:tcBorders>
              <w:right w:val="single" w:sz="4" w:space="0" w:color="7E7E7E"/>
            </w:tcBorders>
          </w:tcPr>
          <w:p>
            <w:pPr>
              <w:pStyle w:val="TableParagraph"/>
              <w:spacing w:line="229" w:lineRule="exact"/>
              <w:ind w:left="90" w:right="102"/>
              <w:jc w:val="center"/>
              <w:rPr>
                <w:b/>
                <w:sz w:val="20"/>
              </w:rPr>
            </w:pPr>
            <w:r>
              <w:rPr>
                <w:b/>
                <w:sz w:val="20"/>
              </w:rPr>
              <w:t>28</w:t>
            </w:r>
          </w:p>
        </w:tc>
        <w:tc>
          <w:tcPr>
            <w:tcW w:w="6960" w:type="dxa"/>
            <w:tcBorders>
              <w:left w:val="single" w:sz="4" w:space="0" w:color="7E7E7E"/>
            </w:tcBorders>
          </w:tcPr>
          <w:p>
            <w:pPr>
              <w:pStyle w:val="TableParagraph"/>
              <w:spacing w:line="229" w:lineRule="exact"/>
              <w:ind w:left="102"/>
              <w:rPr>
                <w:sz w:val="20"/>
              </w:rPr>
            </w:pPr>
            <w:r>
              <w:rPr>
                <w:sz w:val="20"/>
              </w:rPr>
              <w:t>INTERNATIONAL JOURNAL OF MOBILE COMMUNICATIONS</w:t>
            </w:r>
          </w:p>
        </w:tc>
        <w:tc>
          <w:tcPr>
            <w:tcW w:w="1393" w:type="dxa"/>
          </w:tcPr>
          <w:p>
            <w:pPr>
              <w:pStyle w:val="TableParagraph"/>
              <w:spacing w:line="229" w:lineRule="exact"/>
              <w:ind w:left="368"/>
              <w:rPr>
                <w:sz w:val="20"/>
              </w:rPr>
            </w:pPr>
            <w:r>
              <w:rPr>
                <w:w w:val="99"/>
                <w:sz w:val="20"/>
              </w:rPr>
              <w:t>2</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29</w:t>
            </w:r>
          </w:p>
        </w:tc>
        <w:tc>
          <w:tcPr>
            <w:tcW w:w="6960" w:type="dxa"/>
            <w:tcBorders>
              <w:left w:val="single" w:sz="4" w:space="0" w:color="7E7E7E"/>
            </w:tcBorders>
            <w:shd w:val="clear" w:color="auto" w:fill="F1F1F1"/>
          </w:tcPr>
          <w:p>
            <w:pPr>
              <w:pStyle w:val="TableParagraph"/>
              <w:ind w:left="102"/>
              <w:rPr>
                <w:sz w:val="20"/>
              </w:rPr>
            </w:pPr>
            <w:r>
              <w:rPr>
                <w:sz w:val="20"/>
              </w:rPr>
              <w:t>TOURISM MANAGEMENT</w:t>
            </w:r>
          </w:p>
        </w:tc>
        <w:tc>
          <w:tcPr>
            <w:tcW w:w="1393" w:type="dxa"/>
            <w:shd w:val="clear" w:color="auto" w:fill="F1F1F1"/>
          </w:tcPr>
          <w:p>
            <w:pPr>
              <w:pStyle w:val="TableParagraph"/>
              <w:ind w:left="368"/>
              <w:rPr>
                <w:sz w:val="20"/>
              </w:rPr>
            </w:pPr>
            <w:r>
              <w:rPr>
                <w:w w:val="99"/>
                <w:sz w:val="20"/>
              </w:rPr>
              <w:t>2</w:t>
            </w:r>
          </w:p>
        </w:tc>
      </w:tr>
      <w:tr>
        <w:trPr>
          <w:trHeight w:val="460" w:hRule="atLeast"/>
        </w:trPr>
        <w:tc>
          <w:tcPr>
            <w:tcW w:w="437" w:type="dxa"/>
            <w:tcBorders>
              <w:right w:val="single" w:sz="4" w:space="0" w:color="7E7E7E"/>
            </w:tcBorders>
          </w:tcPr>
          <w:p>
            <w:pPr>
              <w:pStyle w:val="TableParagraph"/>
              <w:ind w:left="90" w:right="102"/>
              <w:jc w:val="center"/>
              <w:rPr>
                <w:b/>
                <w:sz w:val="20"/>
              </w:rPr>
            </w:pPr>
            <w:r>
              <w:rPr>
                <w:b/>
                <w:sz w:val="20"/>
              </w:rPr>
              <w:t>30</w:t>
            </w:r>
          </w:p>
        </w:tc>
        <w:tc>
          <w:tcPr>
            <w:tcW w:w="6960" w:type="dxa"/>
            <w:tcBorders>
              <w:left w:val="single" w:sz="4" w:space="0" w:color="7E7E7E"/>
            </w:tcBorders>
          </w:tcPr>
          <w:p>
            <w:pPr>
              <w:pStyle w:val="TableParagraph"/>
              <w:spacing w:line="230" w:lineRule="atLeast"/>
              <w:ind w:left="102"/>
              <w:rPr>
                <w:sz w:val="20"/>
              </w:rPr>
            </w:pPr>
            <w:r>
              <w:rPr>
                <w:sz w:val="20"/>
              </w:rPr>
              <w:t>INTERNATIONAL JOURNAL OF CONTEMPORARY HOSPITALITY MANAGEMENT</w:t>
            </w:r>
          </w:p>
        </w:tc>
        <w:tc>
          <w:tcPr>
            <w:tcW w:w="1393" w:type="dxa"/>
          </w:tcPr>
          <w:p>
            <w:pPr>
              <w:pStyle w:val="TableParagraph"/>
              <w:ind w:left="368"/>
              <w:rPr>
                <w:sz w:val="20"/>
              </w:rPr>
            </w:pPr>
            <w:r>
              <w:rPr>
                <w:w w:val="99"/>
                <w:sz w:val="20"/>
              </w:rPr>
              <w:t>2</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31</w:t>
            </w:r>
          </w:p>
        </w:tc>
        <w:tc>
          <w:tcPr>
            <w:tcW w:w="6960" w:type="dxa"/>
            <w:tcBorders>
              <w:left w:val="single" w:sz="4" w:space="0" w:color="7E7E7E"/>
            </w:tcBorders>
            <w:shd w:val="clear" w:color="auto" w:fill="F1F1F1"/>
          </w:tcPr>
          <w:p>
            <w:pPr>
              <w:pStyle w:val="TableParagraph"/>
              <w:ind w:left="102"/>
              <w:rPr>
                <w:sz w:val="20"/>
              </w:rPr>
            </w:pPr>
            <w:r>
              <w:rPr>
                <w:sz w:val="20"/>
              </w:rPr>
              <w:t>SUSTAINABILITY</w:t>
            </w:r>
          </w:p>
        </w:tc>
        <w:tc>
          <w:tcPr>
            <w:tcW w:w="1393" w:type="dxa"/>
            <w:shd w:val="clear" w:color="auto" w:fill="F1F1F1"/>
          </w:tcPr>
          <w:p>
            <w:pPr>
              <w:pStyle w:val="TableParagraph"/>
              <w:ind w:left="368"/>
              <w:rPr>
                <w:sz w:val="20"/>
              </w:rPr>
            </w:pPr>
            <w:r>
              <w:rPr>
                <w:w w:val="99"/>
                <w:sz w:val="20"/>
              </w:rPr>
              <w:t>2</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32</w:t>
            </w:r>
          </w:p>
        </w:tc>
        <w:tc>
          <w:tcPr>
            <w:tcW w:w="6960" w:type="dxa"/>
            <w:tcBorders>
              <w:left w:val="single" w:sz="4" w:space="0" w:color="7E7E7E"/>
            </w:tcBorders>
          </w:tcPr>
          <w:p>
            <w:pPr>
              <w:pStyle w:val="TableParagraph"/>
              <w:ind w:left="102"/>
              <w:rPr>
                <w:sz w:val="20"/>
              </w:rPr>
            </w:pPr>
            <w:r>
              <w:rPr>
                <w:sz w:val="20"/>
              </w:rPr>
              <w:t>NANKAI BUSINESS REVIEW INTERNATIONAL</w:t>
            </w:r>
          </w:p>
        </w:tc>
        <w:tc>
          <w:tcPr>
            <w:tcW w:w="1393" w:type="dxa"/>
          </w:tcPr>
          <w:p>
            <w:pPr>
              <w:pStyle w:val="TableParagraph"/>
              <w:ind w:left="368"/>
              <w:rPr>
                <w:sz w:val="20"/>
              </w:rPr>
            </w:pPr>
            <w:r>
              <w:rPr>
                <w:w w:val="99"/>
                <w:sz w:val="20"/>
              </w:rPr>
              <w:t>2</w:t>
            </w:r>
          </w:p>
        </w:tc>
      </w:tr>
      <w:tr>
        <w:trPr>
          <w:trHeight w:val="287" w:hRule="atLeast"/>
        </w:trPr>
        <w:tc>
          <w:tcPr>
            <w:tcW w:w="437" w:type="dxa"/>
            <w:tcBorders>
              <w:right w:val="single" w:sz="4" w:space="0" w:color="7E7E7E"/>
            </w:tcBorders>
            <w:shd w:val="clear" w:color="auto" w:fill="F1F1F1"/>
          </w:tcPr>
          <w:p>
            <w:pPr>
              <w:pStyle w:val="TableParagraph"/>
              <w:spacing w:line="228" w:lineRule="exact"/>
              <w:ind w:left="90" w:right="102"/>
              <w:jc w:val="center"/>
              <w:rPr>
                <w:b/>
                <w:sz w:val="20"/>
              </w:rPr>
            </w:pPr>
            <w:r>
              <w:rPr>
                <w:b/>
                <w:sz w:val="20"/>
              </w:rPr>
              <w:t>33</w:t>
            </w:r>
          </w:p>
        </w:tc>
        <w:tc>
          <w:tcPr>
            <w:tcW w:w="6960" w:type="dxa"/>
            <w:tcBorders>
              <w:left w:val="single" w:sz="4" w:space="0" w:color="7E7E7E"/>
            </w:tcBorders>
            <w:shd w:val="clear" w:color="auto" w:fill="F1F1F1"/>
          </w:tcPr>
          <w:p>
            <w:pPr>
              <w:pStyle w:val="TableParagraph"/>
              <w:spacing w:line="228" w:lineRule="exact"/>
              <w:ind w:left="102"/>
              <w:rPr>
                <w:sz w:val="20"/>
              </w:rPr>
            </w:pPr>
            <w:r>
              <w:rPr>
                <w:sz w:val="20"/>
              </w:rPr>
              <w:t>INFORMATION TECHNOLOGY &amp; TOURISM</w:t>
            </w:r>
          </w:p>
        </w:tc>
        <w:tc>
          <w:tcPr>
            <w:tcW w:w="1393" w:type="dxa"/>
            <w:shd w:val="clear" w:color="auto" w:fill="F1F1F1"/>
          </w:tcPr>
          <w:p>
            <w:pPr>
              <w:pStyle w:val="TableParagraph"/>
              <w:spacing w:line="228" w:lineRule="exact"/>
              <w:ind w:left="368"/>
              <w:rPr>
                <w:sz w:val="20"/>
              </w:rPr>
            </w:pPr>
            <w:r>
              <w:rPr>
                <w:w w:val="99"/>
                <w:sz w:val="20"/>
              </w:rPr>
              <w:t>2</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34</w:t>
            </w:r>
          </w:p>
        </w:tc>
        <w:tc>
          <w:tcPr>
            <w:tcW w:w="6960" w:type="dxa"/>
            <w:tcBorders>
              <w:left w:val="single" w:sz="4" w:space="0" w:color="7E7E7E"/>
            </w:tcBorders>
          </w:tcPr>
          <w:p>
            <w:pPr>
              <w:pStyle w:val="TableParagraph"/>
              <w:ind w:left="102"/>
              <w:rPr>
                <w:sz w:val="20"/>
              </w:rPr>
            </w:pPr>
            <w:r>
              <w:rPr>
                <w:sz w:val="20"/>
              </w:rPr>
              <w:t>PSYCHOLOGY &amp; MARKETING</w:t>
            </w:r>
          </w:p>
        </w:tc>
        <w:tc>
          <w:tcPr>
            <w:tcW w:w="1393" w:type="dxa"/>
          </w:tcPr>
          <w:p>
            <w:pPr>
              <w:pStyle w:val="TableParagraph"/>
              <w:ind w:left="368"/>
              <w:rPr>
                <w:sz w:val="20"/>
              </w:rPr>
            </w:pPr>
            <w:r>
              <w:rPr>
                <w:w w:val="99"/>
                <w:sz w:val="20"/>
              </w:rPr>
              <w:t>1</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35</w:t>
            </w:r>
          </w:p>
        </w:tc>
        <w:tc>
          <w:tcPr>
            <w:tcW w:w="6960" w:type="dxa"/>
            <w:tcBorders>
              <w:left w:val="single" w:sz="4" w:space="0" w:color="7E7E7E"/>
            </w:tcBorders>
            <w:shd w:val="clear" w:color="auto" w:fill="F1F1F1"/>
          </w:tcPr>
          <w:p>
            <w:pPr>
              <w:pStyle w:val="TableParagraph"/>
              <w:ind w:left="102"/>
              <w:rPr>
                <w:sz w:val="20"/>
              </w:rPr>
            </w:pPr>
            <w:r>
              <w:rPr>
                <w:sz w:val="20"/>
              </w:rPr>
              <w:t>INFORMATION TECHNOLOGY &amp; MANAGEMENT</w:t>
            </w:r>
          </w:p>
        </w:tc>
        <w:tc>
          <w:tcPr>
            <w:tcW w:w="1393" w:type="dxa"/>
            <w:shd w:val="clear" w:color="auto" w:fill="F1F1F1"/>
          </w:tcPr>
          <w:p>
            <w:pPr>
              <w:pStyle w:val="TableParagraph"/>
              <w:ind w:left="368"/>
              <w:rPr>
                <w:sz w:val="20"/>
              </w:rPr>
            </w:pPr>
            <w:r>
              <w:rPr>
                <w:w w:val="99"/>
                <w:sz w:val="20"/>
              </w:rPr>
              <w:t>1</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36</w:t>
            </w:r>
          </w:p>
        </w:tc>
        <w:tc>
          <w:tcPr>
            <w:tcW w:w="6960" w:type="dxa"/>
            <w:tcBorders>
              <w:left w:val="single" w:sz="4" w:space="0" w:color="7E7E7E"/>
            </w:tcBorders>
          </w:tcPr>
          <w:p>
            <w:pPr>
              <w:pStyle w:val="TableParagraph"/>
              <w:ind w:left="102"/>
              <w:rPr>
                <w:sz w:val="20"/>
              </w:rPr>
            </w:pPr>
            <w:r>
              <w:rPr>
                <w:sz w:val="20"/>
              </w:rPr>
              <w:t>COMPUTERS IN HUMAN BEHAVIOR</w:t>
            </w:r>
          </w:p>
        </w:tc>
        <w:tc>
          <w:tcPr>
            <w:tcW w:w="1393" w:type="dxa"/>
          </w:tcPr>
          <w:p>
            <w:pPr>
              <w:pStyle w:val="TableParagraph"/>
              <w:ind w:left="368"/>
              <w:rPr>
                <w:sz w:val="20"/>
              </w:rPr>
            </w:pPr>
            <w:r>
              <w:rPr>
                <w:w w:val="99"/>
                <w:sz w:val="20"/>
              </w:rPr>
              <w:t>1</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37</w:t>
            </w:r>
          </w:p>
        </w:tc>
        <w:tc>
          <w:tcPr>
            <w:tcW w:w="6960" w:type="dxa"/>
            <w:tcBorders>
              <w:left w:val="single" w:sz="4" w:space="0" w:color="7E7E7E"/>
            </w:tcBorders>
            <w:shd w:val="clear" w:color="auto" w:fill="F1F1F1"/>
          </w:tcPr>
          <w:p>
            <w:pPr>
              <w:pStyle w:val="TableParagraph"/>
              <w:ind w:left="102"/>
              <w:rPr>
                <w:sz w:val="20"/>
              </w:rPr>
            </w:pPr>
            <w:r>
              <w:rPr>
                <w:sz w:val="20"/>
              </w:rPr>
              <w:t>IEEE TRANSACTIONS ON ENGINEERING MANAGEMENT</w:t>
            </w:r>
          </w:p>
        </w:tc>
        <w:tc>
          <w:tcPr>
            <w:tcW w:w="1393" w:type="dxa"/>
            <w:shd w:val="clear" w:color="auto" w:fill="F1F1F1"/>
          </w:tcPr>
          <w:p>
            <w:pPr>
              <w:pStyle w:val="TableParagraph"/>
              <w:ind w:left="368"/>
              <w:rPr>
                <w:sz w:val="20"/>
              </w:rPr>
            </w:pPr>
            <w:r>
              <w:rPr>
                <w:w w:val="99"/>
                <w:sz w:val="20"/>
              </w:rPr>
              <w:t>1</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38</w:t>
            </w:r>
          </w:p>
        </w:tc>
        <w:tc>
          <w:tcPr>
            <w:tcW w:w="6960" w:type="dxa"/>
            <w:tcBorders>
              <w:left w:val="single" w:sz="4" w:space="0" w:color="7E7E7E"/>
            </w:tcBorders>
          </w:tcPr>
          <w:p>
            <w:pPr>
              <w:pStyle w:val="TableParagraph"/>
              <w:ind w:left="102"/>
              <w:rPr>
                <w:sz w:val="20"/>
              </w:rPr>
            </w:pPr>
            <w:r>
              <w:rPr>
                <w:sz w:val="20"/>
              </w:rPr>
              <w:t>IEEE TRANSACTIONS ON KNOWLEDGE AND DATA ENGINEERING</w:t>
            </w:r>
          </w:p>
        </w:tc>
        <w:tc>
          <w:tcPr>
            <w:tcW w:w="1393" w:type="dxa"/>
          </w:tcPr>
          <w:p>
            <w:pPr>
              <w:pStyle w:val="TableParagraph"/>
              <w:ind w:left="368"/>
              <w:rPr>
                <w:sz w:val="20"/>
              </w:rPr>
            </w:pPr>
            <w:r>
              <w:rPr>
                <w:w w:val="99"/>
                <w:sz w:val="20"/>
              </w:rPr>
              <w:t>1</w:t>
            </w:r>
          </w:p>
        </w:tc>
      </w:tr>
      <w:tr>
        <w:trPr>
          <w:trHeight w:val="288" w:hRule="atLeast"/>
        </w:trPr>
        <w:tc>
          <w:tcPr>
            <w:tcW w:w="437" w:type="dxa"/>
            <w:tcBorders>
              <w:right w:val="single" w:sz="4" w:space="0" w:color="7E7E7E"/>
            </w:tcBorders>
            <w:shd w:val="clear" w:color="auto" w:fill="F1F1F1"/>
          </w:tcPr>
          <w:p>
            <w:pPr>
              <w:pStyle w:val="TableParagraph"/>
              <w:spacing w:line="229" w:lineRule="exact"/>
              <w:ind w:left="90" w:right="102"/>
              <w:jc w:val="center"/>
              <w:rPr>
                <w:b/>
                <w:sz w:val="20"/>
              </w:rPr>
            </w:pPr>
            <w:r>
              <w:rPr>
                <w:b/>
                <w:sz w:val="20"/>
              </w:rPr>
              <w:t>39</w:t>
            </w:r>
          </w:p>
        </w:tc>
        <w:tc>
          <w:tcPr>
            <w:tcW w:w="6960" w:type="dxa"/>
            <w:tcBorders>
              <w:left w:val="single" w:sz="4" w:space="0" w:color="7E7E7E"/>
            </w:tcBorders>
            <w:shd w:val="clear" w:color="auto" w:fill="F1F1F1"/>
          </w:tcPr>
          <w:p>
            <w:pPr>
              <w:pStyle w:val="TableParagraph"/>
              <w:spacing w:line="229" w:lineRule="exact"/>
              <w:ind w:left="102"/>
              <w:rPr>
                <w:sz w:val="20"/>
              </w:rPr>
            </w:pPr>
            <w:r>
              <w:rPr>
                <w:sz w:val="20"/>
              </w:rPr>
              <w:t>ETRI JOURNAL</w:t>
            </w:r>
          </w:p>
        </w:tc>
        <w:tc>
          <w:tcPr>
            <w:tcW w:w="1393" w:type="dxa"/>
            <w:shd w:val="clear" w:color="auto" w:fill="F1F1F1"/>
          </w:tcPr>
          <w:p>
            <w:pPr>
              <w:pStyle w:val="TableParagraph"/>
              <w:spacing w:line="229" w:lineRule="exact"/>
              <w:ind w:left="368"/>
              <w:rPr>
                <w:sz w:val="20"/>
              </w:rPr>
            </w:pPr>
            <w:r>
              <w:rPr>
                <w:w w:val="99"/>
                <w:sz w:val="20"/>
              </w:rPr>
              <w:t>1</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40</w:t>
            </w:r>
          </w:p>
        </w:tc>
        <w:tc>
          <w:tcPr>
            <w:tcW w:w="6960" w:type="dxa"/>
            <w:tcBorders>
              <w:left w:val="single" w:sz="4" w:space="0" w:color="7E7E7E"/>
            </w:tcBorders>
          </w:tcPr>
          <w:p>
            <w:pPr>
              <w:pStyle w:val="TableParagraph"/>
              <w:ind w:left="102"/>
              <w:rPr>
                <w:sz w:val="20"/>
              </w:rPr>
            </w:pPr>
            <w:r>
              <w:rPr>
                <w:sz w:val="20"/>
              </w:rPr>
              <w:t>CORNELL HOSPITALITY QUARTERLY</w:t>
            </w:r>
          </w:p>
        </w:tc>
        <w:tc>
          <w:tcPr>
            <w:tcW w:w="1393" w:type="dxa"/>
          </w:tcPr>
          <w:p>
            <w:pPr>
              <w:pStyle w:val="TableParagraph"/>
              <w:ind w:left="368"/>
              <w:rPr>
                <w:sz w:val="20"/>
              </w:rPr>
            </w:pPr>
            <w:r>
              <w:rPr>
                <w:w w:val="99"/>
                <w:sz w:val="20"/>
              </w:rPr>
              <w:t>1</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41</w:t>
            </w:r>
          </w:p>
        </w:tc>
        <w:tc>
          <w:tcPr>
            <w:tcW w:w="6960" w:type="dxa"/>
            <w:tcBorders>
              <w:left w:val="single" w:sz="4" w:space="0" w:color="7E7E7E"/>
            </w:tcBorders>
            <w:shd w:val="clear" w:color="auto" w:fill="F1F1F1"/>
          </w:tcPr>
          <w:p>
            <w:pPr>
              <w:pStyle w:val="TableParagraph"/>
              <w:ind w:left="102"/>
              <w:rPr>
                <w:sz w:val="20"/>
              </w:rPr>
            </w:pPr>
            <w:r>
              <w:rPr>
                <w:sz w:val="20"/>
              </w:rPr>
              <w:t>SERVICE SCIENCE</w:t>
            </w:r>
          </w:p>
        </w:tc>
        <w:tc>
          <w:tcPr>
            <w:tcW w:w="1393" w:type="dxa"/>
            <w:shd w:val="clear" w:color="auto" w:fill="F1F1F1"/>
          </w:tcPr>
          <w:p>
            <w:pPr>
              <w:pStyle w:val="TableParagraph"/>
              <w:ind w:left="368"/>
              <w:rPr>
                <w:sz w:val="20"/>
              </w:rPr>
            </w:pPr>
            <w:r>
              <w:rPr>
                <w:w w:val="99"/>
                <w:sz w:val="20"/>
              </w:rPr>
              <w:t>1</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42</w:t>
            </w:r>
          </w:p>
        </w:tc>
        <w:tc>
          <w:tcPr>
            <w:tcW w:w="6960" w:type="dxa"/>
            <w:tcBorders>
              <w:left w:val="single" w:sz="4" w:space="0" w:color="7E7E7E"/>
            </w:tcBorders>
          </w:tcPr>
          <w:p>
            <w:pPr>
              <w:pStyle w:val="TableParagraph"/>
              <w:ind w:left="102"/>
              <w:rPr>
                <w:sz w:val="20"/>
              </w:rPr>
            </w:pPr>
            <w:r>
              <w:rPr>
                <w:sz w:val="20"/>
              </w:rPr>
              <w:t>EUROPEAN JOURNAL OF MARKETING</w:t>
            </w:r>
          </w:p>
        </w:tc>
        <w:tc>
          <w:tcPr>
            <w:tcW w:w="1393" w:type="dxa"/>
          </w:tcPr>
          <w:p>
            <w:pPr>
              <w:pStyle w:val="TableParagraph"/>
              <w:ind w:left="368"/>
              <w:rPr>
                <w:sz w:val="20"/>
              </w:rPr>
            </w:pPr>
            <w:r>
              <w:rPr>
                <w:w w:val="99"/>
                <w:sz w:val="20"/>
              </w:rPr>
              <w:t>1</w:t>
            </w:r>
          </w:p>
        </w:tc>
      </w:tr>
      <w:tr>
        <w:trPr>
          <w:trHeight w:val="46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43</w:t>
            </w:r>
          </w:p>
        </w:tc>
        <w:tc>
          <w:tcPr>
            <w:tcW w:w="6960" w:type="dxa"/>
            <w:tcBorders>
              <w:left w:val="single" w:sz="4" w:space="0" w:color="7E7E7E"/>
            </w:tcBorders>
            <w:shd w:val="clear" w:color="auto" w:fill="F1F1F1"/>
          </w:tcPr>
          <w:p>
            <w:pPr>
              <w:pStyle w:val="TableParagraph"/>
              <w:spacing w:line="230" w:lineRule="atLeast"/>
              <w:ind w:left="102"/>
              <w:rPr>
                <w:sz w:val="20"/>
              </w:rPr>
            </w:pPr>
            <w:r>
              <w:rPr>
                <w:sz w:val="20"/>
              </w:rPr>
              <w:t>JOURNAL OF THEORETICAL AND APPLIED ELECTRONIC COMMERCE RESEARCH</w:t>
            </w:r>
          </w:p>
        </w:tc>
        <w:tc>
          <w:tcPr>
            <w:tcW w:w="1393" w:type="dxa"/>
            <w:shd w:val="clear" w:color="auto" w:fill="F1F1F1"/>
          </w:tcPr>
          <w:p>
            <w:pPr>
              <w:pStyle w:val="TableParagraph"/>
              <w:ind w:left="368"/>
              <w:rPr>
                <w:sz w:val="20"/>
              </w:rPr>
            </w:pPr>
            <w:r>
              <w:rPr>
                <w:w w:val="99"/>
                <w:sz w:val="20"/>
              </w:rPr>
              <w:t>1</w:t>
            </w:r>
          </w:p>
        </w:tc>
      </w:tr>
      <w:tr>
        <w:trPr>
          <w:trHeight w:val="288" w:hRule="atLeast"/>
        </w:trPr>
        <w:tc>
          <w:tcPr>
            <w:tcW w:w="437" w:type="dxa"/>
            <w:tcBorders>
              <w:right w:val="single" w:sz="4" w:space="0" w:color="7E7E7E"/>
            </w:tcBorders>
          </w:tcPr>
          <w:p>
            <w:pPr>
              <w:pStyle w:val="TableParagraph"/>
              <w:spacing w:line="228" w:lineRule="exact"/>
              <w:ind w:left="90" w:right="102"/>
              <w:jc w:val="center"/>
              <w:rPr>
                <w:b/>
                <w:sz w:val="20"/>
              </w:rPr>
            </w:pPr>
            <w:r>
              <w:rPr>
                <w:b/>
                <w:sz w:val="20"/>
              </w:rPr>
              <w:t>44</w:t>
            </w:r>
          </w:p>
        </w:tc>
        <w:tc>
          <w:tcPr>
            <w:tcW w:w="6960" w:type="dxa"/>
            <w:tcBorders>
              <w:left w:val="single" w:sz="4" w:space="0" w:color="7E7E7E"/>
            </w:tcBorders>
          </w:tcPr>
          <w:p>
            <w:pPr>
              <w:pStyle w:val="TableParagraph"/>
              <w:spacing w:line="228" w:lineRule="exact"/>
              <w:ind w:left="102"/>
              <w:rPr>
                <w:sz w:val="20"/>
              </w:rPr>
            </w:pPr>
            <w:r>
              <w:rPr>
                <w:sz w:val="20"/>
              </w:rPr>
              <w:t>JOURNAL OF CONSUMER BEHAVIOUR</w:t>
            </w:r>
          </w:p>
        </w:tc>
        <w:tc>
          <w:tcPr>
            <w:tcW w:w="1393" w:type="dxa"/>
          </w:tcPr>
          <w:p>
            <w:pPr>
              <w:pStyle w:val="TableParagraph"/>
              <w:spacing w:line="228" w:lineRule="exact"/>
              <w:ind w:left="368"/>
              <w:rPr>
                <w:sz w:val="20"/>
              </w:rPr>
            </w:pPr>
            <w:r>
              <w:rPr>
                <w:w w:val="99"/>
                <w:sz w:val="20"/>
              </w:rPr>
              <w:t>1</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45</w:t>
            </w:r>
          </w:p>
        </w:tc>
        <w:tc>
          <w:tcPr>
            <w:tcW w:w="6960" w:type="dxa"/>
            <w:tcBorders>
              <w:left w:val="single" w:sz="4" w:space="0" w:color="7E7E7E"/>
            </w:tcBorders>
            <w:shd w:val="clear" w:color="auto" w:fill="F1F1F1"/>
          </w:tcPr>
          <w:p>
            <w:pPr>
              <w:pStyle w:val="TableParagraph"/>
              <w:ind w:left="102"/>
              <w:rPr>
                <w:sz w:val="20"/>
              </w:rPr>
            </w:pPr>
            <w:r>
              <w:rPr>
                <w:sz w:val="20"/>
              </w:rPr>
              <w:t>MARKETING LETTERS</w:t>
            </w:r>
          </w:p>
        </w:tc>
        <w:tc>
          <w:tcPr>
            <w:tcW w:w="1393" w:type="dxa"/>
            <w:shd w:val="clear" w:color="auto" w:fill="F1F1F1"/>
          </w:tcPr>
          <w:p>
            <w:pPr>
              <w:pStyle w:val="TableParagraph"/>
              <w:ind w:left="368"/>
              <w:rPr>
                <w:sz w:val="20"/>
              </w:rPr>
            </w:pPr>
            <w:r>
              <w:rPr>
                <w:w w:val="99"/>
                <w:sz w:val="20"/>
              </w:rPr>
              <w:t>1</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46</w:t>
            </w:r>
          </w:p>
        </w:tc>
        <w:tc>
          <w:tcPr>
            <w:tcW w:w="6960" w:type="dxa"/>
            <w:tcBorders>
              <w:left w:val="single" w:sz="4" w:space="0" w:color="7E7E7E"/>
            </w:tcBorders>
          </w:tcPr>
          <w:p>
            <w:pPr>
              <w:pStyle w:val="TableParagraph"/>
              <w:ind w:left="102"/>
              <w:rPr>
                <w:sz w:val="20"/>
              </w:rPr>
            </w:pPr>
            <w:r>
              <w:rPr>
                <w:sz w:val="20"/>
              </w:rPr>
              <w:t>COMPUTERS &amp; INDUSTRIAL ENGINEERING</w:t>
            </w:r>
          </w:p>
        </w:tc>
        <w:tc>
          <w:tcPr>
            <w:tcW w:w="1393" w:type="dxa"/>
          </w:tcPr>
          <w:p>
            <w:pPr>
              <w:pStyle w:val="TableParagraph"/>
              <w:ind w:left="368"/>
              <w:rPr>
                <w:sz w:val="20"/>
              </w:rPr>
            </w:pPr>
            <w:r>
              <w:rPr>
                <w:w w:val="99"/>
                <w:sz w:val="20"/>
              </w:rPr>
              <w:t>1</w:t>
            </w:r>
          </w:p>
        </w:tc>
      </w:tr>
      <w:tr>
        <w:trPr>
          <w:trHeight w:val="46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47</w:t>
            </w:r>
          </w:p>
        </w:tc>
        <w:tc>
          <w:tcPr>
            <w:tcW w:w="6960" w:type="dxa"/>
            <w:tcBorders>
              <w:left w:val="single" w:sz="4" w:space="0" w:color="7E7E7E"/>
            </w:tcBorders>
            <w:shd w:val="clear" w:color="auto" w:fill="F1F1F1"/>
          </w:tcPr>
          <w:p>
            <w:pPr>
              <w:pStyle w:val="TableParagraph"/>
              <w:spacing w:line="230" w:lineRule="atLeast"/>
              <w:ind w:left="102"/>
              <w:rPr>
                <w:sz w:val="20"/>
              </w:rPr>
            </w:pPr>
            <w:r>
              <w:rPr>
                <w:sz w:val="20"/>
              </w:rPr>
              <w:t>INTERNATIONAL JOURNAL OF OPERATIONS &amp; PRODUCTION MANAGEMENT</w:t>
            </w:r>
          </w:p>
        </w:tc>
        <w:tc>
          <w:tcPr>
            <w:tcW w:w="1393" w:type="dxa"/>
            <w:shd w:val="clear" w:color="auto" w:fill="F1F1F1"/>
          </w:tcPr>
          <w:p>
            <w:pPr>
              <w:pStyle w:val="TableParagraph"/>
              <w:ind w:left="368"/>
              <w:rPr>
                <w:sz w:val="20"/>
              </w:rPr>
            </w:pPr>
            <w:r>
              <w:rPr>
                <w:w w:val="99"/>
                <w:sz w:val="20"/>
              </w:rPr>
              <w:t>1</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48</w:t>
            </w:r>
          </w:p>
        </w:tc>
        <w:tc>
          <w:tcPr>
            <w:tcW w:w="6960" w:type="dxa"/>
            <w:tcBorders>
              <w:left w:val="single" w:sz="4" w:space="0" w:color="7E7E7E"/>
            </w:tcBorders>
          </w:tcPr>
          <w:p>
            <w:pPr>
              <w:pStyle w:val="TableParagraph"/>
              <w:ind w:left="102"/>
              <w:rPr>
                <w:sz w:val="20"/>
              </w:rPr>
            </w:pPr>
            <w:r>
              <w:rPr>
                <w:sz w:val="20"/>
              </w:rPr>
              <w:t>INTERNATIONAL JOURNAL OF BUSINESS</w:t>
            </w:r>
          </w:p>
        </w:tc>
        <w:tc>
          <w:tcPr>
            <w:tcW w:w="1393" w:type="dxa"/>
          </w:tcPr>
          <w:p>
            <w:pPr>
              <w:pStyle w:val="TableParagraph"/>
              <w:ind w:left="368"/>
              <w:rPr>
                <w:sz w:val="20"/>
              </w:rPr>
            </w:pPr>
            <w:r>
              <w:rPr>
                <w:w w:val="99"/>
                <w:sz w:val="20"/>
              </w:rPr>
              <w:t>1</w:t>
            </w:r>
          </w:p>
        </w:tc>
      </w:tr>
      <w:tr>
        <w:trPr>
          <w:trHeight w:val="458" w:hRule="atLeast"/>
        </w:trPr>
        <w:tc>
          <w:tcPr>
            <w:tcW w:w="437" w:type="dxa"/>
            <w:tcBorders>
              <w:right w:val="single" w:sz="4" w:space="0" w:color="7E7E7E"/>
            </w:tcBorders>
            <w:shd w:val="clear" w:color="auto" w:fill="F1F1F1"/>
          </w:tcPr>
          <w:p>
            <w:pPr>
              <w:pStyle w:val="TableParagraph"/>
              <w:spacing w:line="228" w:lineRule="exact"/>
              <w:ind w:left="90" w:right="102"/>
              <w:jc w:val="center"/>
              <w:rPr>
                <w:b/>
                <w:sz w:val="20"/>
              </w:rPr>
            </w:pPr>
            <w:r>
              <w:rPr>
                <w:b/>
                <w:sz w:val="20"/>
              </w:rPr>
              <w:t>49</w:t>
            </w:r>
          </w:p>
        </w:tc>
        <w:tc>
          <w:tcPr>
            <w:tcW w:w="6960" w:type="dxa"/>
            <w:tcBorders>
              <w:left w:val="single" w:sz="4" w:space="0" w:color="7E7E7E"/>
            </w:tcBorders>
            <w:shd w:val="clear" w:color="auto" w:fill="F1F1F1"/>
          </w:tcPr>
          <w:p>
            <w:pPr>
              <w:pStyle w:val="TableParagraph"/>
              <w:spacing w:line="232" w:lineRule="exact"/>
              <w:ind w:left="102"/>
              <w:rPr>
                <w:sz w:val="20"/>
              </w:rPr>
            </w:pPr>
            <w:r>
              <w:rPr>
                <w:sz w:val="20"/>
              </w:rPr>
              <w:t>INTERNATIONAL JOURNAL OF HOSPITALITY AND TOURISM ADMINISTRATION</w:t>
            </w:r>
          </w:p>
        </w:tc>
        <w:tc>
          <w:tcPr>
            <w:tcW w:w="1393" w:type="dxa"/>
            <w:shd w:val="clear" w:color="auto" w:fill="F1F1F1"/>
          </w:tcPr>
          <w:p>
            <w:pPr>
              <w:pStyle w:val="TableParagraph"/>
              <w:spacing w:line="228" w:lineRule="exact"/>
              <w:ind w:left="368"/>
              <w:rPr>
                <w:sz w:val="20"/>
              </w:rPr>
            </w:pPr>
            <w:r>
              <w:rPr>
                <w:w w:val="99"/>
                <w:sz w:val="20"/>
              </w:rPr>
              <w:t>1</w:t>
            </w:r>
          </w:p>
        </w:tc>
      </w:tr>
      <w:tr>
        <w:trPr>
          <w:trHeight w:val="285" w:hRule="atLeast"/>
        </w:trPr>
        <w:tc>
          <w:tcPr>
            <w:tcW w:w="437" w:type="dxa"/>
            <w:tcBorders>
              <w:right w:val="single" w:sz="4" w:space="0" w:color="7E7E7E"/>
            </w:tcBorders>
          </w:tcPr>
          <w:p>
            <w:pPr>
              <w:pStyle w:val="TableParagraph"/>
              <w:spacing w:line="225" w:lineRule="exact"/>
              <w:ind w:left="90" w:right="102"/>
              <w:jc w:val="center"/>
              <w:rPr>
                <w:b/>
                <w:sz w:val="20"/>
              </w:rPr>
            </w:pPr>
            <w:r>
              <w:rPr>
                <w:b/>
                <w:sz w:val="20"/>
              </w:rPr>
              <w:t>50</w:t>
            </w:r>
          </w:p>
        </w:tc>
        <w:tc>
          <w:tcPr>
            <w:tcW w:w="6960" w:type="dxa"/>
            <w:tcBorders>
              <w:left w:val="single" w:sz="4" w:space="0" w:color="7E7E7E"/>
            </w:tcBorders>
          </w:tcPr>
          <w:p>
            <w:pPr>
              <w:pStyle w:val="TableParagraph"/>
              <w:spacing w:line="225" w:lineRule="exact"/>
              <w:ind w:left="102"/>
              <w:rPr>
                <w:sz w:val="20"/>
              </w:rPr>
            </w:pPr>
            <w:r>
              <w:rPr>
                <w:sz w:val="20"/>
              </w:rPr>
              <w:t>INFORMATION DISCOVERY AND DELIVERY</w:t>
            </w:r>
          </w:p>
        </w:tc>
        <w:tc>
          <w:tcPr>
            <w:tcW w:w="1393" w:type="dxa"/>
          </w:tcPr>
          <w:p>
            <w:pPr>
              <w:pStyle w:val="TableParagraph"/>
              <w:spacing w:line="225" w:lineRule="exact"/>
              <w:ind w:left="368"/>
              <w:rPr>
                <w:sz w:val="20"/>
              </w:rPr>
            </w:pPr>
            <w:r>
              <w:rPr>
                <w:w w:val="99"/>
                <w:sz w:val="20"/>
              </w:rPr>
              <w:t>1</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51</w:t>
            </w:r>
          </w:p>
        </w:tc>
        <w:tc>
          <w:tcPr>
            <w:tcW w:w="6960" w:type="dxa"/>
            <w:tcBorders>
              <w:left w:val="single" w:sz="4" w:space="0" w:color="7E7E7E"/>
            </w:tcBorders>
            <w:shd w:val="clear" w:color="auto" w:fill="F1F1F1"/>
          </w:tcPr>
          <w:p>
            <w:pPr>
              <w:pStyle w:val="TableParagraph"/>
              <w:ind w:left="102"/>
              <w:rPr>
                <w:sz w:val="20"/>
              </w:rPr>
            </w:pPr>
            <w:r>
              <w:rPr>
                <w:sz w:val="20"/>
              </w:rPr>
              <w:t>ONLINE INFORMATION REVIEW</w:t>
            </w:r>
          </w:p>
        </w:tc>
        <w:tc>
          <w:tcPr>
            <w:tcW w:w="1393" w:type="dxa"/>
            <w:shd w:val="clear" w:color="auto" w:fill="F1F1F1"/>
          </w:tcPr>
          <w:p>
            <w:pPr>
              <w:pStyle w:val="TableParagraph"/>
              <w:ind w:left="368"/>
              <w:rPr>
                <w:sz w:val="20"/>
              </w:rPr>
            </w:pPr>
            <w:r>
              <w:rPr>
                <w:w w:val="99"/>
                <w:sz w:val="20"/>
              </w:rPr>
              <w:t>1</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52</w:t>
            </w:r>
          </w:p>
        </w:tc>
        <w:tc>
          <w:tcPr>
            <w:tcW w:w="6960" w:type="dxa"/>
            <w:tcBorders>
              <w:left w:val="single" w:sz="4" w:space="0" w:color="7E7E7E"/>
            </w:tcBorders>
          </w:tcPr>
          <w:p>
            <w:pPr>
              <w:pStyle w:val="TableParagraph"/>
              <w:ind w:left="102"/>
              <w:rPr>
                <w:sz w:val="20"/>
              </w:rPr>
            </w:pPr>
            <w:r>
              <w:rPr>
                <w:sz w:val="20"/>
              </w:rPr>
              <w:t>GLOBAL BUSINESS REVIEW</w:t>
            </w:r>
          </w:p>
        </w:tc>
        <w:tc>
          <w:tcPr>
            <w:tcW w:w="1393" w:type="dxa"/>
          </w:tcPr>
          <w:p>
            <w:pPr>
              <w:pStyle w:val="TableParagraph"/>
              <w:ind w:left="368"/>
              <w:rPr>
                <w:sz w:val="20"/>
              </w:rPr>
            </w:pPr>
            <w:r>
              <w:rPr>
                <w:w w:val="99"/>
                <w:sz w:val="20"/>
              </w:rPr>
              <w:t>1</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53</w:t>
            </w:r>
          </w:p>
        </w:tc>
        <w:tc>
          <w:tcPr>
            <w:tcW w:w="6960" w:type="dxa"/>
            <w:tcBorders>
              <w:left w:val="single" w:sz="4" w:space="0" w:color="7E7E7E"/>
            </w:tcBorders>
            <w:shd w:val="clear" w:color="auto" w:fill="F1F1F1"/>
          </w:tcPr>
          <w:p>
            <w:pPr>
              <w:pStyle w:val="TableParagraph"/>
              <w:ind w:left="102"/>
              <w:rPr>
                <w:sz w:val="20"/>
              </w:rPr>
            </w:pPr>
            <w:r>
              <w:rPr>
                <w:sz w:val="20"/>
              </w:rPr>
              <w:t>BRITISH FOOD JOURNAL</w:t>
            </w:r>
          </w:p>
        </w:tc>
        <w:tc>
          <w:tcPr>
            <w:tcW w:w="1393" w:type="dxa"/>
            <w:shd w:val="clear" w:color="auto" w:fill="F1F1F1"/>
          </w:tcPr>
          <w:p>
            <w:pPr>
              <w:pStyle w:val="TableParagraph"/>
              <w:ind w:left="368"/>
              <w:rPr>
                <w:sz w:val="20"/>
              </w:rPr>
            </w:pPr>
            <w:r>
              <w:rPr>
                <w:w w:val="99"/>
                <w:sz w:val="20"/>
              </w:rPr>
              <w:t>1</w:t>
            </w:r>
          </w:p>
        </w:tc>
      </w:tr>
      <w:tr>
        <w:trPr>
          <w:trHeight w:val="287" w:hRule="atLeast"/>
        </w:trPr>
        <w:tc>
          <w:tcPr>
            <w:tcW w:w="437" w:type="dxa"/>
            <w:tcBorders>
              <w:right w:val="single" w:sz="4" w:space="0" w:color="7E7E7E"/>
            </w:tcBorders>
          </w:tcPr>
          <w:p>
            <w:pPr>
              <w:pStyle w:val="TableParagraph"/>
              <w:spacing w:line="228" w:lineRule="exact"/>
              <w:ind w:left="90" w:right="102"/>
              <w:jc w:val="center"/>
              <w:rPr>
                <w:b/>
                <w:sz w:val="20"/>
              </w:rPr>
            </w:pPr>
            <w:r>
              <w:rPr>
                <w:b/>
                <w:sz w:val="20"/>
              </w:rPr>
              <w:t>54</w:t>
            </w:r>
          </w:p>
        </w:tc>
        <w:tc>
          <w:tcPr>
            <w:tcW w:w="6960" w:type="dxa"/>
            <w:tcBorders>
              <w:left w:val="single" w:sz="4" w:space="0" w:color="7E7E7E"/>
            </w:tcBorders>
          </w:tcPr>
          <w:p>
            <w:pPr>
              <w:pStyle w:val="TableParagraph"/>
              <w:spacing w:line="228" w:lineRule="exact"/>
              <w:ind w:left="102"/>
              <w:rPr>
                <w:sz w:val="20"/>
              </w:rPr>
            </w:pPr>
            <w:r>
              <w:rPr>
                <w:sz w:val="20"/>
              </w:rPr>
              <w:t>COGENT BUSINESS &amp; MANAGEMENT</w:t>
            </w:r>
          </w:p>
        </w:tc>
        <w:tc>
          <w:tcPr>
            <w:tcW w:w="1393" w:type="dxa"/>
          </w:tcPr>
          <w:p>
            <w:pPr>
              <w:pStyle w:val="TableParagraph"/>
              <w:spacing w:line="228" w:lineRule="exact"/>
              <w:ind w:left="368"/>
              <w:rPr>
                <w:sz w:val="20"/>
              </w:rPr>
            </w:pPr>
            <w:r>
              <w:rPr>
                <w:w w:val="99"/>
                <w:sz w:val="20"/>
              </w:rPr>
              <w:t>1</w:t>
            </w:r>
          </w:p>
        </w:tc>
      </w:tr>
      <w:tr>
        <w:trPr>
          <w:trHeight w:val="290" w:hRule="atLeast"/>
        </w:trPr>
        <w:tc>
          <w:tcPr>
            <w:tcW w:w="437" w:type="dxa"/>
            <w:tcBorders>
              <w:right w:val="single" w:sz="4" w:space="0" w:color="7E7E7E"/>
            </w:tcBorders>
            <w:shd w:val="clear" w:color="auto" w:fill="F1F1F1"/>
          </w:tcPr>
          <w:p>
            <w:pPr>
              <w:pStyle w:val="TableParagraph"/>
              <w:ind w:left="90" w:right="102"/>
              <w:jc w:val="center"/>
              <w:rPr>
                <w:b/>
                <w:sz w:val="20"/>
              </w:rPr>
            </w:pPr>
            <w:r>
              <w:rPr>
                <w:b/>
                <w:sz w:val="20"/>
              </w:rPr>
              <w:t>55</w:t>
            </w:r>
          </w:p>
        </w:tc>
        <w:tc>
          <w:tcPr>
            <w:tcW w:w="6960" w:type="dxa"/>
            <w:tcBorders>
              <w:left w:val="single" w:sz="4" w:space="0" w:color="7E7E7E"/>
            </w:tcBorders>
            <w:shd w:val="clear" w:color="auto" w:fill="F1F1F1"/>
          </w:tcPr>
          <w:p>
            <w:pPr>
              <w:pStyle w:val="TableParagraph"/>
              <w:ind w:left="102"/>
              <w:rPr>
                <w:sz w:val="20"/>
              </w:rPr>
            </w:pPr>
            <w:r>
              <w:rPr>
                <w:sz w:val="20"/>
              </w:rPr>
              <w:t>INTERNATIONAL JOURNAL OF PRODUCTION RESEARCH</w:t>
            </w:r>
          </w:p>
        </w:tc>
        <w:tc>
          <w:tcPr>
            <w:tcW w:w="1393" w:type="dxa"/>
            <w:shd w:val="clear" w:color="auto" w:fill="F1F1F1"/>
          </w:tcPr>
          <w:p>
            <w:pPr>
              <w:pStyle w:val="TableParagraph"/>
              <w:ind w:left="368"/>
              <w:rPr>
                <w:sz w:val="20"/>
              </w:rPr>
            </w:pPr>
            <w:r>
              <w:rPr>
                <w:w w:val="99"/>
                <w:sz w:val="20"/>
              </w:rPr>
              <w:t>1</w:t>
            </w:r>
          </w:p>
        </w:tc>
      </w:tr>
      <w:tr>
        <w:trPr>
          <w:trHeight w:val="290" w:hRule="atLeast"/>
        </w:trPr>
        <w:tc>
          <w:tcPr>
            <w:tcW w:w="437" w:type="dxa"/>
            <w:tcBorders>
              <w:right w:val="single" w:sz="4" w:space="0" w:color="7E7E7E"/>
            </w:tcBorders>
          </w:tcPr>
          <w:p>
            <w:pPr>
              <w:pStyle w:val="TableParagraph"/>
              <w:ind w:left="90" w:right="102"/>
              <w:jc w:val="center"/>
              <w:rPr>
                <w:b/>
                <w:sz w:val="20"/>
              </w:rPr>
            </w:pPr>
            <w:r>
              <w:rPr>
                <w:b/>
                <w:sz w:val="20"/>
              </w:rPr>
              <w:t>56</w:t>
            </w:r>
          </w:p>
        </w:tc>
        <w:tc>
          <w:tcPr>
            <w:tcW w:w="6960" w:type="dxa"/>
            <w:tcBorders>
              <w:left w:val="single" w:sz="4" w:space="0" w:color="7E7E7E"/>
            </w:tcBorders>
          </w:tcPr>
          <w:p>
            <w:pPr>
              <w:pStyle w:val="TableParagraph"/>
              <w:ind w:left="102"/>
              <w:rPr>
                <w:sz w:val="20"/>
              </w:rPr>
            </w:pPr>
            <w:r>
              <w:rPr>
                <w:sz w:val="20"/>
              </w:rPr>
              <w:t>JOURNAL OF PRODUCT INNOVATION MANAGEMENT</w:t>
            </w:r>
          </w:p>
        </w:tc>
        <w:tc>
          <w:tcPr>
            <w:tcW w:w="1393" w:type="dxa"/>
          </w:tcPr>
          <w:p>
            <w:pPr>
              <w:pStyle w:val="TableParagraph"/>
              <w:ind w:left="368"/>
              <w:rPr>
                <w:sz w:val="20"/>
              </w:rPr>
            </w:pPr>
            <w:r>
              <w:rPr>
                <w:w w:val="99"/>
                <w:sz w:val="20"/>
              </w:rPr>
              <w:t>1</w:t>
            </w:r>
          </w:p>
        </w:tc>
      </w:tr>
    </w:tbl>
    <w:p>
      <w:pPr>
        <w:spacing w:after="0"/>
        <w:rPr>
          <w:sz w:val="20"/>
        </w:rPr>
        <w:sectPr>
          <w:pgSz w:w="12240" w:h="15840"/>
          <w:pgMar w:header="718" w:footer="0" w:top="1300" w:bottom="280" w:left="1720" w:right="820"/>
        </w:sectPr>
      </w:pPr>
    </w:p>
    <w:p>
      <w:pPr>
        <w:pStyle w:val="BodyText"/>
        <w:spacing w:before="9"/>
        <w:ind w:left="0"/>
        <w:jc w:val="left"/>
        <w:rPr>
          <w:sz w:val="8"/>
        </w:rPr>
      </w:pP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1"/>
        <w:gridCol w:w="6820"/>
        <w:gridCol w:w="1534"/>
      </w:tblGrid>
      <w:tr>
        <w:trPr>
          <w:trHeight w:val="290" w:hRule="atLeast"/>
        </w:trPr>
        <w:tc>
          <w:tcPr>
            <w:tcW w:w="451" w:type="dxa"/>
            <w:tcBorders>
              <w:right w:val="single" w:sz="4" w:space="0" w:color="7E7E7E"/>
            </w:tcBorders>
            <w:shd w:val="clear" w:color="auto" w:fill="F1F1F1"/>
          </w:tcPr>
          <w:p>
            <w:pPr>
              <w:pStyle w:val="TableParagraph"/>
              <w:ind w:left="103" w:right="103"/>
              <w:jc w:val="center"/>
              <w:rPr>
                <w:b/>
                <w:sz w:val="20"/>
              </w:rPr>
            </w:pPr>
            <w:r>
              <w:rPr>
                <w:b/>
                <w:sz w:val="20"/>
              </w:rPr>
              <w:t>57</w:t>
            </w:r>
          </w:p>
        </w:tc>
        <w:tc>
          <w:tcPr>
            <w:tcW w:w="6820" w:type="dxa"/>
            <w:tcBorders>
              <w:left w:val="single" w:sz="4" w:space="0" w:color="7E7E7E"/>
            </w:tcBorders>
            <w:shd w:val="clear" w:color="auto" w:fill="F1F1F1"/>
          </w:tcPr>
          <w:p>
            <w:pPr>
              <w:pStyle w:val="TableParagraph"/>
              <w:ind w:left="103"/>
              <w:rPr>
                <w:sz w:val="20"/>
              </w:rPr>
            </w:pPr>
            <w:r>
              <w:rPr>
                <w:sz w:val="20"/>
              </w:rPr>
              <w:t>PRODUCTION PLANNING &amp; CONTROL</w:t>
            </w:r>
          </w:p>
        </w:tc>
        <w:tc>
          <w:tcPr>
            <w:tcW w:w="1534" w:type="dxa"/>
            <w:shd w:val="clear" w:color="auto" w:fill="F1F1F1"/>
          </w:tcPr>
          <w:p>
            <w:pPr>
              <w:pStyle w:val="TableParagraph"/>
              <w:ind w:left="508"/>
              <w:rPr>
                <w:sz w:val="20"/>
              </w:rPr>
            </w:pPr>
            <w:r>
              <w:rPr>
                <w:w w:val="99"/>
                <w:sz w:val="20"/>
              </w:rPr>
              <w:t>1</w:t>
            </w:r>
          </w:p>
        </w:tc>
      </w:tr>
      <w:tr>
        <w:trPr>
          <w:trHeight w:val="288" w:hRule="atLeast"/>
        </w:trPr>
        <w:tc>
          <w:tcPr>
            <w:tcW w:w="451" w:type="dxa"/>
            <w:tcBorders>
              <w:right w:val="single" w:sz="4" w:space="0" w:color="7E7E7E"/>
            </w:tcBorders>
          </w:tcPr>
          <w:p>
            <w:pPr>
              <w:pStyle w:val="TableParagraph"/>
              <w:spacing w:line="228" w:lineRule="exact"/>
              <w:ind w:left="103" w:right="103"/>
              <w:jc w:val="center"/>
              <w:rPr>
                <w:b/>
                <w:sz w:val="20"/>
              </w:rPr>
            </w:pPr>
            <w:r>
              <w:rPr>
                <w:b/>
                <w:sz w:val="20"/>
              </w:rPr>
              <w:t>58</w:t>
            </w:r>
          </w:p>
        </w:tc>
        <w:tc>
          <w:tcPr>
            <w:tcW w:w="6820" w:type="dxa"/>
            <w:tcBorders>
              <w:left w:val="single" w:sz="4" w:space="0" w:color="7E7E7E"/>
            </w:tcBorders>
          </w:tcPr>
          <w:p>
            <w:pPr>
              <w:pStyle w:val="TableParagraph"/>
              <w:spacing w:line="228" w:lineRule="exact"/>
              <w:ind w:left="103"/>
              <w:rPr>
                <w:sz w:val="20"/>
              </w:rPr>
            </w:pPr>
            <w:r>
              <w:rPr>
                <w:sz w:val="20"/>
              </w:rPr>
              <w:t>JOURNAL OF MECHANICAL DESIGN</w:t>
            </w:r>
          </w:p>
        </w:tc>
        <w:tc>
          <w:tcPr>
            <w:tcW w:w="1534" w:type="dxa"/>
          </w:tcPr>
          <w:p>
            <w:pPr>
              <w:pStyle w:val="TableParagraph"/>
              <w:spacing w:line="228" w:lineRule="exact"/>
              <w:ind w:left="508"/>
              <w:rPr>
                <w:sz w:val="20"/>
              </w:rPr>
            </w:pPr>
            <w:r>
              <w:rPr>
                <w:w w:val="99"/>
                <w:sz w:val="20"/>
              </w:rPr>
              <w:t>1</w:t>
            </w:r>
          </w:p>
        </w:tc>
      </w:tr>
      <w:tr>
        <w:trPr>
          <w:trHeight w:val="290" w:hRule="atLeast"/>
        </w:trPr>
        <w:tc>
          <w:tcPr>
            <w:tcW w:w="451" w:type="dxa"/>
            <w:tcBorders>
              <w:right w:val="single" w:sz="4" w:space="0" w:color="7E7E7E"/>
            </w:tcBorders>
            <w:shd w:val="clear" w:color="auto" w:fill="F1F1F1"/>
          </w:tcPr>
          <w:p>
            <w:pPr>
              <w:pStyle w:val="TableParagraph"/>
              <w:ind w:left="103" w:right="103"/>
              <w:jc w:val="center"/>
              <w:rPr>
                <w:b/>
                <w:sz w:val="20"/>
              </w:rPr>
            </w:pPr>
            <w:r>
              <w:rPr>
                <w:b/>
                <w:sz w:val="20"/>
              </w:rPr>
              <w:t>59</w:t>
            </w:r>
          </w:p>
        </w:tc>
        <w:tc>
          <w:tcPr>
            <w:tcW w:w="6820" w:type="dxa"/>
            <w:tcBorders>
              <w:left w:val="single" w:sz="4" w:space="0" w:color="7E7E7E"/>
            </w:tcBorders>
            <w:shd w:val="clear" w:color="auto" w:fill="F1F1F1"/>
          </w:tcPr>
          <w:p>
            <w:pPr>
              <w:pStyle w:val="TableParagraph"/>
              <w:ind w:left="103"/>
              <w:rPr>
                <w:sz w:val="20"/>
              </w:rPr>
            </w:pPr>
            <w:r>
              <w:rPr>
                <w:sz w:val="20"/>
              </w:rPr>
              <w:t>JOURNAL OF ADVERTISING</w:t>
            </w:r>
          </w:p>
        </w:tc>
        <w:tc>
          <w:tcPr>
            <w:tcW w:w="1534" w:type="dxa"/>
            <w:shd w:val="clear" w:color="auto" w:fill="F1F1F1"/>
          </w:tcPr>
          <w:p>
            <w:pPr>
              <w:pStyle w:val="TableParagraph"/>
              <w:ind w:left="508"/>
              <w:rPr>
                <w:sz w:val="20"/>
              </w:rPr>
            </w:pPr>
            <w:r>
              <w:rPr>
                <w:w w:val="99"/>
                <w:sz w:val="20"/>
              </w:rPr>
              <w:t>1</w:t>
            </w:r>
          </w:p>
        </w:tc>
      </w:tr>
      <w:tr>
        <w:trPr>
          <w:trHeight w:val="290" w:hRule="atLeast"/>
        </w:trPr>
        <w:tc>
          <w:tcPr>
            <w:tcW w:w="451" w:type="dxa"/>
            <w:tcBorders>
              <w:right w:val="single" w:sz="4" w:space="0" w:color="7E7E7E"/>
            </w:tcBorders>
          </w:tcPr>
          <w:p>
            <w:pPr>
              <w:pStyle w:val="TableParagraph"/>
              <w:ind w:left="103" w:right="103"/>
              <w:jc w:val="center"/>
              <w:rPr>
                <w:b/>
                <w:sz w:val="20"/>
              </w:rPr>
            </w:pPr>
            <w:r>
              <w:rPr>
                <w:b/>
                <w:sz w:val="20"/>
              </w:rPr>
              <w:t>60</w:t>
            </w:r>
          </w:p>
        </w:tc>
        <w:tc>
          <w:tcPr>
            <w:tcW w:w="6820" w:type="dxa"/>
            <w:tcBorders>
              <w:left w:val="single" w:sz="4" w:space="0" w:color="7E7E7E"/>
            </w:tcBorders>
          </w:tcPr>
          <w:p>
            <w:pPr>
              <w:pStyle w:val="TableParagraph"/>
              <w:ind w:left="103"/>
              <w:rPr>
                <w:sz w:val="20"/>
              </w:rPr>
            </w:pPr>
            <w:r>
              <w:rPr>
                <w:sz w:val="20"/>
              </w:rPr>
              <w:t>JOURNAL OF ECONOMIC BEHAVIOR &amp; ORGANIZATION</w:t>
            </w:r>
          </w:p>
        </w:tc>
        <w:tc>
          <w:tcPr>
            <w:tcW w:w="1534" w:type="dxa"/>
          </w:tcPr>
          <w:p>
            <w:pPr>
              <w:pStyle w:val="TableParagraph"/>
              <w:ind w:left="508"/>
              <w:rPr>
                <w:sz w:val="20"/>
              </w:rPr>
            </w:pPr>
            <w:r>
              <w:rPr>
                <w:w w:val="99"/>
                <w:sz w:val="20"/>
              </w:rPr>
              <w:t>1</w:t>
            </w:r>
          </w:p>
        </w:tc>
      </w:tr>
      <w:tr>
        <w:trPr>
          <w:trHeight w:val="290" w:hRule="atLeast"/>
        </w:trPr>
        <w:tc>
          <w:tcPr>
            <w:tcW w:w="451" w:type="dxa"/>
            <w:tcBorders>
              <w:right w:val="single" w:sz="4" w:space="0" w:color="7E7E7E"/>
            </w:tcBorders>
            <w:shd w:val="clear" w:color="auto" w:fill="F1F1F1"/>
          </w:tcPr>
          <w:p>
            <w:pPr>
              <w:pStyle w:val="TableParagraph"/>
              <w:ind w:left="103" w:right="103"/>
              <w:jc w:val="center"/>
              <w:rPr>
                <w:b/>
                <w:sz w:val="20"/>
              </w:rPr>
            </w:pPr>
            <w:r>
              <w:rPr>
                <w:b/>
                <w:sz w:val="20"/>
              </w:rPr>
              <w:t>61</w:t>
            </w:r>
          </w:p>
        </w:tc>
        <w:tc>
          <w:tcPr>
            <w:tcW w:w="6820" w:type="dxa"/>
            <w:tcBorders>
              <w:left w:val="single" w:sz="4" w:space="0" w:color="7E7E7E"/>
            </w:tcBorders>
            <w:shd w:val="clear" w:color="auto" w:fill="F1F1F1"/>
          </w:tcPr>
          <w:p>
            <w:pPr>
              <w:pStyle w:val="TableParagraph"/>
              <w:ind w:left="103"/>
              <w:rPr>
                <w:sz w:val="20"/>
              </w:rPr>
            </w:pPr>
            <w:r>
              <w:rPr>
                <w:sz w:val="20"/>
              </w:rPr>
              <w:t>REVIEW OF SOCIONETWORK STRATEGIES</w:t>
            </w:r>
          </w:p>
        </w:tc>
        <w:tc>
          <w:tcPr>
            <w:tcW w:w="1534" w:type="dxa"/>
            <w:shd w:val="clear" w:color="auto" w:fill="F1F1F1"/>
          </w:tcPr>
          <w:p>
            <w:pPr>
              <w:pStyle w:val="TableParagraph"/>
              <w:ind w:left="508"/>
              <w:rPr>
                <w:sz w:val="20"/>
              </w:rPr>
            </w:pPr>
            <w:r>
              <w:rPr>
                <w:w w:val="99"/>
                <w:sz w:val="20"/>
              </w:rPr>
              <w:t>1</w:t>
            </w:r>
          </w:p>
        </w:tc>
      </w:tr>
      <w:tr>
        <w:trPr>
          <w:trHeight w:val="290" w:hRule="atLeast"/>
        </w:trPr>
        <w:tc>
          <w:tcPr>
            <w:tcW w:w="451" w:type="dxa"/>
            <w:tcBorders>
              <w:right w:val="single" w:sz="4" w:space="0" w:color="7E7E7E"/>
            </w:tcBorders>
          </w:tcPr>
          <w:p>
            <w:pPr>
              <w:pStyle w:val="TableParagraph"/>
              <w:ind w:left="103" w:right="103"/>
              <w:jc w:val="center"/>
              <w:rPr>
                <w:b/>
                <w:sz w:val="20"/>
              </w:rPr>
            </w:pPr>
            <w:r>
              <w:rPr>
                <w:b/>
                <w:sz w:val="20"/>
              </w:rPr>
              <w:t>62</w:t>
            </w:r>
          </w:p>
        </w:tc>
        <w:tc>
          <w:tcPr>
            <w:tcW w:w="6820" w:type="dxa"/>
            <w:tcBorders>
              <w:left w:val="single" w:sz="4" w:space="0" w:color="7E7E7E"/>
            </w:tcBorders>
          </w:tcPr>
          <w:p>
            <w:pPr>
              <w:pStyle w:val="TableParagraph"/>
              <w:ind w:left="103"/>
              <w:rPr>
                <w:sz w:val="20"/>
              </w:rPr>
            </w:pPr>
            <w:r>
              <w:rPr>
                <w:sz w:val="20"/>
              </w:rPr>
              <w:t>JOURNAL OF THE ACADEMY OF MARKETING SCIENCE</w:t>
            </w:r>
          </w:p>
        </w:tc>
        <w:tc>
          <w:tcPr>
            <w:tcW w:w="1534" w:type="dxa"/>
          </w:tcPr>
          <w:p>
            <w:pPr>
              <w:pStyle w:val="TableParagraph"/>
              <w:ind w:left="508"/>
              <w:rPr>
                <w:sz w:val="20"/>
              </w:rPr>
            </w:pPr>
            <w:r>
              <w:rPr>
                <w:w w:val="99"/>
                <w:sz w:val="20"/>
              </w:rPr>
              <w:t>1</w:t>
            </w:r>
          </w:p>
        </w:tc>
      </w:tr>
      <w:tr>
        <w:trPr>
          <w:trHeight w:val="290" w:hRule="atLeast"/>
        </w:trPr>
        <w:tc>
          <w:tcPr>
            <w:tcW w:w="451" w:type="dxa"/>
            <w:tcBorders>
              <w:right w:val="single" w:sz="4" w:space="0" w:color="7E7E7E"/>
            </w:tcBorders>
            <w:shd w:val="clear" w:color="auto" w:fill="F1F1F1"/>
          </w:tcPr>
          <w:p>
            <w:pPr>
              <w:pStyle w:val="TableParagraph"/>
              <w:ind w:left="103" w:right="103"/>
              <w:jc w:val="center"/>
              <w:rPr>
                <w:b/>
                <w:sz w:val="20"/>
              </w:rPr>
            </w:pPr>
            <w:r>
              <w:rPr>
                <w:b/>
                <w:sz w:val="20"/>
              </w:rPr>
              <w:t>63</w:t>
            </w:r>
          </w:p>
        </w:tc>
        <w:tc>
          <w:tcPr>
            <w:tcW w:w="6820" w:type="dxa"/>
            <w:tcBorders>
              <w:left w:val="single" w:sz="4" w:space="0" w:color="7E7E7E"/>
            </w:tcBorders>
            <w:shd w:val="clear" w:color="auto" w:fill="F1F1F1"/>
          </w:tcPr>
          <w:p>
            <w:pPr>
              <w:pStyle w:val="TableParagraph"/>
              <w:ind w:left="103"/>
              <w:rPr>
                <w:sz w:val="20"/>
              </w:rPr>
            </w:pPr>
            <w:r>
              <w:rPr>
                <w:sz w:val="20"/>
              </w:rPr>
              <w:t>KSII TRANSACTIONS ON INTERNET AND INFORMATION SYSTEMS</w:t>
            </w:r>
          </w:p>
        </w:tc>
        <w:tc>
          <w:tcPr>
            <w:tcW w:w="1534" w:type="dxa"/>
            <w:shd w:val="clear" w:color="auto" w:fill="F1F1F1"/>
          </w:tcPr>
          <w:p>
            <w:pPr>
              <w:pStyle w:val="TableParagraph"/>
              <w:ind w:left="508"/>
              <w:rPr>
                <w:sz w:val="20"/>
              </w:rPr>
            </w:pPr>
            <w:r>
              <w:rPr>
                <w:w w:val="99"/>
                <w:sz w:val="20"/>
              </w:rPr>
              <w:t>1</w:t>
            </w:r>
          </w:p>
        </w:tc>
      </w:tr>
      <w:tr>
        <w:trPr>
          <w:trHeight w:val="287" w:hRule="atLeast"/>
        </w:trPr>
        <w:tc>
          <w:tcPr>
            <w:tcW w:w="451" w:type="dxa"/>
            <w:tcBorders>
              <w:right w:val="single" w:sz="4" w:space="0" w:color="7E7E7E"/>
            </w:tcBorders>
          </w:tcPr>
          <w:p>
            <w:pPr>
              <w:pStyle w:val="TableParagraph"/>
              <w:spacing w:line="228" w:lineRule="exact"/>
              <w:ind w:left="103" w:right="103"/>
              <w:jc w:val="center"/>
              <w:rPr>
                <w:b/>
                <w:sz w:val="20"/>
              </w:rPr>
            </w:pPr>
            <w:r>
              <w:rPr>
                <w:b/>
                <w:sz w:val="20"/>
              </w:rPr>
              <w:t>64</w:t>
            </w:r>
          </w:p>
        </w:tc>
        <w:tc>
          <w:tcPr>
            <w:tcW w:w="6820" w:type="dxa"/>
            <w:tcBorders>
              <w:left w:val="single" w:sz="4" w:space="0" w:color="7E7E7E"/>
            </w:tcBorders>
          </w:tcPr>
          <w:p>
            <w:pPr>
              <w:pStyle w:val="TableParagraph"/>
              <w:spacing w:line="228" w:lineRule="exact"/>
              <w:ind w:left="103"/>
              <w:rPr>
                <w:sz w:val="20"/>
              </w:rPr>
            </w:pPr>
            <w:r>
              <w:rPr>
                <w:sz w:val="20"/>
              </w:rPr>
              <w:t>FRONTIERS IN PSYCHOLOGY</w:t>
            </w:r>
          </w:p>
        </w:tc>
        <w:tc>
          <w:tcPr>
            <w:tcW w:w="1534" w:type="dxa"/>
          </w:tcPr>
          <w:p>
            <w:pPr>
              <w:pStyle w:val="TableParagraph"/>
              <w:spacing w:line="228" w:lineRule="exact"/>
              <w:ind w:left="508"/>
              <w:rPr>
                <w:sz w:val="20"/>
              </w:rPr>
            </w:pPr>
            <w:r>
              <w:rPr>
                <w:w w:val="99"/>
                <w:sz w:val="20"/>
              </w:rPr>
              <w:t>1</w:t>
            </w:r>
          </w:p>
        </w:tc>
      </w:tr>
      <w:tr>
        <w:trPr>
          <w:trHeight w:val="290" w:hRule="atLeast"/>
        </w:trPr>
        <w:tc>
          <w:tcPr>
            <w:tcW w:w="451" w:type="dxa"/>
            <w:tcBorders>
              <w:right w:val="single" w:sz="4" w:space="0" w:color="7E7E7E"/>
            </w:tcBorders>
            <w:shd w:val="clear" w:color="auto" w:fill="F1F1F1"/>
          </w:tcPr>
          <w:p>
            <w:pPr>
              <w:pStyle w:val="TableParagraph"/>
              <w:ind w:left="103" w:right="103"/>
              <w:jc w:val="center"/>
              <w:rPr>
                <w:b/>
                <w:sz w:val="20"/>
              </w:rPr>
            </w:pPr>
            <w:r>
              <w:rPr>
                <w:b/>
                <w:sz w:val="20"/>
              </w:rPr>
              <w:t>65</w:t>
            </w:r>
          </w:p>
        </w:tc>
        <w:tc>
          <w:tcPr>
            <w:tcW w:w="6820" w:type="dxa"/>
            <w:tcBorders>
              <w:left w:val="single" w:sz="4" w:space="0" w:color="7E7E7E"/>
            </w:tcBorders>
            <w:shd w:val="clear" w:color="auto" w:fill="F1F1F1"/>
          </w:tcPr>
          <w:p>
            <w:pPr>
              <w:pStyle w:val="TableParagraph"/>
              <w:ind w:left="103"/>
              <w:rPr>
                <w:sz w:val="20"/>
              </w:rPr>
            </w:pPr>
            <w:r>
              <w:rPr>
                <w:sz w:val="20"/>
              </w:rPr>
              <w:t>INDUSTRIAL MANAGEMENT &amp; DATA SYSTEMS</w:t>
            </w:r>
          </w:p>
        </w:tc>
        <w:tc>
          <w:tcPr>
            <w:tcW w:w="1534" w:type="dxa"/>
            <w:shd w:val="clear" w:color="auto" w:fill="F1F1F1"/>
          </w:tcPr>
          <w:p>
            <w:pPr>
              <w:pStyle w:val="TableParagraph"/>
              <w:ind w:left="508"/>
              <w:rPr>
                <w:sz w:val="20"/>
              </w:rPr>
            </w:pPr>
            <w:r>
              <w:rPr>
                <w:w w:val="99"/>
                <w:sz w:val="20"/>
              </w:rPr>
              <w:t>1</w:t>
            </w:r>
          </w:p>
        </w:tc>
      </w:tr>
      <w:tr>
        <w:trPr>
          <w:trHeight w:val="290" w:hRule="atLeast"/>
        </w:trPr>
        <w:tc>
          <w:tcPr>
            <w:tcW w:w="451" w:type="dxa"/>
            <w:tcBorders>
              <w:right w:val="single" w:sz="4" w:space="0" w:color="7E7E7E"/>
            </w:tcBorders>
          </w:tcPr>
          <w:p>
            <w:pPr>
              <w:pStyle w:val="TableParagraph"/>
              <w:ind w:left="103" w:right="103"/>
              <w:jc w:val="center"/>
              <w:rPr>
                <w:b/>
                <w:sz w:val="20"/>
              </w:rPr>
            </w:pPr>
            <w:r>
              <w:rPr>
                <w:b/>
                <w:sz w:val="20"/>
              </w:rPr>
              <w:t>66</w:t>
            </w:r>
          </w:p>
        </w:tc>
        <w:tc>
          <w:tcPr>
            <w:tcW w:w="6820" w:type="dxa"/>
            <w:tcBorders>
              <w:left w:val="single" w:sz="4" w:space="0" w:color="7E7E7E"/>
            </w:tcBorders>
          </w:tcPr>
          <w:p>
            <w:pPr>
              <w:pStyle w:val="TableParagraph"/>
              <w:ind w:left="103"/>
              <w:rPr>
                <w:sz w:val="20"/>
              </w:rPr>
            </w:pPr>
            <w:r>
              <w:rPr>
                <w:sz w:val="20"/>
              </w:rPr>
              <w:t>INTERNATIONAL JOURNAL OF PRODUCTION ECONOMICS</w:t>
            </w:r>
          </w:p>
        </w:tc>
        <w:tc>
          <w:tcPr>
            <w:tcW w:w="1534" w:type="dxa"/>
          </w:tcPr>
          <w:p>
            <w:pPr>
              <w:pStyle w:val="TableParagraph"/>
              <w:ind w:left="508"/>
              <w:rPr>
                <w:sz w:val="20"/>
              </w:rPr>
            </w:pPr>
            <w:r>
              <w:rPr>
                <w:w w:val="99"/>
                <w:sz w:val="20"/>
              </w:rPr>
              <w:t>1</w:t>
            </w:r>
          </w:p>
        </w:tc>
      </w:tr>
      <w:tr>
        <w:trPr>
          <w:trHeight w:val="290" w:hRule="atLeast"/>
        </w:trPr>
        <w:tc>
          <w:tcPr>
            <w:tcW w:w="451" w:type="dxa"/>
            <w:tcBorders>
              <w:right w:val="single" w:sz="4" w:space="0" w:color="7E7E7E"/>
            </w:tcBorders>
            <w:shd w:val="clear" w:color="auto" w:fill="F1F1F1"/>
          </w:tcPr>
          <w:p>
            <w:pPr>
              <w:pStyle w:val="TableParagraph"/>
              <w:ind w:left="103" w:right="103"/>
              <w:jc w:val="center"/>
              <w:rPr>
                <w:b/>
                <w:sz w:val="20"/>
              </w:rPr>
            </w:pPr>
            <w:r>
              <w:rPr>
                <w:b/>
                <w:sz w:val="20"/>
              </w:rPr>
              <w:t>67</w:t>
            </w:r>
          </w:p>
        </w:tc>
        <w:tc>
          <w:tcPr>
            <w:tcW w:w="6820" w:type="dxa"/>
            <w:tcBorders>
              <w:left w:val="single" w:sz="4" w:space="0" w:color="7E7E7E"/>
            </w:tcBorders>
            <w:shd w:val="clear" w:color="auto" w:fill="F1F1F1"/>
          </w:tcPr>
          <w:p>
            <w:pPr>
              <w:pStyle w:val="TableParagraph"/>
              <w:ind w:left="103"/>
              <w:rPr>
                <w:sz w:val="20"/>
              </w:rPr>
            </w:pPr>
            <w:r>
              <w:rPr>
                <w:sz w:val="20"/>
              </w:rPr>
              <w:t>INTERNATIONAL MARKETING REVIEW</w:t>
            </w:r>
          </w:p>
        </w:tc>
        <w:tc>
          <w:tcPr>
            <w:tcW w:w="1534" w:type="dxa"/>
            <w:shd w:val="clear" w:color="auto" w:fill="F1F1F1"/>
          </w:tcPr>
          <w:p>
            <w:pPr>
              <w:pStyle w:val="TableParagraph"/>
              <w:ind w:left="508"/>
              <w:rPr>
                <w:sz w:val="20"/>
              </w:rPr>
            </w:pPr>
            <w:r>
              <w:rPr>
                <w:w w:val="99"/>
                <w:sz w:val="20"/>
              </w:rPr>
              <w:t>1</w:t>
            </w:r>
          </w:p>
        </w:tc>
      </w:tr>
      <w:tr>
        <w:trPr>
          <w:trHeight w:val="290" w:hRule="atLeast"/>
        </w:trPr>
        <w:tc>
          <w:tcPr>
            <w:tcW w:w="451" w:type="dxa"/>
            <w:tcBorders>
              <w:right w:val="single" w:sz="4" w:space="0" w:color="7E7E7E"/>
            </w:tcBorders>
          </w:tcPr>
          <w:p>
            <w:pPr>
              <w:pStyle w:val="TableParagraph"/>
              <w:ind w:left="103" w:right="103"/>
              <w:jc w:val="center"/>
              <w:rPr>
                <w:b/>
                <w:sz w:val="20"/>
              </w:rPr>
            </w:pPr>
            <w:r>
              <w:rPr>
                <w:b/>
                <w:sz w:val="20"/>
              </w:rPr>
              <w:t>68</w:t>
            </w:r>
          </w:p>
        </w:tc>
        <w:tc>
          <w:tcPr>
            <w:tcW w:w="6820" w:type="dxa"/>
            <w:tcBorders>
              <w:left w:val="single" w:sz="4" w:space="0" w:color="7E7E7E"/>
            </w:tcBorders>
          </w:tcPr>
          <w:p>
            <w:pPr>
              <w:pStyle w:val="TableParagraph"/>
              <w:ind w:left="103"/>
              <w:rPr>
                <w:sz w:val="20"/>
              </w:rPr>
            </w:pPr>
            <w:r>
              <w:rPr>
                <w:sz w:val="20"/>
              </w:rPr>
              <w:t>JOURNAL OF HOSPITALITY MARKETING &amp; MANAGEMENT</w:t>
            </w:r>
          </w:p>
        </w:tc>
        <w:tc>
          <w:tcPr>
            <w:tcW w:w="1534" w:type="dxa"/>
          </w:tcPr>
          <w:p>
            <w:pPr>
              <w:pStyle w:val="TableParagraph"/>
              <w:ind w:left="508"/>
              <w:rPr>
                <w:sz w:val="20"/>
              </w:rPr>
            </w:pPr>
            <w:r>
              <w:rPr>
                <w:w w:val="99"/>
                <w:sz w:val="20"/>
              </w:rPr>
              <w:t>1</w:t>
            </w:r>
          </w:p>
        </w:tc>
      </w:tr>
      <w:tr>
        <w:trPr>
          <w:trHeight w:val="290" w:hRule="atLeast"/>
        </w:trPr>
        <w:tc>
          <w:tcPr>
            <w:tcW w:w="451" w:type="dxa"/>
            <w:tcBorders>
              <w:right w:val="single" w:sz="4" w:space="0" w:color="7E7E7E"/>
            </w:tcBorders>
            <w:shd w:val="clear" w:color="auto" w:fill="F1F1F1"/>
          </w:tcPr>
          <w:p>
            <w:pPr>
              <w:pStyle w:val="TableParagraph"/>
              <w:ind w:left="103" w:right="103"/>
              <w:jc w:val="center"/>
              <w:rPr>
                <w:b/>
                <w:sz w:val="20"/>
              </w:rPr>
            </w:pPr>
            <w:r>
              <w:rPr>
                <w:b/>
                <w:sz w:val="20"/>
              </w:rPr>
              <w:t>69</w:t>
            </w:r>
          </w:p>
        </w:tc>
        <w:tc>
          <w:tcPr>
            <w:tcW w:w="6820" w:type="dxa"/>
            <w:tcBorders>
              <w:left w:val="single" w:sz="4" w:space="0" w:color="7E7E7E"/>
            </w:tcBorders>
            <w:shd w:val="clear" w:color="auto" w:fill="F1F1F1"/>
          </w:tcPr>
          <w:p>
            <w:pPr>
              <w:pStyle w:val="TableParagraph"/>
              <w:ind w:left="103"/>
              <w:rPr>
                <w:sz w:val="20"/>
              </w:rPr>
            </w:pPr>
            <w:r>
              <w:rPr>
                <w:sz w:val="20"/>
              </w:rPr>
              <w:t>JOURNAL OF ISLAMIC MARKETING</w:t>
            </w:r>
          </w:p>
        </w:tc>
        <w:tc>
          <w:tcPr>
            <w:tcW w:w="1534" w:type="dxa"/>
            <w:shd w:val="clear" w:color="auto" w:fill="F1F1F1"/>
          </w:tcPr>
          <w:p>
            <w:pPr>
              <w:pStyle w:val="TableParagraph"/>
              <w:ind w:left="508"/>
              <w:rPr>
                <w:sz w:val="20"/>
              </w:rPr>
            </w:pPr>
            <w:r>
              <w:rPr>
                <w:w w:val="99"/>
                <w:sz w:val="20"/>
              </w:rPr>
              <w:t>1</w:t>
            </w:r>
          </w:p>
        </w:tc>
      </w:tr>
      <w:tr>
        <w:trPr>
          <w:trHeight w:val="288" w:hRule="atLeast"/>
        </w:trPr>
        <w:tc>
          <w:tcPr>
            <w:tcW w:w="451" w:type="dxa"/>
            <w:tcBorders>
              <w:right w:val="single" w:sz="4" w:space="0" w:color="7E7E7E"/>
            </w:tcBorders>
          </w:tcPr>
          <w:p>
            <w:pPr>
              <w:pStyle w:val="TableParagraph"/>
              <w:spacing w:line="229" w:lineRule="exact"/>
              <w:ind w:left="103" w:right="103"/>
              <w:jc w:val="center"/>
              <w:rPr>
                <w:b/>
                <w:sz w:val="20"/>
              </w:rPr>
            </w:pPr>
            <w:r>
              <w:rPr>
                <w:b/>
                <w:sz w:val="20"/>
              </w:rPr>
              <w:t>70</w:t>
            </w:r>
          </w:p>
        </w:tc>
        <w:tc>
          <w:tcPr>
            <w:tcW w:w="6820" w:type="dxa"/>
            <w:tcBorders>
              <w:left w:val="single" w:sz="4" w:space="0" w:color="7E7E7E"/>
            </w:tcBorders>
          </w:tcPr>
          <w:p>
            <w:pPr>
              <w:pStyle w:val="TableParagraph"/>
              <w:spacing w:line="229" w:lineRule="exact"/>
              <w:ind w:left="103"/>
              <w:rPr>
                <w:sz w:val="20"/>
              </w:rPr>
            </w:pPr>
            <w:r>
              <w:rPr>
                <w:sz w:val="20"/>
              </w:rPr>
              <w:t>EUROPEAN JOURNAL OF INFORMATION SYSTEMS</w:t>
            </w:r>
          </w:p>
        </w:tc>
        <w:tc>
          <w:tcPr>
            <w:tcW w:w="1534" w:type="dxa"/>
          </w:tcPr>
          <w:p>
            <w:pPr>
              <w:pStyle w:val="TableParagraph"/>
              <w:spacing w:line="229" w:lineRule="exact"/>
              <w:ind w:left="508"/>
              <w:rPr>
                <w:sz w:val="20"/>
              </w:rPr>
            </w:pPr>
            <w:r>
              <w:rPr>
                <w:w w:val="99"/>
                <w:sz w:val="20"/>
              </w:rPr>
              <w:t>1</w:t>
            </w:r>
          </w:p>
        </w:tc>
      </w:tr>
      <w:tr>
        <w:trPr>
          <w:trHeight w:val="290" w:hRule="atLeast"/>
        </w:trPr>
        <w:tc>
          <w:tcPr>
            <w:tcW w:w="451" w:type="dxa"/>
            <w:tcBorders>
              <w:bottom w:val="single" w:sz="4" w:space="0" w:color="000000"/>
              <w:right w:val="single" w:sz="4" w:space="0" w:color="7E7E7E"/>
            </w:tcBorders>
            <w:shd w:val="clear" w:color="auto" w:fill="F1F1F1"/>
          </w:tcPr>
          <w:p>
            <w:pPr>
              <w:pStyle w:val="TableParagraph"/>
              <w:ind w:left="0"/>
              <w:rPr>
                <w:sz w:val="20"/>
              </w:rPr>
            </w:pPr>
          </w:p>
        </w:tc>
        <w:tc>
          <w:tcPr>
            <w:tcW w:w="6820" w:type="dxa"/>
            <w:tcBorders>
              <w:left w:val="single" w:sz="4" w:space="0" w:color="7E7E7E"/>
              <w:bottom w:val="single" w:sz="4" w:space="0" w:color="000000"/>
            </w:tcBorders>
            <w:shd w:val="clear" w:color="auto" w:fill="F1F1F1"/>
          </w:tcPr>
          <w:p>
            <w:pPr>
              <w:pStyle w:val="TableParagraph"/>
              <w:ind w:left="103"/>
              <w:rPr>
                <w:sz w:val="20"/>
              </w:rPr>
            </w:pPr>
            <w:r>
              <w:rPr>
                <w:sz w:val="20"/>
              </w:rPr>
              <w:t>Toplam</w:t>
            </w:r>
          </w:p>
        </w:tc>
        <w:tc>
          <w:tcPr>
            <w:tcW w:w="1534" w:type="dxa"/>
            <w:tcBorders>
              <w:bottom w:val="single" w:sz="4" w:space="0" w:color="000000"/>
            </w:tcBorders>
            <w:shd w:val="clear" w:color="auto" w:fill="F1F1F1"/>
          </w:tcPr>
          <w:p>
            <w:pPr>
              <w:pStyle w:val="TableParagraph"/>
              <w:ind w:left="508"/>
              <w:rPr>
                <w:sz w:val="20"/>
              </w:rPr>
            </w:pPr>
            <w:r>
              <w:rPr>
                <w:sz w:val="20"/>
              </w:rPr>
              <w:t>154</w:t>
            </w:r>
          </w:p>
        </w:tc>
      </w:tr>
    </w:tbl>
    <w:p>
      <w:pPr>
        <w:pStyle w:val="BodyText"/>
        <w:spacing w:before="11"/>
        <w:ind w:left="0"/>
        <w:jc w:val="left"/>
        <w:rPr>
          <w:sz w:val="12"/>
        </w:rPr>
      </w:pPr>
    </w:p>
    <w:p>
      <w:pPr>
        <w:pStyle w:val="BodyText"/>
        <w:spacing w:line="360" w:lineRule="auto" w:before="90"/>
        <w:ind w:right="309" w:firstLine="708"/>
      </w:pPr>
      <w:r>
        <w:rPr/>
        <w:t>Tezin birinci bölümünde, özetle, online alışveriş süreci bağlamında tüketici yorumlarının</w:t>
      </w:r>
      <w:r>
        <w:rPr>
          <w:spacing w:val="-14"/>
        </w:rPr>
        <w:t> </w:t>
      </w:r>
      <w:r>
        <w:rPr/>
        <w:t>önemini</w:t>
      </w:r>
      <w:r>
        <w:rPr>
          <w:spacing w:val="-13"/>
        </w:rPr>
        <w:t> </w:t>
      </w:r>
      <w:r>
        <w:rPr/>
        <w:t>ortaya</w:t>
      </w:r>
      <w:r>
        <w:rPr>
          <w:spacing w:val="-15"/>
        </w:rPr>
        <w:t> </w:t>
      </w:r>
      <w:r>
        <w:rPr/>
        <w:t>koymak</w:t>
      </w:r>
      <w:r>
        <w:rPr>
          <w:spacing w:val="-12"/>
        </w:rPr>
        <w:t> </w:t>
      </w:r>
      <w:r>
        <w:rPr/>
        <w:t>adına,</w:t>
      </w:r>
      <w:r>
        <w:rPr>
          <w:spacing w:val="-12"/>
        </w:rPr>
        <w:t> </w:t>
      </w:r>
      <w:r>
        <w:rPr/>
        <w:t>ilgili</w:t>
      </w:r>
      <w:r>
        <w:rPr>
          <w:spacing w:val="-14"/>
        </w:rPr>
        <w:t> </w:t>
      </w:r>
      <w:r>
        <w:rPr/>
        <w:t>literatür</w:t>
      </w:r>
      <w:r>
        <w:rPr>
          <w:spacing w:val="-14"/>
        </w:rPr>
        <w:t> </w:t>
      </w:r>
      <w:r>
        <w:rPr/>
        <w:t>kavramsal</w:t>
      </w:r>
      <w:r>
        <w:rPr>
          <w:spacing w:val="-11"/>
        </w:rPr>
        <w:t> </w:t>
      </w:r>
      <w:r>
        <w:rPr/>
        <w:t>çerçevede</w:t>
      </w:r>
      <w:r>
        <w:rPr>
          <w:spacing w:val="-15"/>
        </w:rPr>
        <w:t> </w:t>
      </w:r>
      <w:r>
        <w:rPr/>
        <w:t>sunulmuştur. Bölümün ilk kısmında, online satın alma karar süreci aşamaları ve bu aşamalar içerisinde elektronik ağızdan ağıza iletişimin rolü aktarılmıştır. Takip eden kısımlarda ise, öncelikle, ağızdan ağıza iletişim, ağızdan ağıza iletişim teorisinin evrimi, ağızdan ağıza iletişimde tarafların</w:t>
      </w:r>
      <w:r>
        <w:rPr>
          <w:spacing w:val="-6"/>
        </w:rPr>
        <w:t> </w:t>
      </w:r>
      <w:r>
        <w:rPr/>
        <w:t>güdüleri</w:t>
      </w:r>
      <w:r>
        <w:rPr>
          <w:spacing w:val="-4"/>
        </w:rPr>
        <w:t> </w:t>
      </w:r>
      <w:r>
        <w:rPr/>
        <w:t>ve</w:t>
      </w:r>
      <w:r>
        <w:rPr>
          <w:spacing w:val="-7"/>
        </w:rPr>
        <w:t> </w:t>
      </w:r>
      <w:r>
        <w:rPr/>
        <w:t>ağızdan</w:t>
      </w:r>
      <w:r>
        <w:rPr>
          <w:spacing w:val="-5"/>
        </w:rPr>
        <w:t> </w:t>
      </w:r>
      <w:r>
        <w:rPr/>
        <w:t>ağıza</w:t>
      </w:r>
      <w:r>
        <w:rPr>
          <w:spacing w:val="-6"/>
        </w:rPr>
        <w:t> </w:t>
      </w:r>
      <w:r>
        <w:rPr/>
        <w:t>iletişimin</w:t>
      </w:r>
      <w:r>
        <w:rPr>
          <w:spacing w:val="-5"/>
        </w:rPr>
        <w:t> </w:t>
      </w:r>
      <w:r>
        <w:rPr/>
        <w:t>gücü</w:t>
      </w:r>
      <w:r>
        <w:rPr>
          <w:spacing w:val="-5"/>
        </w:rPr>
        <w:t> </w:t>
      </w:r>
      <w:r>
        <w:rPr/>
        <w:t>tartışılmıştır.</w:t>
      </w:r>
      <w:r>
        <w:rPr>
          <w:spacing w:val="-2"/>
        </w:rPr>
        <w:t> </w:t>
      </w:r>
      <w:r>
        <w:rPr/>
        <w:t>İzleyen</w:t>
      </w:r>
      <w:r>
        <w:rPr>
          <w:spacing w:val="-6"/>
        </w:rPr>
        <w:t> </w:t>
      </w:r>
      <w:r>
        <w:rPr/>
        <w:t>kısımda,</w:t>
      </w:r>
      <w:r>
        <w:rPr>
          <w:spacing w:val="-5"/>
        </w:rPr>
        <w:t> </w:t>
      </w:r>
      <w:r>
        <w:rPr/>
        <w:t>elektronik ağızdan ağıza iletişim kavramına, elektronik ağızdan ağıza iletişimin özelliklerine, geleneksel ağızdan ağıza iletişimden farklılıklarına ve gerçekleştiği mecralara değinilmiştir. Sonraki kısımda ise, literatürde elektronik ağızdan ağıza iletişimin satın alma sürecindeki önemini</w:t>
      </w:r>
      <w:r>
        <w:rPr>
          <w:spacing w:val="-4"/>
        </w:rPr>
        <w:t> </w:t>
      </w:r>
      <w:r>
        <w:rPr/>
        <w:t>açıklamak</w:t>
      </w:r>
      <w:r>
        <w:rPr>
          <w:spacing w:val="-5"/>
        </w:rPr>
        <w:t> </w:t>
      </w:r>
      <w:r>
        <w:rPr/>
        <w:t>için</w:t>
      </w:r>
      <w:r>
        <w:rPr>
          <w:spacing w:val="-5"/>
        </w:rPr>
        <w:t> </w:t>
      </w:r>
      <w:r>
        <w:rPr/>
        <w:t>referans</w:t>
      </w:r>
      <w:r>
        <w:rPr>
          <w:spacing w:val="-4"/>
        </w:rPr>
        <w:t> </w:t>
      </w:r>
      <w:r>
        <w:rPr/>
        <w:t>alınan</w:t>
      </w:r>
      <w:r>
        <w:rPr>
          <w:spacing w:val="-5"/>
        </w:rPr>
        <w:t> </w:t>
      </w:r>
      <w:r>
        <w:rPr/>
        <w:t>teoriler</w:t>
      </w:r>
      <w:r>
        <w:rPr>
          <w:spacing w:val="-3"/>
        </w:rPr>
        <w:t> </w:t>
      </w:r>
      <w:r>
        <w:rPr/>
        <w:t>kısaca</w:t>
      </w:r>
      <w:r>
        <w:rPr>
          <w:spacing w:val="-6"/>
        </w:rPr>
        <w:t> </w:t>
      </w:r>
      <w:r>
        <w:rPr/>
        <w:t>açıklanmıştır.</w:t>
      </w:r>
      <w:r>
        <w:rPr>
          <w:spacing w:val="-5"/>
        </w:rPr>
        <w:t> </w:t>
      </w:r>
      <w:r>
        <w:rPr/>
        <w:t>Bölümün</w:t>
      </w:r>
      <w:r>
        <w:rPr>
          <w:spacing w:val="-5"/>
        </w:rPr>
        <w:t> </w:t>
      </w:r>
      <w:r>
        <w:rPr/>
        <w:t>son</w:t>
      </w:r>
      <w:r>
        <w:rPr>
          <w:spacing w:val="-5"/>
        </w:rPr>
        <w:t> </w:t>
      </w:r>
      <w:r>
        <w:rPr/>
        <w:t>kısmında, elektronik ağızdan ağıza iletişimin literatürdeki yeri ve önemini belirtmek adına gerçekleştirilen literatür taraması sonucu elde edilen verilere ait özet bilgiler</w:t>
      </w:r>
      <w:r>
        <w:rPr>
          <w:spacing w:val="-12"/>
        </w:rPr>
        <w:t> </w:t>
      </w:r>
      <w:r>
        <w:rPr/>
        <w:t>aktarılmıştır.</w:t>
      </w:r>
    </w:p>
    <w:p>
      <w:pPr>
        <w:pStyle w:val="BodyText"/>
        <w:spacing w:line="360" w:lineRule="auto" w:before="1"/>
        <w:ind w:right="314" w:firstLine="708"/>
      </w:pPr>
      <w:r>
        <w:rPr/>
        <w:t>Tezin izleyen iki bölümü uygulamaya ait bölümlerdir. İlk uygulama bölümü,</w:t>
      </w:r>
      <w:r>
        <w:rPr>
          <w:spacing w:val="-14"/>
        </w:rPr>
        <w:t> </w:t>
      </w:r>
      <w:r>
        <w:rPr/>
        <w:t>ürünler için yapılan tüketici yorumlarının ürün satışlarına etkisini irdelemek için Amazon.com’dan toplanan verilerle gerçekleştirilen araştırmayı içermektedir. İkinci uygulama bölümü ise, online pazar alanlarında satıcılar için yapılan yorumların satıcıların satış performansına etkisini irdelemek için Etsy.com’dan toplanan verilerle gerçekleştirilen araştırmayı içermektedir.</w:t>
      </w:r>
    </w:p>
    <w:p>
      <w:pPr>
        <w:spacing w:after="0" w:line="360" w:lineRule="auto"/>
        <w:sectPr>
          <w:pgSz w:w="12240" w:h="15840"/>
          <w:pgMar w:header="718" w:footer="0" w:top="1300" w:bottom="280" w:left="1720" w:right="820"/>
        </w:sectPr>
      </w:pPr>
    </w:p>
    <w:p>
      <w:pPr>
        <w:pStyle w:val="Heading1"/>
        <w:spacing w:before="100"/>
        <w:ind w:left="563" w:right="327" w:firstLine="0"/>
        <w:jc w:val="center"/>
      </w:pPr>
      <w:r>
        <w:rPr/>
        <w:t>İKİNCİ BÖLÜM</w:t>
      </w:r>
    </w:p>
    <w:p>
      <w:pPr>
        <w:spacing w:before="183"/>
        <w:ind w:left="559" w:right="328" w:firstLine="0"/>
        <w:jc w:val="center"/>
        <w:rPr>
          <w:b/>
          <w:sz w:val="24"/>
        </w:rPr>
      </w:pPr>
      <w:r>
        <w:rPr>
          <w:b/>
          <w:sz w:val="24"/>
        </w:rPr>
        <w:t>ONLİNE YORUMLARIN SATIŞLARA ETKİSİ: AMAZON.COM ÖRNEĞİ</w:t>
      </w:r>
    </w:p>
    <w:p>
      <w:pPr>
        <w:pStyle w:val="BodyText"/>
        <w:spacing w:before="10"/>
        <w:ind w:left="0"/>
        <w:jc w:val="left"/>
        <w:rPr>
          <w:b/>
          <w:sz w:val="25"/>
        </w:rPr>
      </w:pPr>
    </w:p>
    <w:p>
      <w:pPr>
        <w:pStyle w:val="BodyText"/>
        <w:spacing w:line="360" w:lineRule="auto"/>
        <w:ind w:right="312" w:firstLine="708"/>
      </w:pPr>
      <w:r>
        <w:rPr/>
        <w:t>Tezin</w:t>
      </w:r>
      <w:r>
        <w:rPr>
          <w:spacing w:val="-14"/>
        </w:rPr>
        <w:t> </w:t>
      </w:r>
      <w:r>
        <w:rPr/>
        <w:t>ana</w:t>
      </w:r>
      <w:r>
        <w:rPr>
          <w:spacing w:val="-14"/>
        </w:rPr>
        <w:t> </w:t>
      </w:r>
      <w:r>
        <w:rPr/>
        <w:t>konusu</w:t>
      </w:r>
      <w:r>
        <w:rPr>
          <w:spacing w:val="-11"/>
        </w:rPr>
        <w:t> </w:t>
      </w:r>
      <w:r>
        <w:rPr/>
        <w:t>olan,</w:t>
      </w:r>
      <w:r>
        <w:rPr>
          <w:spacing w:val="-13"/>
        </w:rPr>
        <w:t> </w:t>
      </w:r>
      <w:r>
        <w:rPr/>
        <w:t>yorumların</w:t>
      </w:r>
      <w:r>
        <w:rPr>
          <w:spacing w:val="-14"/>
        </w:rPr>
        <w:t> </w:t>
      </w:r>
      <w:r>
        <w:rPr/>
        <w:t>satışlar</w:t>
      </w:r>
      <w:r>
        <w:rPr>
          <w:spacing w:val="-14"/>
        </w:rPr>
        <w:t> </w:t>
      </w:r>
      <w:r>
        <w:rPr/>
        <w:t>üzerine</w:t>
      </w:r>
      <w:r>
        <w:rPr>
          <w:spacing w:val="-13"/>
        </w:rPr>
        <w:t> </w:t>
      </w:r>
      <w:r>
        <w:rPr/>
        <w:t>etkisini</w:t>
      </w:r>
      <w:r>
        <w:rPr>
          <w:spacing w:val="-13"/>
        </w:rPr>
        <w:t> </w:t>
      </w:r>
      <w:r>
        <w:rPr/>
        <w:t>incelemek</w:t>
      </w:r>
      <w:r>
        <w:rPr>
          <w:spacing w:val="-11"/>
        </w:rPr>
        <w:t> </w:t>
      </w:r>
      <w:r>
        <w:rPr/>
        <w:t>için</w:t>
      </w:r>
      <w:r>
        <w:rPr>
          <w:spacing w:val="-14"/>
        </w:rPr>
        <w:t> </w:t>
      </w:r>
      <w:r>
        <w:rPr/>
        <w:t>iki</w:t>
      </w:r>
      <w:r>
        <w:rPr>
          <w:spacing w:val="-10"/>
        </w:rPr>
        <w:t> </w:t>
      </w:r>
      <w:r>
        <w:rPr/>
        <w:t>e-ticaret platformunda ayrı iki uygulama yapılmıştır. Yapılan iki uygulama iki ayrı bölümde aktarılacaktır. Bu bölümde, ürünler üzerine yapılan yorumların satışlara etkisini incelemek üzere Amazon.com’dan toplanan verilerle</w:t>
      </w:r>
      <w:r>
        <w:rPr>
          <w:spacing w:val="-3"/>
        </w:rPr>
        <w:t> </w:t>
      </w:r>
      <w:r>
        <w:rPr/>
        <w:t>gerçekleştirilmiştir.</w:t>
      </w:r>
    </w:p>
    <w:p>
      <w:pPr>
        <w:pStyle w:val="BodyText"/>
        <w:spacing w:line="360" w:lineRule="auto"/>
        <w:ind w:right="311" w:firstLine="708"/>
      </w:pPr>
      <w:r>
        <w:rPr/>
        <w:t>Amazon.com</w:t>
      </w:r>
      <w:r>
        <w:rPr>
          <w:spacing w:val="-12"/>
        </w:rPr>
        <w:t> </w:t>
      </w:r>
      <w:r>
        <w:rPr/>
        <w:t>verileriyle</w:t>
      </w:r>
      <w:r>
        <w:rPr>
          <w:spacing w:val="-13"/>
        </w:rPr>
        <w:t> </w:t>
      </w:r>
      <w:r>
        <w:rPr/>
        <w:t>yapılan</w:t>
      </w:r>
      <w:r>
        <w:rPr>
          <w:spacing w:val="-12"/>
        </w:rPr>
        <w:t> </w:t>
      </w:r>
      <w:r>
        <w:rPr/>
        <w:t>araştırmanın</w:t>
      </w:r>
      <w:r>
        <w:rPr>
          <w:spacing w:val="-10"/>
        </w:rPr>
        <w:t> </w:t>
      </w:r>
      <w:r>
        <w:rPr/>
        <w:t>anlatıldığı</w:t>
      </w:r>
      <w:r>
        <w:rPr>
          <w:spacing w:val="-13"/>
        </w:rPr>
        <w:t> </w:t>
      </w:r>
      <w:r>
        <w:rPr/>
        <w:t>bu</w:t>
      </w:r>
      <w:r>
        <w:rPr>
          <w:spacing w:val="-14"/>
        </w:rPr>
        <w:t> </w:t>
      </w:r>
      <w:r>
        <w:rPr/>
        <w:t>bölümde,</w:t>
      </w:r>
      <w:r>
        <w:rPr>
          <w:spacing w:val="-12"/>
        </w:rPr>
        <w:t> </w:t>
      </w:r>
      <w:r>
        <w:rPr/>
        <w:t>öncelikli</w:t>
      </w:r>
      <w:r>
        <w:rPr>
          <w:spacing w:val="-11"/>
        </w:rPr>
        <w:t> </w:t>
      </w:r>
      <w:r>
        <w:rPr/>
        <w:t>olarak Amazon’un tarihçesinden ve yorum sisteminden bahsedilmektedir. Sonrasında, Amazon’un elektronik ağızdan ağıza iletişim literatürü açısından önemine değinilmektedir. Son olarak, metodoloji kısmında ise, sırasıyla araştırmanın amacı, modeli, hipotezleri ve bulguları sunulmaktadır.</w:t>
      </w:r>
    </w:p>
    <w:p>
      <w:pPr>
        <w:pStyle w:val="Heading1"/>
        <w:numPr>
          <w:ilvl w:val="1"/>
          <w:numId w:val="2"/>
        </w:numPr>
        <w:tabs>
          <w:tab w:pos="1677" w:val="left" w:leader="none"/>
        </w:tabs>
        <w:spacing w:line="240" w:lineRule="auto" w:before="161" w:after="0"/>
        <w:ind w:left="1676" w:right="0" w:hanging="421"/>
        <w:jc w:val="both"/>
      </w:pPr>
      <w:r>
        <w:rPr/>
        <w:t>Amazon</w:t>
      </w:r>
    </w:p>
    <w:p>
      <w:pPr>
        <w:pStyle w:val="BodyText"/>
        <w:spacing w:line="360" w:lineRule="auto" w:before="136"/>
        <w:ind w:right="316" w:firstLine="708"/>
      </w:pPr>
      <w:r>
        <w:rPr/>
        <w:t>Bu bölümde, tezin uygulama kısmında kullanılan veri setlerinden ilkini içeren Amazon.com’un tarihçesine ve yorum sistemine değinilmektedir.</w:t>
      </w:r>
    </w:p>
    <w:p>
      <w:pPr>
        <w:pStyle w:val="Heading1"/>
        <w:numPr>
          <w:ilvl w:val="2"/>
          <w:numId w:val="2"/>
        </w:numPr>
        <w:tabs>
          <w:tab w:pos="1857" w:val="left" w:leader="none"/>
        </w:tabs>
        <w:spacing w:line="240" w:lineRule="auto" w:before="161" w:after="0"/>
        <w:ind w:left="1856" w:right="0" w:hanging="601"/>
        <w:jc w:val="both"/>
      </w:pPr>
      <w:r>
        <w:rPr/>
        <w:t>Amazon Tarihçesi</w:t>
      </w:r>
    </w:p>
    <w:p>
      <w:pPr>
        <w:pStyle w:val="BodyText"/>
        <w:spacing w:line="360" w:lineRule="auto" w:before="137"/>
        <w:ind w:right="310" w:firstLine="708"/>
      </w:pPr>
      <w:r>
        <w:rPr/>
        <w:t>Amazon,</w:t>
      </w:r>
      <w:r>
        <w:rPr>
          <w:spacing w:val="-14"/>
        </w:rPr>
        <w:t> </w:t>
      </w:r>
      <w:r>
        <w:rPr/>
        <w:t>yaklaşık</w:t>
      </w:r>
      <w:r>
        <w:rPr>
          <w:spacing w:val="-14"/>
        </w:rPr>
        <w:t> </w:t>
      </w:r>
      <w:r>
        <w:rPr/>
        <w:t>25</w:t>
      </w:r>
      <w:r>
        <w:rPr>
          <w:spacing w:val="-13"/>
        </w:rPr>
        <w:t> </w:t>
      </w:r>
      <w:r>
        <w:rPr/>
        <w:t>yıl</w:t>
      </w:r>
      <w:r>
        <w:rPr>
          <w:spacing w:val="-14"/>
        </w:rPr>
        <w:t> </w:t>
      </w:r>
      <w:r>
        <w:rPr/>
        <w:t>önce,</w:t>
      </w:r>
      <w:r>
        <w:rPr>
          <w:spacing w:val="-13"/>
        </w:rPr>
        <w:t> </w:t>
      </w:r>
      <w:r>
        <w:rPr/>
        <w:t>1994</w:t>
      </w:r>
      <w:r>
        <w:rPr>
          <w:spacing w:val="-14"/>
        </w:rPr>
        <w:t> </w:t>
      </w:r>
      <w:r>
        <w:rPr/>
        <w:t>yılında</w:t>
      </w:r>
      <w:r>
        <w:rPr>
          <w:spacing w:val="-14"/>
        </w:rPr>
        <w:t> </w:t>
      </w:r>
      <w:r>
        <w:rPr/>
        <w:t>Seattle</w:t>
      </w:r>
      <w:r>
        <w:rPr>
          <w:spacing w:val="-15"/>
        </w:rPr>
        <w:t> </w:t>
      </w:r>
      <w:r>
        <w:rPr/>
        <w:t>merkezli</w:t>
      </w:r>
      <w:r>
        <w:rPr>
          <w:spacing w:val="-13"/>
        </w:rPr>
        <w:t> </w:t>
      </w:r>
      <w:r>
        <w:rPr/>
        <w:t>bir</w:t>
      </w:r>
      <w:r>
        <w:rPr>
          <w:spacing w:val="-15"/>
        </w:rPr>
        <w:t> </w:t>
      </w:r>
      <w:r>
        <w:rPr/>
        <w:t>online</w:t>
      </w:r>
      <w:r>
        <w:rPr>
          <w:spacing w:val="-14"/>
        </w:rPr>
        <w:t> </w:t>
      </w:r>
      <w:r>
        <w:rPr/>
        <w:t>kitap</w:t>
      </w:r>
      <w:r>
        <w:rPr>
          <w:spacing w:val="-11"/>
        </w:rPr>
        <w:t> </w:t>
      </w:r>
      <w:r>
        <w:rPr/>
        <w:t>mağazası olarak Jeff Bezos tarafından kurulmuş, 1995’te de aktif hale gelerek ticari hayatına başlamıştır (DePillis ve Sherman, 2018). İlk günlerinde Bezos’un evinin garajinda faaliyet gösteren şirket, ilk etapta sadece ağızdan ağıza iletişime dayandırdığı satışlarını hızla artırarak 1996 sonunda 15,7 milyon $, 1997’de 148 milyon $ ve 1998’de de 610 milyon $ gelir</w:t>
      </w:r>
      <w:r>
        <w:rPr>
          <w:spacing w:val="-7"/>
        </w:rPr>
        <w:t> </w:t>
      </w:r>
      <w:r>
        <w:rPr/>
        <w:t>elde</w:t>
      </w:r>
      <w:r>
        <w:rPr>
          <w:spacing w:val="-4"/>
        </w:rPr>
        <w:t> </w:t>
      </w:r>
      <w:r>
        <w:rPr/>
        <w:t>etmiştir</w:t>
      </w:r>
      <w:r>
        <w:rPr>
          <w:spacing w:val="-5"/>
        </w:rPr>
        <w:t> </w:t>
      </w:r>
      <w:r>
        <w:rPr/>
        <w:t>(Hall,</w:t>
      </w:r>
      <w:r>
        <w:rPr>
          <w:spacing w:val="-6"/>
        </w:rPr>
        <w:t> </w:t>
      </w:r>
      <w:r>
        <w:rPr/>
        <w:t>2019).</w:t>
      </w:r>
      <w:r>
        <w:rPr>
          <w:spacing w:val="-6"/>
        </w:rPr>
        <w:t> </w:t>
      </w:r>
      <w:r>
        <w:rPr/>
        <w:t>1997’de</w:t>
      </w:r>
      <w:r>
        <w:rPr>
          <w:spacing w:val="-6"/>
        </w:rPr>
        <w:t> </w:t>
      </w:r>
      <w:r>
        <w:rPr/>
        <w:t>halka</w:t>
      </w:r>
      <w:r>
        <w:rPr>
          <w:spacing w:val="-7"/>
        </w:rPr>
        <w:t> </w:t>
      </w:r>
      <w:r>
        <w:rPr/>
        <w:t>açılan</w:t>
      </w:r>
      <w:r>
        <w:rPr>
          <w:spacing w:val="-6"/>
        </w:rPr>
        <w:t> </w:t>
      </w:r>
      <w:r>
        <w:rPr/>
        <w:t>şirketin</w:t>
      </w:r>
      <w:r>
        <w:rPr>
          <w:spacing w:val="-6"/>
        </w:rPr>
        <w:t> </w:t>
      </w:r>
      <w:r>
        <w:rPr/>
        <w:t>borsadaki</w:t>
      </w:r>
      <w:r>
        <w:rPr>
          <w:spacing w:val="-6"/>
        </w:rPr>
        <w:t> </w:t>
      </w:r>
      <w:r>
        <w:rPr/>
        <w:t>ilk</w:t>
      </w:r>
      <w:r>
        <w:rPr>
          <w:spacing w:val="-5"/>
        </w:rPr>
        <w:t> </w:t>
      </w:r>
      <w:r>
        <w:rPr/>
        <w:t>gününün</w:t>
      </w:r>
      <w:r>
        <w:rPr>
          <w:spacing w:val="-6"/>
        </w:rPr>
        <w:t> </w:t>
      </w:r>
      <w:r>
        <w:rPr/>
        <w:t>sonunda hisseleri 1,96 $’dan işlem görmüştür (DePillis ve Sherman, 2018). Borsada işlem görmeye başladığı 1997’den 21 yıl sonra, 2018 yılında 2000 $ üstüne çıkarak rekor değerine ulaşan Amazon</w:t>
      </w:r>
      <w:r>
        <w:rPr>
          <w:spacing w:val="-5"/>
        </w:rPr>
        <w:t> </w:t>
      </w:r>
      <w:r>
        <w:rPr/>
        <w:t>hisseleri</w:t>
      </w:r>
      <w:r>
        <w:rPr>
          <w:spacing w:val="-3"/>
        </w:rPr>
        <w:t> </w:t>
      </w:r>
      <w:r>
        <w:rPr/>
        <w:t>8</w:t>
      </w:r>
      <w:r>
        <w:rPr>
          <w:spacing w:val="-5"/>
        </w:rPr>
        <w:t> </w:t>
      </w:r>
      <w:r>
        <w:rPr/>
        <w:t>Ekim</w:t>
      </w:r>
      <w:r>
        <w:rPr>
          <w:spacing w:val="-3"/>
        </w:rPr>
        <w:t> </w:t>
      </w:r>
      <w:r>
        <w:rPr/>
        <w:t>2019</w:t>
      </w:r>
      <w:r>
        <w:rPr>
          <w:spacing w:val="-4"/>
        </w:rPr>
        <w:t> </w:t>
      </w:r>
      <w:r>
        <w:rPr/>
        <w:t>itibariyle</w:t>
      </w:r>
      <w:r>
        <w:rPr>
          <w:spacing w:val="-6"/>
        </w:rPr>
        <w:t> </w:t>
      </w:r>
      <w:r>
        <w:rPr/>
        <w:t>1732</w:t>
      </w:r>
      <w:r>
        <w:rPr>
          <w:spacing w:val="-3"/>
        </w:rPr>
        <w:t> </w:t>
      </w:r>
      <w:r>
        <w:rPr/>
        <w:t>$’dan</w:t>
      </w:r>
      <w:r>
        <w:rPr>
          <w:spacing w:val="-5"/>
        </w:rPr>
        <w:t> </w:t>
      </w:r>
      <w:r>
        <w:rPr/>
        <w:t>işlem</w:t>
      </w:r>
      <w:r>
        <w:rPr>
          <w:spacing w:val="-3"/>
        </w:rPr>
        <w:t> </w:t>
      </w:r>
      <w:r>
        <w:rPr/>
        <w:t>görmektedir</w:t>
      </w:r>
      <w:r>
        <w:rPr>
          <w:spacing w:val="-5"/>
        </w:rPr>
        <w:t> </w:t>
      </w:r>
      <w:r>
        <w:rPr/>
        <w:t>(Yahoo</w:t>
      </w:r>
      <w:r>
        <w:rPr>
          <w:spacing w:val="-5"/>
        </w:rPr>
        <w:t> </w:t>
      </w:r>
      <w:r>
        <w:rPr/>
        <w:t>Finance, e.t. 08/10/2019).</w:t>
      </w:r>
    </w:p>
    <w:p>
      <w:pPr>
        <w:pStyle w:val="BodyText"/>
        <w:spacing w:line="360" w:lineRule="auto" w:before="1"/>
        <w:ind w:right="308" w:firstLine="708"/>
      </w:pPr>
      <w:r>
        <w:rPr/>
        <w:t>İlk yıllarında sadece kitap satan Amazon, 1998 yılı itibariyle müzik CD’leri ve DVD’ler</w:t>
      </w:r>
      <w:r>
        <w:rPr>
          <w:spacing w:val="-11"/>
        </w:rPr>
        <w:t> </w:t>
      </w:r>
      <w:r>
        <w:rPr/>
        <w:t>de</w:t>
      </w:r>
      <w:r>
        <w:rPr>
          <w:spacing w:val="-13"/>
        </w:rPr>
        <w:t> </w:t>
      </w:r>
      <w:r>
        <w:rPr/>
        <w:t>satmaya</w:t>
      </w:r>
      <w:r>
        <w:rPr>
          <w:spacing w:val="-12"/>
        </w:rPr>
        <w:t> </w:t>
      </w:r>
      <w:r>
        <w:rPr/>
        <w:t>başlamış,</w:t>
      </w:r>
      <w:r>
        <w:rPr>
          <w:spacing w:val="-12"/>
        </w:rPr>
        <w:t> </w:t>
      </w:r>
      <w:r>
        <w:rPr/>
        <w:t>sonraki</w:t>
      </w:r>
      <w:r>
        <w:rPr>
          <w:spacing w:val="-11"/>
        </w:rPr>
        <w:t> </w:t>
      </w:r>
      <w:r>
        <w:rPr/>
        <w:t>yıllarda</w:t>
      </w:r>
      <w:r>
        <w:rPr>
          <w:spacing w:val="-13"/>
        </w:rPr>
        <w:t> </w:t>
      </w:r>
      <w:r>
        <w:rPr/>
        <w:t>da</w:t>
      </w:r>
      <w:r>
        <w:rPr>
          <w:spacing w:val="-11"/>
        </w:rPr>
        <w:t> </w:t>
      </w:r>
      <w:r>
        <w:rPr/>
        <w:t>pek</w:t>
      </w:r>
      <w:r>
        <w:rPr>
          <w:spacing w:val="-11"/>
        </w:rPr>
        <w:t> </w:t>
      </w:r>
      <w:r>
        <w:rPr/>
        <w:t>çok</w:t>
      </w:r>
      <w:r>
        <w:rPr>
          <w:spacing w:val="-12"/>
        </w:rPr>
        <w:t> </w:t>
      </w:r>
      <w:r>
        <w:rPr/>
        <w:t>ürün</w:t>
      </w:r>
      <w:r>
        <w:rPr>
          <w:spacing w:val="-12"/>
        </w:rPr>
        <w:t> </w:t>
      </w:r>
      <w:r>
        <w:rPr/>
        <w:t>kategorisini</w:t>
      </w:r>
      <w:r>
        <w:rPr>
          <w:spacing w:val="-9"/>
        </w:rPr>
        <w:t> </w:t>
      </w:r>
      <w:r>
        <w:rPr/>
        <w:t>portföyüne</w:t>
      </w:r>
      <w:r>
        <w:rPr>
          <w:spacing w:val="-12"/>
        </w:rPr>
        <w:t> </w:t>
      </w:r>
      <w:r>
        <w:rPr/>
        <w:t>dahil etmiştir (Sivakumar, 2020). Aynı yıl içinde Birleşik Krallık ve Almanya’dan online kitap perakendecileri satın alan Amazon, uluslararası pazarlara da giriş yapmıştır (Piacentini, 2000). Amazon, 1999 yılında, üçüncü şahısların kullanılmış ürünleri satmasına</w:t>
      </w:r>
      <w:r>
        <w:rPr>
          <w:spacing w:val="55"/>
        </w:rPr>
        <w:t> </w:t>
      </w:r>
      <w:r>
        <w:rPr/>
        <w:t>olanak</w:t>
      </w:r>
    </w:p>
    <w:p>
      <w:pPr>
        <w:spacing w:after="0" w:line="360" w:lineRule="auto"/>
        <w:sectPr>
          <w:pgSz w:w="12240" w:h="15840"/>
          <w:pgMar w:header="718" w:footer="0" w:top="1300" w:bottom="280" w:left="1720" w:right="820"/>
        </w:sectPr>
      </w:pPr>
    </w:p>
    <w:p>
      <w:pPr>
        <w:pStyle w:val="BodyText"/>
        <w:spacing w:line="360" w:lineRule="auto" w:before="100"/>
        <w:ind w:right="310"/>
      </w:pPr>
      <w:r>
        <w:rPr/>
        <w:t>sağlayan “zShops” (şu an “Marketplace”) bölümünü site üzerinde aktif hale getirerek işlem hacminde büyük bir artış sağlamıştır (DePillis ve Sherman, 2018). 1999 sonu itibariyle, Amazon</w:t>
      </w:r>
      <w:r>
        <w:rPr>
          <w:spacing w:val="-10"/>
        </w:rPr>
        <w:t> </w:t>
      </w:r>
      <w:r>
        <w:rPr/>
        <w:t>150</w:t>
      </w:r>
      <w:r>
        <w:rPr>
          <w:spacing w:val="-9"/>
        </w:rPr>
        <w:t> </w:t>
      </w:r>
      <w:r>
        <w:rPr/>
        <w:t>ülkeye</w:t>
      </w:r>
      <w:r>
        <w:rPr>
          <w:spacing w:val="-11"/>
        </w:rPr>
        <w:t> </w:t>
      </w:r>
      <w:r>
        <w:rPr/>
        <w:t>20</w:t>
      </w:r>
      <w:r>
        <w:rPr>
          <w:spacing w:val="-9"/>
        </w:rPr>
        <w:t> </w:t>
      </w:r>
      <w:r>
        <w:rPr/>
        <w:t>milyon</w:t>
      </w:r>
      <w:r>
        <w:rPr>
          <w:spacing w:val="-8"/>
        </w:rPr>
        <w:t> </w:t>
      </w:r>
      <w:r>
        <w:rPr/>
        <w:t>adet</w:t>
      </w:r>
      <w:r>
        <w:rPr>
          <w:spacing w:val="-9"/>
        </w:rPr>
        <w:t> </w:t>
      </w:r>
      <w:r>
        <w:rPr/>
        <w:t>ürün</w:t>
      </w:r>
      <w:r>
        <w:rPr>
          <w:spacing w:val="-9"/>
        </w:rPr>
        <w:t> </w:t>
      </w:r>
      <w:r>
        <w:rPr/>
        <w:t>kargolamıştır</w:t>
      </w:r>
      <w:r>
        <w:rPr>
          <w:spacing w:val="-9"/>
        </w:rPr>
        <w:t> </w:t>
      </w:r>
      <w:r>
        <w:rPr/>
        <w:t>(Piacentini,</w:t>
      </w:r>
      <w:r>
        <w:rPr>
          <w:spacing w:val="-10"/>
        </w:rPr>
        <w:t> </w:t>
      </w:r>
      <w:r>
        <w:rPr/>
        <w:t>2000).</w:t>
      </w:r>
      <w:r>
        <w:rPr>
          <w:spacing w:val="-9"/>
        </w:rPr>
        <w:t> </w:t>
      </w:r>
      <w:r>
        <w:rPr/>
        <w:t>Amazon</w:t>
      </w:r>
      <w:r>
        <w:rPr>
          <w:spacing w:val="-10"/>
        </w:rPr>
        <w:t> </w:t>
      </w:r>
      <w:r>
        <w:rPr/>
        <w:t>kurucusu Jeff</w:t>
      </w:r>
      <w:r>
        <w:rPr>
          <w:spacing w:val="-17"/>
        </w:rPr>
        <w:t> </w:t>
      </w:r>
      <w:r>
        <w:rPr/>
        <w:t>Bezos</w:t>
      </w:r>
      <w:r>
        <w:rPr>
          <w:spacing w:val="-16"/>
        </w:rPr>
        <w:t> </w:t>
      </w:r>
      <w:r>
        <w:rPr/>
        <w:t>1999</w:t>
      </w:r>
      <w:r>
        <w:rPr>
          <w:spacing w:val="-15"/>
        </w:rPr>
        <w:t> </w:t>
      </w:r>
      <w:r>
        <w:rPr/>
        <w:t>yılında</w:t>
      </w:r>
      <w:r>
        <w:rPr>
          <w:spacing w:val="-16"/>
        </w:rPr>
        <w:t> </w:t>
      </w:r>
      <w:r>
        <w:rPr/>
        <w:t>Time</w:t>
      </w:r>
      <w:r>
        <w:rPr>
          <w:spacing w:val="-17"/>
        </w:rPr>
        <w:t> </w:t>
      </w:r>
      <w:r>
        <w:rPr/>
        <w:t>dergisince</w:t>
      </w:r>
      <w:r>
        <w:rPr>
          <w:spacing w:val="-16"/>
        </w:rPr>
        <w:t> </w:t>
      </w:r>
      <w:r>
        <w:rPr/>
        <w:t>yılın</w:t>
      </w:r>
      <w:r>
        <w:rPr>
          <w:spacing w:val="-15"/>
        </w:rPr>
        <w:t> </w:t>
      </w:r>
      <w:r>
        <w:rPr/>
        <w:t>kişisi</w:t>
      </w:r>
      <w:r>
        <w:rPr>
          <w:spacing w:val="-15"/>
        </w:rPr>
        <w:t> </w:t>
      </w:r>
      <w:r>
        <w:rPr/>
        <w:t>seçilmiştir.</w:t>
      </w:r>
      <w:r>
        <w:rPr>
          <w:spacing w:val="-12"/>
        </w:rPr>
        <w:t> </w:t>
      </w:r>
      <w:r>
        <w:rPr/>
        <w:t>2004</w:t>
      </w:r>
      <w:r>
        <w:rPr>
          <w:spacing w:val="-16"/>
        </w:rPr>
        <w:t> </w:t>
      </w:r>
      <w:r>
        <w:rPr/>
        <w:t>yılında,</w:t>
      </w:r>
      <w:r>
        <w:rPr>
          <w:spacing w:val="-16"/>
        </w:rPr>
        <w:t> </w:t>
      </w:r>
      <w:r>
        <w:rPr/>
        <w:t>Çin’in</w:t>
      </w:r>
      <w:r>
        <w:rPr>
          <w:spacing w:val="-15"/>
        </w:rPr>
        <w:t> </w:t>
      </w:r>
      <w:r>
        <w:rPr/>
        <w:t>en</w:t>
      </w:r>
      <w:r>
        <w:rPr>
          <w:spacing w:val="-16"/>
        </w:rPr>
        <w:t> </w:t>
      </w:r>
      <w:r>
        <w:rPr/>
        <w:t>büyük online</w:t>
      </w:r>
      <w:r>
        <w:rPr>
          <w:spacing w:val="-7"/>
        </w:rPr>
        <w:t> </w:t>
      </w:r>
      <w:r>
        <w:rPr/>
        <w:t>kitap</w:t>
      </w:r>
      <w:r>
        <w:rPr>
          <w:spacing w:val="-6"/>
        </w:rPr>
        <w:t> </w:t>
      </w:r>
      <w:r>
        <w:rPr/>
        <w:t>ve</w:t>
      </w:r>
      <w:r>
        <w:rPr>
          <w:spacing w:val="-7"/>
        </w:rPr>
        <w:t> </w:t>
      </w:r>
      <w:r>
        <w:rPr/>
        <w:t>elektronik</w:t>
      </w:r>
      <w:r>
        <w:rPr>
          <w:spacing w:val="-6"/>
        </w:rPr>
        <w:t> </w:t>
      </w:r>
      <w:r>
        <w:rPr/>
        <w:t>ürün</w:t>
      </w:r>
      <w:r>
        <w:rPr>
          <w:spacing w:val="-7"/>
        </w:rPr>
        <w:t> </w:t>
      </w:r>
      <w:r>
        <w:rPr/>
        <w:t>satıcısı</w:t>
      </w:r>
      <w:r>
        <w:rPr>
          <w:spacing w:val="-5"/>
        </w:rPr>
        <w:t> </w:t>
      </w:r>
      <w:r>
        <w:rPr/>
        <w:t>olan</w:t>
      </w:r>
      <w:r>
        <w:rPr>
          <w:spacing w:val="-7"/>
        </w:rPr>
        <w:t> </w:t>
      </w:r>
      <w:r>
        <w:rPr/>
        <w:t>Joyo’yu</w:t>
      </w:r>
      <w:r>
        <w:rPr>
          <w:spacing w:val="-6"/>
        </w:rPr>
        <w:t> </w:t>
      </w:r>
      <w:r>
        <w:rPr/>
        <w:t>75</w:t>
      </w:r>
      <w:r>
        <w:rPr>
          <w:spacing w:val="-6"/>
        </w:rPr>
        <w:t> </w:t>
      </w:r>
      <w:r>
        <w:rPr/>
        <w:t>milyon</w:t>
      </w:r>
      <w:r>
        <w:rPr>
          <w:spacing w:val="-3"/>
        </w:rPr>
        <w:t> </w:t>
      </w:r>
      <w:r>
        <w:rPr/>
        <w:t>$’a</w:t>
      </w:r>
      <w:r>
        <w:rPr>
          <w:spacing w:val="-8"/>
        </w:rPr>
        <w:t> </w:t>
      </w:r>
      <w:r>
        <w:rPr/>
        <w:t>satın</w:t>
      </w:r>
      <w:r>
        <w:rPr>
          <w:spacing w:val="-6"/>
        </w:rPr>
        <w:t> </w:t>
      </w:r>
      <w:r>
        <w:rPr/>
        <w:t>alarak,</w:t>
      </w:r>
      <w:r>
        <w:rPr>
          <w:spacing w:val="-6"/>
        </w:rPr>
        <w:t> </w:t>
      </w:r>
      <w:r>
        <w:rPr/>
        <w:t>Amazon</w:t>
      </w:r>
      <w:r>
        <w:rPr>
          <w:spacing w:val="-4"/>
        </w:rPr>
        <w:t> </w:t>
      </w:r>
      <w:r>
        <w:rPr/>
        <w:t>Çin pazarına da girmiştir (DePillis ve Sherman, 2018). Amazon, Eylül 2018’de Amazon Turkey Perakende Hizmetleri Limited Şirketi adıyla ülkemizde de faaliyetlerine başlamıştır (Çalışkan,</w:t>
      </w:r>
      <w:r>
        <w:rPr>
          <w:spacing w:val="-1"/>
        </w:rPr>
        <w:t> </w:t>
      </w:r>
      <w:r>
        <w:rPr/>
        <w:t>2018).</w:t>
      </w:r>
    </w:p>
    <w:p>
      <w:pPr>
        <w:pStyle w:val="BodyText"/>
        <w:spacing w:line="360" w:lineRule="auto" w:before="1"/>
        <w:ind w:right="311" w:firstLine="708"/>
        <w:jc w:val="right"/>
      </w:pPr>
      <w:r>
        <w:rPr/>
        <w:t>Amazon</w:t>
      </w:r>
      <w:r>
        <w:rPr>
          <w:spacing w:val="26"/>
        </w:rPr>
        <w:t> </w:t>
      </w:r>
      <w:r>
        <w:rPr/>
        <w:t>hayatına</w:t>
      </w:r>
      <w:r>
        <w:rPr>
          <w:spacing w:val="26"/>
        </w:rPr>
        <w:t> </w:t>
      </w:r>
      <w:r>
        <w:rPr/>
        <w:t>bir</w:t>
      </w:r>
      <w:r>
        <w:rPr>
          <w:spacing w:val="28"/>
        </w:rPr>
        <w:t> </w:t>
      </w:r>
      <w:r>
        <w:rPr/>
        <w:t>online</w:t>
      </w:r>
      <w:r>
        <w:rPr>
          <w:spacing w:val="26"/>
        </w:rPr>
        <w:t> </w:t>
      </w:r>
      <w:r>
        <w:rPr/>
        <w:t>perakendeci</w:t>
      </w:r>
      <w:r>
        <w:rPr>
          <w:spacing w:val="27"/>
        </w:rPr>
        <w:t> </w:t>
      </w:r>
      <w:r>
        <w:rPr/>
        <w:t>olarak</w:t>
      </w:r>
      <w:r>
        <w:rPr>
          <w:spacing w:val="29"/>
        </w:rPr>
        <w:t> </w:t>
      </w:r>
      <w:r>
        <w:rPr/>
        <w:t>başlamış</w:t>
      </w:r>
      <w:r>
        <w:rPr>
          <w:spacing w:val="27"/>
        </w:rPr>
        <w:t> </w:t>
      </w:r>
      <w:r>
        <w:rPr/>
        <w:t>olsa</w:t>
      </w:r>
      <w:r>
        <w:rPr>
          <w:spacing w:val="27"/>
        </w:rPr>
        <w:t> </w:t>
      </w:r>
      <w:r>
        <w:rPr/>
        <w:t>da,</w:t>
      </w:r>
      <w:r>
        <w:rPr>
          <w:spacing w:val="28"/>
        </w:rPr>
        <w:t> </w:t>
      </w:r>
      <w:r>
        <w:rPr/>
        <w:t>kurucusu</w:t>
      </w:r>
      <w:r>
        <w:rPr>
          <w:spacing w:val="27"/>
        </w:rPr>
        <w:t> </w:t>
      </w:r>
      <w:r>
        <w:rPr/>
        <w:t>Bezos Amazon’u</w:t>
      </w:r>
      <w:r>
        <w:rPr>
          <w:spacing w:val="13"/>
        </w:rPr>
        <w:t> </w:t>
      </w:r>
      <w:r>
        <w:rPr/>
        <w:t>bir</w:t>
      </w:r>
      <w:r>
        <w:rPr>
          <w:spacing w:val="11"/>
        </w:rPr>
        <w:t> </w:t>
      </w:r>
      <w:r>
        <w:rPr/>
        <w:t>perakendeci</w:t>
      </w:r>
      <w:r>
        <w:rPr>
          <w:spacing w:val="13"/>
        </w:rPr>
        <w:t> </w:t>
      </w:r>
      <w:r>
        <w:rPr/>
        <w:t>değil</w:t>
      </w:r>
      <w:r>
        <w:rPr>
          <w:spacing w:val="15"/>
        </w:rPr>
        <w:t> </w:t>
      </w:r>
      <w:r>
        <w:rPr/>
        <w:t>teknoloji</w:t>
      </w:r>
      <w:r>
        <w:rPr>
          <w:spacing w:val="12"/>
        </w:rPr>
        <w:t> </w:t>
      </w:r>
      <w:r>
        <w:rPr/>
        <w:t>şirketi</w:t>
      </w:r>
      <w:r>
        <w:rPr>
          <w:spacing w:val="13"/>
        </w:rPr>
        <w:t> </w:t>
      </w:r>
      <w:r>
        <w:rPr/>
        <w:t>olarak</w:t>
      </w:r>
      <w:r>
        <w:rPr>
          <w:spacing w:val="14"/>
        </w:rPr>
        <w:t> </w:t>
      </w:r>
      <w:r>
        <w:rPr/>
        <w:t>tanımlamıştır.</w:t>
      </w:r>
      <w:r>
        <w:rPr>
          <w:spacing w:val="11"/>
        </w:rPr>
        <w:t> </w:t>
      </w:r>
      <w:r>
        <w:rPr/>
        <w:t>2000li</w:t>
      </w:r>
      <w:r>
        <w:rPr>
          <w:spacing w:val="13"/>
        </w:rPr>
        <w:t> </w:t>
      </w:r>
      <w:r>
        <w:rPr/>
        <w:t>yılların başlangıcından</w:t>
      </w:r>
      <w:r>
        <w:rPr>
          <w:spacing w:val="13"/>
        </w:rPr>
        <w:t> </w:t>
      </w:r>
      <w:r>
        <w:rPr/>
        <w:t>itibaren</w:t>
      </w:r>
      <w:r>
        <w:rPr>
          <w:spacing w:val="15"/>
        </w:rPr>
        <w:t> </w:t>
      </w:r>
      <w:r>
        <w:rPr/>
        <w:t>şirket</w:t>
      </w:r>
      <w:r>
        <w:rPr>
          <w:spacing w:val="15"/>
        </w:rPr>
        <w:t> </w:t>
      </w:r>
      <w:r>
        <w:rPr/>
        <w:t>bu</w:t>
      </w:r>
      <w:r>
        <w:rPr>
          <w:spacing w:val="13"/>
        </w:rPr>
        <w:t> </w:t>
      </w:r>
      <w:r>
        <w:rPr/>
        <w:t>doğrultuda</w:t>
      </w:r>
      <w:r>
        <w:rPr>
          <w:spacing w:val="16"/>
        </w:rPr>
        <w:t> </w:t>
      </w:r>
      <w:r>
        <w:rPr/>
        <w:t>büyümüştür.</w:t>
      </w:r>
      <w:r>
        <w:rPr>
          <w:spacing w:val="13"/>
        </w:rPr>
        <w:t> </w:t>
      </w:r>
      <w:r>
        <w:rPr/>
        <w:t>2003</w:t>
      </w:r>
      <w:r>
        <w:rPr>
          <w:spacing w:val="14"/>
        </w:rPr>
        <w:t> </w:t>
      </w:r>
      <w:r>
        <w:rPr/>
        <w:t>yılında</w:t>
      </w:r>
      <w:r>
        <w:rPr>
          <w:spacing w:val="12"/>
        </w:rPr>
        <w:t> </w:t>
      </w:r>
      <w:r>
        <w:rPr/>
        <w:t>Amazon</w:t>
      </w:r>
      <w:r>
        <w:rPr>
          <w:spacing w:val="16"/>
        </w:rPr>
        <w:t> </w:t>
      </w:r>
      <w:r>
        <w:rPr/>
        <w:t>Web Services</w:t>
      </w:r>
      <w:r>
        <w:rPr>
          <w:spacing w:val="46"/>
        </w:rPr>
        <w:t> </w:t>
      </w:r>
      <w:r>
        <w:rPr/>
        <w:t>(AWS)</w:t>
      </w:r>
      <w:r>
        <w:rPr>
          <w:spacing w:val="46"/>
        </w:rPr>
        <w:t> </w:t>
      </w:r>
      <w:r>
        <w:rPr/>
        <w:t>ile</w:t>
      </w:r>
      <w:r>
        <w:rPr>
          <w:spacing w:val="48"/>
        </w:rPr>
        <w:t> </w:t>
      </w:r>
      <w:r>
        <w:rPr/>
        <w:t>internet</w:t>
      </w:r>
      <w:r>
        <w:rPr>
          <w:spacing w:val="47"/>
        </w:rPr>
        <w:t> </w:t>
      </w:r>
      <w:r>
        <w:rPr/>
        <w:t>ve</w:t>
      </w:r>
      <w:r>
        <w:rPr>
          <w:spacing w:val="45"/>
        </w:rPr>
        <w:t> </w:t>
      </w:r>
      <w:r>
        <w:rPr/>
        <w:t>bulut</w:t>
      </w:r>
      <w:r>
        <w:rPr>
          <w:spacing w:val="47"/>
        </w:rPr>
        <w:t> </w:t>
      </w:r>
      <w:r>
        <w:rPr/>
        <w:t>hizmetleri</w:t>
      </w:r>
      <w:r>
        <w:rPr>
          <w:spacing w:val="47"/>
        </w:rPr>
        <w:t> </w:t>
      </w:r>
      <w:r>
        <w:rPr/>
        <w:t>vermeye</w:t>
      </w:r>
      <w:r>
        <w:rPr>
          <w:spacing w:val="45"/>
        </w:rPr>
        <w:t> </w:t>
      </w:r>
      <w:r>
        <w:rPr/>
        <w:t>başlayan</w:t>
      </w:r>
      <w:r>
        <w:rPr>
          <w:spacing w:val="46"/>
        </w:rPr>
        <w:t> </w:t>
      </w:r>
      <w:r>
        <w:rPr/>
        <w:t>Amazon,</w:t>
      </w:r>
      <w:r>
        <w:rPr>
          <w:spacing w:val="46"/>
        </w:rPr>
        <w:t> </w:t>
      </w:r>
      <w:r>
        <w:rPr/>
        <w:t>takip</w:t>
      </w:r>
      <w:r>
        <w:rPr>
          <w:spacing w:val="48"/>
        </w:rPr>
        <w:t> </w:t>
      </w:r>
      <w:r>
        <w:rPr/>
        <w:t>eden</w:t>
      </w:r>
      <w:r>
        <w:rPr>
          <w:w w:val="99"/>
        </w:rPr>
        <w:t> </w:t>
      </w:r>
      <w:r>
        <w:rPr/>
        <w:t>yıllarda</w:t>
      </w:r>
      <w:r>
        <w:rPr>
          <w:spacing w:val="-11"/>
        </w:rPr>
        <w:t> </w:t>
      </w:r>
      <w:r>
        <w:rPr/>
        <w:t>film,</w:t>
      </w:r>
      <w:r>
        <w:rPr>
          <w:spacing w:val="-8"/>
        </w:rPr>
        <w:t> </w:t>
      </w:r>
      <w:r>
        <w:rPr/>
        <w:t>dizi</w:t>
      </w:r>
      <w:r>
        <w:rPr>
          <w:spacing w:val="-5"/>
        </w:rPr>
        <w:t> </w:t>
      </w:r>
      <w:r>
        <w:rPr/>
        <w:t>ve</w:t>
      </w:r>
      <w:r>
        <w:rPr>
          <w:spacing w:val="-7"/>
        </w:rPr>
        <w:t> </w:t>
      </w:r>
      <w:r>
        <w:rPr/>
        <w:t>robotik</w:t>
      </w:r>
      <w:r>
        <w:rPr>
          <w:spacing w:val="-9"/>
        </w:rPr>
        <w:t> </w:t>
      </w:r>
      <w:r>
        <w:rPr/>
        <w:t>gibi</w:t>
      </w:r>
      <w:r>
        <w:rPr>
          <w:spacing w:val="-8"/>
        </w:rPr>
        <w:t> </w:t>
      </w:r>
      <w:r>
        <w:rPr/>
        <w:t>sektörlerde</w:t>
      </w:r>
      <w:r>
        <w:rPr>
          <w:spacing w:val="-8"/>
        </w:rPr>
        <w:t> </w:t>
      </w:r>
      <w:r>
        <w:rPr/>
        <w:t>de</w:t>
      </w:r>
      <w:r>
        <w:rPr>
          <w:spacing w:val="-7"/>
        </w:rPr>
        <w:t> </w:t>
      </w:r>
      <w:r>
        <w:rPr/>
        <w:t>faaliyet</w:t>
      </w:r>
      <w:r>
        <w:rPr>
          <w:spacing w:val="-8"/>
        </w:rPr>
        <w:t> </w:t>
      </w:r>
      <w:r>
        <w:rPr/>
        <w:t>göstermeye</w:t>
      </w:r>
      <w:r>
        <w:rPr>
          <w:spacing w:val="-8"/>
        </w:rPr>
        <w:t> </w:t>
      </w:r>
      <w:r>
        <w:rPr/>
        <w:t>başlamıştır</w:t>
      </w:r>
      <w:r>
        <w:rPr>
          <w:spacing w:val="-9"/>
        </w:rPr>
        <w:t> </w:t>
      </w:r>
      <w:r>
        <w:rPr/>
        <w:t>(Hall,</w:t>
      </w:r>
      <w:r>
        <w:rPr>
          <w:spacing w:val="-9"/>
        </w:rPr>
        <w:t> </w:t>
      </w:r>
      <w:r>
        <w:rPr/>
        <w:t>2019).</w:t>
      </w:r>
      <w:r>
        <w:rPr>
          <w:w w:val="99"/>
        </w:rPr>
        <w:t> </w:t>
      </w:r>
      <w:r>
        <w:rPr/>
        <w:t>Teknoloji odaklılık ve kitap perakedenceliğinin bir araya</w:t>
      </w:r>
      <w:r>
        <w:rPr>
          <w:spacing w:val="18"/>
        </w:rPr>
        <w:t> </w:t>
      </w:r>
      <w:r>
        <w:rPr/>
        <w:t>gelmesiyle,</w:t>
      </w:r>
      <w:r>
        <w:rPr>
          <w:spacing w:val="21"/>
        </w:rPr>
        <w:t> </w:t>
      </w:r>
      <w:r>
        <w:rPr/>
        <w:t>2007’de</w:t>
      </w:r>
      <w:r>
        <w:rPr>
          <w:w w:val="99"/>
        </w:rPr>
        <w:t> </w:t>
      </w:r>
      <w:r>
        <w:rPr/>
        <w:t>Amazon için oldukça önemli bir ürün olan e-kitap okuyucusu Kindle</w:t>
      </w:r>
      <w:r>
        <w:rPr>
          <w:spacing w:val="30"/>
        </w:rPr>
        <w:t> </w:t>
      </w:r>
      <w:r>
        <w:rPr/>
        <w:t>piyasaya</w:t>
      </w:r>
      <w:r>
        <w:rPr>
          <w:spacing w:val="2"/>
        </w:rPr>
        <w:t> </w:t>
      </w:r>
      <w:r>
        <w:rPr/>
        <w:t>sürülmüştür.</w:t>
      </w:r>
      <w:r>
        <w:rPr>
          <w:w w:val="99"/>
        </w:rPr>
        <w:t> </w:t>
      </w:r>
      <w:r>
        <w:rPr/>
        <w:t>Kindle</w:t>
      </w:r>
      <w:r>
        <w:rPr>
          <w:spacing w:val="9"/>
        </w:rPr>
        <w:t> </w:t>
      </w:r>
      <w:r>
        <w:rPr/>
        <w:t>tarihteki</w:t>
      </w:r>
      <w:r>
        <w:rPr>
          <w:spacing w:val="11"/>
        </w:rPr>
        <w:t> </w:t>
      </w:r>
      <w:r>
        <w:rPr/>
        <w:t>ilk</w:t>
      </w:r>
      <w:r>
        <w:rPr>
          <w:spacing w:val="10"/>
        </w:rPr>
        <w:t> </w:t>
      </w:r>
      <w:r>
        <w:rPr/>
        <w:t>e-kitap</w:t>
      </w:r>
      <w:r>
        <w:rPr>
          <w:spacing w:val="10"/>
        </w:rPr>
        <w:t> </w:t>
      </w:r>
      <w:r>
        <w:rPr/>
        <w:t>okuyucu</w:t>
      </w:r>
      <w:r>
        <w:rPr>
          <w:spacing w:val="10"/>
        </w:rPr>
        <w:t> </w:t>
      </w:r>
      <w:r>
        <w:rPr/>
        <w:t>olmamasına</w:t>
      </w:r>
      <w:r>
        <w:rPr>
          <w:spacing w:val="10"/>
        </w:rPr>
        <w:t> </w:t>
      </w:r>
      <w:r>
        <w:rPr/>
        <w:t>karşın,</w:t>
      </w:r>
      <w:r>
        <w:rPr>
          <w:spacing w:val="12"/>
        </w:rPr>
        <w:t> </w:t>
      </w:r>
      <w:r>
        <w:rPr/>
        <w:t>e-kitapların</w:t>
      </w:r>
      <w:r>
        <w:rPr>
          <w:spacing w:val="11"/>
        </w:rPr>
        <w:t> </w:t>
      </w:r>
      <w:r>
        <w:rPr/>
        <w:t>tüketicilerce</w:t>
      </w:r>
      <w:r>
        <w:rPr>
          <w:w w:val="99"/>
        </w:rPr>
        <w:t> </w:t>
      </w:r>
      <w:r>
        <w:rPr/>
        <w:t>benimsenmesinde</w:t>
      </w:r>
      <w:r>
        <w:rPr>
          <w:spacing w:val="21"/>
        </w:rPr>
        <w:t> </w:t>
      </w:r>
      <w:r>
        <w:rPr/>
        <w:t>başrol</w:t>
      </w:r>
      <w:r>
        <w:rPr>
          <w:spacing w:val="22"/>
        </w:rPr>
        <w:t> </w:t>
      </w:r>
      <w:r>
        <w:rPr/>
        <w:t>oynamıştır.</w:t>
      </w:r>
      <w:r>
        <w:rPr>
          <w:spacing w:val="24"/>
        </w:rPr>
        <w:t> </w:t>
      </w:r>
      <w:r>
        <w:rPr/>
        <w:t>Kindle,</w:t>
      </w:r>
      <w:r>
        <w:rPr>
          <w:spacing w:val="24"/>
        </w:rPr>
        <w:t> </w:t>
      </w:r>
      <w:r>
        <w:rPr/>
        <w:t>e-kitap</w:t>
      </w:r>
      <w:r>
        <w:rPr>
          <w:spacing w:val="22"/>
        </w:rPr>
        <w:t> </w:t>
      </w:r>
      <w:r>
        <w:rPr/>
        <w:t>sektörünü</w:t>
      </w:r>
      <w:r>
        <w:rPr>
          <w:spacing w:val="24"/>
        </w:rPr>
        <w:t> </w:t>
      </w:r>
      <w:r>
        <w:rPr/>
        <w:t>ateşlemiş</w:t>
      </w:r>
      <w:r>
        <w:rPr>
          <w:spacing w:val="23"/>
        </w:rPr>
        <w:t> </w:t>
      </w:r>
      <w:r>
        <w:rPr/>
        <w:t>ve</w:t>
      </w:r>
      <w:r>
        <w:rPr>
          <w:spacing w:val="21"/>
        </w:rPr>
        <w:t> </w:t>
      </w:r>
      <w:r>
        <w:rPr/>
        <w:t>piyasaya</w:t>
      </w:r>
      <w:r>
        <w:rPr>
          <w:w w:val="99"/>
        </w:rPr>
        <w:t> </w:t>
      </w:r>
      <w:r>
        <w:rPr/>
        <w:t>çıktıktan</w:t>
      </w:r>
      <w:r>
        <w:rPr>
          <w:spacing w:val="33"/>
        </w:rPr>
        <w:t> </w:t>
      </w:r>
      <w:r>
        <w:rPr/>
        <w:t>4</w:t>
      </w:r>
      <w:r>
        <w:rPr>
          <w:spacing w:val="33"/>
        </w:rPr>
        <w:t> </w:t>
      </w:r>
      <w:r>
        <w:rPr/>
        <w:t>yıl</w:t>
      </w:r>
      <w:r>
        <w:rPr>
          <w:spacing w:val="34"/>
        </w:rPr>
        <w:t> </w:t>
      </w:r>
      <w:r>
        <w:rPr/>
        <w:t>sonra</w:t>
      </w:r>
      <w:r>
        <w:rPr>
          <w:spacing w:val="33"/>
        </w:rPr>
        <w:t> </w:t>
      </w:r>
      <w:r>
        <w:rPr/>
        <w:t>Amazon’un</w:t>
      </w:r>
      <w:r>
        <w:rPr>
          <w:spacing w:val="33"/>
        </w:rPr>
        <w:t> </w:t>
      </w:r>
      <w:r>
        <w:rPr/>
        <w:t>basılı</w:t>
      </w:r>
      <w:r>
        <w:rPr>
          <w:spacing w:val="34"/>
        </w:rPr>
        <w:t> </w:t>
      </w:r>
      <w:r>
        <w:rPr/>
        <w:t>kitaplardan</w:t>
      </w:r>
      <w:r>
        <w:rPr>
          <w:spacing w:val="34"/>
        </w:rPr>
        <w:t> </w:t>
      </w:r>
      <w:r>
        <w:rPr/>
        <w:t>daha</w:t>
      </w:r>
      <w:r>
        <w:rPr>
          <w:spacing w:val="32"/>
        </w:rPr>
        <w:t> </w:t>
      </w:r>
      <w:r>
        <w:rPr/>
        <w:t>fazla</w:t>
      </w:r>
      <w:r>
        <w:rPr>
          <w:spacing w:val="33"/>
        </w:rPr>
        <w:t> </w:t>
      </w:r>
      <w:r>
        <w:rPr/>
        <w:t>e-kitap</w:t>
      </w:r>
      <w:r>
        <w:rPr>
          <w:spacing w:val="34"/>
        </w:rPr>
        <w:t> </w:t>
      </w:r>
      <w:r>
        <w:rPr/>
        <w:t>satmasına</w:t>
      </w:r>
      <w:r>
        <w:rPr>
          <w:spacing w:val="33"/>
        </w:rPr>
        <w:t> </w:t>
      </w:r>
      <w:r>
        <w:rPr/>
        <w:t>ön</w:t>
      </w:r>
      <w:r>
        <w:rPr>
          <w:spacing w:val="33"/>
        </w:rPr>
        <w:t> </w:t>
      </w:r>
      <w:r>
        <w:rPr/>
        <w:t>ayak</w:t>
      </w:r>
    </w:p>
    <w:p>
      <w:pPr>
        <w:pStyle w:val="BodyText"/>
        <w:spacing w:before="1"/>
      </w:pPr>
      <w:r>
        <w:rPr/>
        <w:t>olmuştur (History.com, 2019).</w:t>
      </w:r>
    </w:p>
    <w:p>
      <w:pPr>
        <w:pStyle w:val="BodyText"/>
        <w:spacing w:line="360" w:lineRule="auto" w:before="137"/>
        <w:ind w:right="307" w:firstLine="708"/>
      </w:pPr>
      <w:r>
        <w:rPr/>
        <w:t>Çok</w:t>
      </w:r>
      <w:r>
        <w:rPr>
          <w:spacing w:val="-17"/>
        </w:rPr>
        <w:t> </w:t>
      </w:r>
      <w:r>
        <w:rPr/>
        <w:t>çeşitli</w:t>
      </w:r>
      <w:r>
        <w:rPr>
          <w:spacing w:val="-16"/>
        </w:rPr>
        <w:t> </w:t>
      </w:r>
      <w:r>
        <w:rPr/>
        <w:t>sektörlerde</w:t>
      </w:r>
      <w:r>
        <w:rPr>
          <w:spacing w:val="-18"/>
        </w:rPr>
        <w:t> </w:t>
      </w:r>
      <w:r>
        <w:rPr/>
        <w:t>faaliyet</w:t>
      </w:r>
      <w:r>
        <w:rPr>
          <w:spacing w:val="-16"/>
        </w:rPr>
        <w:t> </w:t>
      </w:r>
      <w:r>
        <w:rPr/>
        <w:t>gösteren</w:t>
      </w:r>
      <w:r>
        <w:rPr>
          <w:spacing w:val="-14"/>
        </w:rPr>
        <w:t> </w:t>
      </w:r>
      <w:r>
        <w:rPr/>
        <w:t>Amazon’un</w:t>
      </w:r>
      <w:r>
        <w:rPr>
          <w:spacing w:val="-17"/>
        </w:rPr>
        <w:t> </w:t>
      </w:r>
      <w:r>
        <w:rPr/>
        <w:t>büyümesinde</w:t>
      </w:r>
      <w:r>
        <w:rPr>
          <w:spacing w:val="-17"/>
        </w:rPr>
        <w:t> </w:t>
      </w:r>
      <w:r>
        <w:rPr/>
        <w:t>şirket</w:t>
      </w:r>
      <w:r>
        <w:rPr>
          <w:spacing w:val="-16"/>
        </w:rPr>
        <w:t> </w:t>
      </w:r>
      <w:r>
        <w:rPr/>
        <w:t>satın</w:t>
      </w:r>
      <w:r>
        <w:rPr>
          <w:spacing w:val="-16"/>
        </w:rPr>
        <w:t> </w:t>
      </w:r>
      <w:r>
        <w:rPr/>
        <w:t>alımları da önemli rol oynamaktadır. Online ayakkabı perakendecisi Zappos’u 900 milyon $’a ve depo robotları üreticisi olan Kiva Systems’i 775 milyon $’a 2009’da, e-spor ve video oyun odaklı canlı yayın platformu olan Twitch.tv’yi 970 milyon $’a 2014’te ve organik gıda market zinciri olan Whole Foods’u 13,7 milyar $’a 2017’de satın almıştır (DePillis ve Sherman,</w:t>
      </w:r>
      <w:r>
        <w:rPr>
          <w:spacing w:val="-1"/>
        </w:rPr>
        <w:t> </w:t>
      </w:r>
      <w:r>
        <w:rPr/>
        <w:t>2018).</w:t>
      </w:r>
    </w:p>
    <w:p>
      <w:pPr>
        <w:pStyle w:val="BodyText"/>
        <w:spacing w:line="360" w:lineRule="auto"/>
        <w:ind w:right="309" w:firstLine="708"/>
      </w:pPr>
      <w:r>
        <w:rPr/>
        <w:t>2015 yılında Walmart’ın elinden dünyanın en değerli perakendecisi ünvanını alan Amazon (History.com, 2019) 2019 yılı itibariyle Apple’ın ve Google’un önünde dünyanın en değerli markası konumundadır (Handley, 2019). Amazon kurucusu Bezos da</w:t>
      </w:r>
      <w:r>
        <w:rPr>
          <w:spacing w:val="-28"/>
        </w:rPr>
        <w:t> </w:t>
      </w:r>
      <w:r>
        <w:rPr/>
        <w:t>günümüzde dünyanın en zengin insanıdır (The Week, 16 Mayıs</w:t>
      </w:r>
      <w:r>
        <w:rPr>
          <w:spacing w:val="-4"/>
        </w:rPr>
        <w:t> </w:t>
      </w:r>
      <w:r>
        <w:rPr/>
        <w:t>2019).</w:t>
      </w:r>
    </w:p>
    <w:p>
      <w:pPr>
        <w:spacing w:after="0" w:line="360" w:lineRule="auto"/>
        <w:sectPr>
          <w:pgSz w:w="12240" w:h="15840"/>
          <w:pgMar w:header="718" w:footer="0" w:top="1300" w:bottom="280" w:left="1720" w:right="820"/>
        </w:sectPr>
      </w:pPr>
    </w:p>
    <w:p>
      <w:pPr>
        <w:pStyle w:val="Heading1"/>
        <w:numPr>
          <w:ilvl w:val="2"/>
          <w:numId w:val="2"/>
        </w:numPr>
        <w:tabs>
          <w:tab w:pos="1857" w:val="left" w:leader="none"/>
        </w:tabs>
        <w:spacing w:line="240" w:lineRule="auto" w:before="100" w:after="0"/>
        <w:ind w:left="1856" w:right="0" w:hanging="601"/>
        <w:jc w:val="both"/>
      </w:pPr>
      <w:r>
        <w:rPr/>
        <w:t>Amazon’un Yorum</w:t>
      </w:r>
      <w:r>
        <w:rPr>
          <w:spacing w:val="2"/>
        </w:rPr>
        <w:t> </w:t>
      </w:r>
      <w:r>
        <w:rPr/>
        <w:t>Sistemi</w:t>
      </w:r>
    </w:p>
    <w:p>
      <w:pPr>
        <w:pStyle w:val="BodyText"/>
        <w:spacing w:line="360" w:lineRule="auto" w:before="137" w:after="5"/>
        <w:ind w:right="310" w:firstLine="708"/>
      </w:pPr>
      <w:r>
        <w:rPr/>
        <w:t>Amazon, tarihteki ilk online kitap perakendecisi değildir (Sivakumar, 2020) ancak, tüketici yorumlarına yer vermesi bağlamında öncü perakendecidir. Amazon’un yorum sistemi, Amazon 1995’te aktif hale gelmeden önce tasarlanmış ve Amazon’un ilk gününden itibaren aktif bir parçası olmuştur (bk. Şekil 7). İlk günlerde yazılan yorumların çoğu çalışanlara ve çalışanların arkadaşlarına aittir. Öyle ki, yorum sistemi kodlarını yazan Amazon çalışanı Kaphan, raftan bir kitap alıp okuduktan sonra ilk yorumlardan birini yazmıştır (Stone, 2013: 42).</w:t>
      </w:r>
    </w:p>
    <w:p>
      <w:pPr>
        <w:pStyle w:val="BodyText"/>
        <w:jc w:val="left"/>
        <w:rPr>
          <w:sz w:val="20"/>
        </w:rPr>
      </w:pPr>
      <w:r>
        <w:rPr>
          <w:sz w:val="20"/>
        </w:rPr>
        <w:pict>
          <v:group style="width:354.95pt;height:345.9pt;mso-position-horizontal-relative:char;mso-position-vertical-relative:line" coordorigin="0,0" coordsize="7099,6918">
            <v:shape style="position:absolute;left:9;top:8;width:7077;height:6898" type="#_x0000_t75" stroked="false">
              <v:imagedata r:id="rId19" o:title=""/>
            </v:shape>
            <v:shape style="position:absolute;left:-1;top:0;width:7099;height:6918" coordorigin="0,0" coordsize="7099,6918" path="m7089,6908l10,6908,0,6908,0,6918,10,6918,7089,6918,7089,6908xm7089,0l10,0,0,0,0,6908,10,6908,10,10,7089,10,7089,0xm7098,6908l7089,6908,7089,6918,7098,6918,7098,6908xm7098,0l7089,0,7089,6908,7098,6908,7098,0xe" filled="true" fillcolor="#000000" stroked="false">
              <v:path arrowok="t"/>
              <v:fill type="solid"/>
            </v:shape>
          </v:group>
        </w:pict>
      </w:r>
      <w:r>
        <w:rPr>
          <w:sz w:val="20"/>
        </w:rPr>
      </w:r>
    </w:p>
    <w:p>
      <w:pPr>
        <w:spacing w:line="238" w:lineRule="exact" w:before="0"/>
        <w:ind w:left="548" w:right="0" w:firstLine="0"/>
        <w:jc w:val="both"/>
        <w:rPr>
          <w:sz w:val="24"/>
        </w:rPr>
      </w:pPr>
      <w:r>
        <w:rPr>
          <w:b/>
          <w:sz w:val="24"/>
        </w:rPr>
        <w:t>Şekil 7: </w:t>
      </w:r>
      <w:r>
        <w:rPr>
          <w:sz w:val="24"/>
        </w:rPr>
        <w:t>Amazon.com ana sayfasının ilk hali</w:t>
      </w:r>
    </w:p>
    <w:p>
      <w:pPr>
        <w:pStyle w:val="BodyText"/>
        <w:ind w:right="310"/>
      </w:pPr>
      <w:r>
        <w:rPr/>
        <w:t>Kaynak: htt</w:t>
      </w:r>
      <w:hyperlink r:id="rId20">
        <w:r>
          <w:rPr/>
          <w:t>ps://www</w:t>
        </w:r>
      </w:hyperlink>
      <w:r>
        <w:rPr/>
        <w:t>.</w:t>
      </w:r>
      <w:hyperlink r:id="rId20">
        <w:r>
          <w:rPr/>
          <w:t>versionmuseum.com/images/websites/amazon-website/amazon-</w:t>
        </w:r>
      </w:hyperlink>
      <w:r>
        <w:rPr/>
        <w:t> website%5E1995%5Ewelcome-to-amazon-books-homepage-restored.png (18/10/2019)</w:t>
      </w:r>
    </w:p>
    <w:p>
      <w:pPr>
        <w:pStyle w:val="BodyText"/>
        <w:spacing w:line="360" w:lineRule="auto" w:before="159"/>
        <w:ind w:right="310" w:firstLine="708"/>
      </w:pPr>
      <w:r>
        <w:rPr/>
        <w:t>Daha önce görülmemiş bir şekilde tüketicilerin kitaplar hakkında fikirlerini paylaşabilmesi</w:t>
      </w:r>
      <w:r>
        <w:rPr>
          <w:spacing w:val="-15"/>
        </w:rPr>
        <w:t> </w:t>
      </w:r>
      <w:r>
        <w:rPr/>
        <w:t>özellikle</w:t>
      </w:r>
      <w:r>
        <w:rPr>
          <w:spacing w:val="-17"/>
        </w:rPr>
        <w:t> </w:t>
      </w:r>
      <w:r>
        <w:rPr/>
        <w:t>tedarikçiler</w:t>
      </w:r>
      <w:r>
        <w:rPr>
          <w:spacing w:val="-17"/>
        </w:rPr>
        <w:t> </w:t>
      </w:r>
      <w:r>
        <w:rPr/>
        <w:t>tarafından</w:t>
      </w:r>
      <w:r>
        <w:rPr>
          <w:spacing w:val="-13"/>
        </w:rPr>
        <w:t> </w:t>
      </w:r>
      <w:r>
        <w:rPr/>
        <w:t>yadırganmıştır.</w:t>
      </w:r>
      <w:r>
        <w:rPr>
          <w:spacing w:val="-17"/>
        </w:rPr>
        <w:t> </w:t>
      </w:r>
      <w:r>
        <w:rPr/>
        <w:t>Bu</w:t>
      </w:r>
      <w:r>
        <w:rPr>
          <w:spacing w:val="-16"/>
        </w:rPr>
        <w:t> </w:t>
      </w:r>
      <w:r>
        <w:rPr/>
        <w:t>konu</w:t>
      </w:r>
      <w:r>
        <w:rPr>
          <w:spacing w:val="-15"/>
        </w:rPr>
        <w:t> </w:t>
      </w:r>
      <w:r>
        <w:rPr/>
        <w:t>hakkında</w:t>
      </w:r>
      <w:r>
        <w:rPr>
          <w:spacing w:val="-16"/>
        </w:rPr>
        <w:t> </w:t>
      </w:r>
      <w:r>
        <w:rPr/>
        <w:t>Jeff</w:t>
      </w:r>
      <w:r>
        <w:rPr>
          <w:spacing w:val="-17"/>
        </w:rPr>
        <w:t> </w:t>
      </w:r>
      <w:r>
        <w:rPr/>
        <w:t>Bezos, Harvard Business Review blogunda yayınlanan röportajında şunları söylemektedir: “İlk zamanlarımızda, bir yayıncı bana mektubunda yaptığım işi anlamadığımı,</w:t>
      </w:r>
      <w:r>
        <w:rPr>
          <w:spacing w:val="1"/>
        </w:rPr>
        <w:t> </w:t>
      </w:r>
      <w:r>
        <w:rPr/>
        <w:t>birşeyler</w:t>
      </w:r>
    </w:p>
    <w:p>
      <w:pPr>
        <w:spacing w:after="0" w:line="360" w:lineRule="auto"/>
        <w:sectPr>
          <w:pgSz w:w="12240" w:h="15840"/>
          <w:pgMar w:header="718" w:footer="0" w:top="1300" w:bottom="280" w:left="1720" w:right="820"/>
        </w:sectPr>
      </w:pPr>
    </w:p>
    <w:p>
      <w:pPr>
        <w:pStyle w:val="BodyText"/>
        <w:spacing w:line="360" w:lineRule="auto" w:before="100"/>
        <w:ind w:right="311"/>
      </w:pPr>
      <w:r>
        <w:rPr/>
        <w:t>sattığımda para kazandığımı ve neden olumsuz tüketici yorumlarına müsade ettiğimi yazdı. Mektubu okuduğumda düşündüm ki, birşeyler sattığımızda değil müşterilere satın alma kararlarında yardım ettiğimizde para kazanıyoruz” (HBR Ideacast, 2013). Zaman Bezos’un düşüncesini doğrulamış ve yorum sistemi Amazon başarısının önemli bir kaynağı olmuştur (Hall, 2019).</w:t>
      </w:r>
    </w:p>
    <w:p>
      <w:pPr>
        <w:pStyle w:val="BodyText"/>
        <w:spacing w:line="360" w:lineRule="auto"/>
        <w:ind w:right="312" w:firstLine="708"/>
      </w:pPr>
      <w:r>
        <w:rPr/>
        <w:t>Yorum sisteminin Amazon’un önemli bir bileşeni olması sahte yorumların ortaya çıkmasına</w:t>
      </w:r>
      <w:r>
        <w:rPr>
          <w:spacing w:val="-5"/>
        </w:rPr>
        <w:t> </w:t>
      </w:r>
      <w:r>
        <w:rPr/>
        <w:t>ve</w:t>
      </w:r>
      <w:r>
        <w:rPr>
          <w:spacing w:val="-6"/>
        </w:rPr>
        <w:t> </w:t>
      </w:r>
      <w:r>
        <w:rPr/>
        <w:t>bazı</w:t>
      </w:r>
      <w:r>
        <w:rPr>
          <w:spacing w:val="-3"/>
        </w:rPr>
        <w:t> </w:t>
      </w:r>
      <w:r>
        <w:rPr/>
        <w:t>markalarca</w:t>
      </w:r>
      <w:r>
        <w:rPr>
          <w:spacing w:val="-4"/>
        </w:rPr>
        <w:t> </w:t>
      </w:r>
      <w:r>
        <w:rPr/>
        <w:t>sahte</w:t>
      </w:r>
      <w:r>
        <w:rPr>
          <w:spacing w:val="-5"/>
        </w:rPr>
        <w:t> </w:t>
      </w:r>
      <w:r>
        <w:rPr/>
        <w:t>yorumların</w:t>
      </w:r>
      <w:r>
        <w:rPr>
          <w:spacing w:val="-3"/>
        </w:rPr>
        <w:t> </w:t>
      </w:r>
      <w:r>
        <w:rPr/>
        <w:t>teşvik</w:t>
      </w:r>
      <w:r>
        <w:rPr>
          <w:spacing w:val="-4"/>
        </w:rPr>
        <w:t> </w:t>
      </w:r>
      <w:r>
        <w:rPr/>
        <w:t>edilmesine</w:t>
      </w:r>
      <w:r>
        <w:rPr>
          <w:spacing w:val="-6"/>
        </w:rPr>
        <w:t> </w:t>
      </w:r>
      <w:r>
        <w:rPr/>
        <w:t>neden</w:t>
      </w:r>
      <w:r>
        <w:rPr>
          <w:spacing w:val="-4"/>
        </w:rPr>
        <w:t> </w:t>
      </w:r>
      <w:r>
        <w:rPr/>
        <w:t>olmuştur.</w:t>
      </w:r>
      <w:r>
        <w:rPr>
          <w:spacing w:val="-5"/>
        </w:rPr>
        <w:t> </w:t>
      </w:r>
      <w:r>
        <w:rPr/>
        <w:t>Özellikle, tüketicilerin aşina olmadığı, bilinmeyen markalar ürün satışlarını artırabilmek adına sahte yorumları kullanmaktadır (Woollacott, 2019). Sahte yorumlar, müşterilerine satın alma kararlarına yardım etmeyi amaçlayan Amazon için tehdit oluşturmaktadır. Bu nedenle, 1995’ten bugüne yaklaşık 25 yıllık süreçte Amazon, yorum sistemini sürekli iyileştirme çabası içinde</w:t>
      </w:r>
      <w:r>
        <w:rPr>
          <w:spacing w:val="-2"/>
        </w:rPr>
        <w:t> </w:t>
      </w:r>
      <w:r>
        <w:rPr/>
        <w:t>olmuştur.</w:t>
      </w:r>
    </w:p>
    <w:p>
      <w:pPr>
        <w:pStyle w:val="BodyText"/>
        <w:spacing w:line="360" w:lineRule="auto" w:before="2"/>
        <w:ind w:right="308" w:firstLine="708"/>
      </w:pPr>
      <w:r>
        <w:rPr/>
        <w:t>Günümüzde,</w:t>
      </w:r>
      <w:r>
        <w:rPr>
          <w:spacing w:val="-14"/>
        </w:rPr>
        <w:t> </w:t>
      </w:r>
      <w:r>
        <w:rPr/>
        <w:t>Amazon’da</w:t>
      </w:r>
      <w:r>
        <w:rPr>
          <w:spacing w:val="-13"/>
        </w:rPr>
        <w:t> </w:t>
      </w:r>
      <w:r>
        <w:rPr/>
        <w:t>herhangi</w:t>
      </w:r>
      <w:r>
        <w:rPr>
          <w:spacing w:val="-14"/>
        </w:rPr>
        <w:t> </w:t>
      </w:r>
      <w:r>
        <w:rPr/>
        <w:t>bir</w:t>
      </w:r>
      <w:r>
        <w:rPr>
          <w:spacing w:val="-14"/>
        </w:rPr>
        <w:t> </w:t>
      </w:r>
      <w:r>
        <w:rPr/>
        <w:t>ürüne</w:t>
      </w:r>
      <w:r>
        <w:rPr>
          <w:spacing w:val="-15"/>
        </w:rPr>
        <w:t> </w:t>
      </w:r>
      <w:r>
        <w:rPr/>
        <w:t>ait</w:t>
      </w:r>
      <w:r>
        <w:rPr>
          <w:spacing w:val="-13"/>
        </w:rPr>
        <w:t> </w:t>
      </w:r>
      <w:r>
        <w:rPr/>
        <w:t>yorumlara</w:t>
      </w:r>
      <w:r>
        <w:rPr>
          <w:spacing w:val="-16"/>
        </w:rPr>
        <w:t> </w:t>
      </w:r>
      <w:r>
        <w:rPr/>
        <w:t>bakmak</w:t>
      </w:r>
      <w:r>
        <w:rPr>
          <w:spacing w:val="-14"/>
        </w:rPr>
        <w:t> </w:t>
      </w:r>
      <w:r>
        <w:rPr/>
        <w:t>isteyen</w:t>
      </w:r>
      <w:r>
        <w:rPr>
          <w:spacing w:val="-12"/>
        </w:rPr>
        <w:t> </w:t>
      </w:r>
      <w:r>
        <w:rPr/>
        <w:t>tüketicinin karşısına</w:t>
      </w:r>
      <w:r>
        <w:rPr>
          <w:spacing w:val="-6"/>
        </w:rPr>
        <w:t> </w:t>
      </w:r>
      <w:r>
        <w:rPr/>
        <w:t>Şekil</w:t>
      </w:r>
      <w:r>
        <w:rPr>
          <w:spacing w:val="-4"/>
        </w:rPr>
        <w:t> </w:t>
      </w:r>
      <w:r>
        <w:rPr/>
        <w:t>8’dekine</w:t>
      </w:r>
      <w:r>
        <w:rPr>
          <w:spacing w:val="-5"/>
        </w:rPr>
        <w:t> </w:t>
      </w:r>
      <w:r>
        <w:rPr/>
        <w:t>benzer</w:t>
      </w:r>
      <w:r>
        <w:rPr>
          <w:spacing w:val="-5"/>
        </w:rPr>
        <w:t> </w:t>
      </w:r>
      <w:r>
        <w:rPr/>
        <w:t>bir</w:t>
      </w:r>
      <w:r>
        <w:rPr>
          <w:spacing w:val="-5"/>
        </w:rPr>
        <w:t> </w:t>
      </w:r>
      <w:r>
        <w:rPr/>
        <w:t>alan</w:t>
      </w:r>
      <w:r>
        <w:rPr>
          <w:spacing w:val="-5"/>
        </w:rPr>
        <w:t> </w:t>
      </w:r>
      <w:r>
        <w:rPr/>
        <w:t>çıkmaktadır.</w:t>
      </w:r>
      <w:r>
        <w:rPr>
          <w:spacing w:val="-3"/>
        </w:rPr>
        <w:t> </w:t>
      </w:r>
      <w:r>
        <w:rPr/>
        <w:t>İlgili</w:t>
      </w:r>
      <w:r>
        <w:rPr>
          <w:spacing w:val="-4"/>
        </w:rPr>
        <w:t> </w:t>
      </w:r>
      <w:r>
        <w:rPr/>
        <w:t>alanın</w:t>
      </w:r>
      <w:r>
        <w:rPr>
          <w:spacing w:val="-5"/>
        </w:rPr>
        <w:t> </w:t>
      </w:r>
      <w:r>
        <w:rPr/>
        <w:t>sol</w:t>
      </w:r>
      <w:r>
        <w:rPr>
          <w:spacing w:val="-3"/>
        </w:rPr>
        <w:t> </w:t>
      </w:r>
      <w:r>
        <w:rPr/>
        <w:t>tarafında,</w:t>
      </w:r>
      <w:r>
        <w:rPr>
          <w:spacing w:val="-5"/>
        </w:rPr>
        <w:t> </w:t>
      </w:r>
      <w:r>
        <w:rPr/>
        <w:t>ürüne</w:t>
      </w:r>
      <w:r>
        <w:rPr>
          <w:spacing w:val="-7"/>
        </w:rPr>
        <w:t> </w:t>
      </w:r>
      <w:r>
        <w:rPr/>
        <w:t>verilen toplam oy sayısı ve oyların dağılımı görülmektedir. Tüketicilerin ürüne dair görüşlerini yansıtan bu oylar, 1 ile 5 yıldız aralığında, 1 yıldız en olumsuz görüşü 5 yıldız da en olumlu görüşü yansıtacak şekilde gösterilmektedir. Oy sayıları ve dağılımlarının hemen üstünde, verilen oyların ortalaması da yer almaktadır. Bu ortalama değerin genellikle ürün kalitesini yansıttığı varsayılmaktadır (Hu vd., 2017). Amazon, ürün kalitesini olabildiğince objektif yansıtabilmek</w:t>
      </w:r>
      <w:r>
        <w:rPr>
          <w:spacing w:val="-11"/>
        </w:rPr>
        <w:t> </w:t>
      </w:r>
      <w:r>
        <w:rPr/>
        <w:t>adına,</w:t>
      </w:r>
      <w:r>
        <w:rPr>
          <w:spacing w:val="-12"/>
        </w:rPr>
        <w:t> </w:t>
      </w:r>
      <w:r>
        <w:rPr/>
        <w:t>bu</w:t>
      </w:r>
      <w:r>
        <w:rPr>
          <w:spacing w:val="-9"/>
        </w:rPr>
        <w:t> </w:t>
      </w:r>
      <w:r>
        <w:rPr/>
        <w:t>ortalama</w:t>
      </w:r>
      <w:r>
        <w:rPr>
          <w:spacing w:val="-11"/>
        </w:rPr>
        <w:t> </w:t>
      </w:r>
      <w:r>
        <w:rPr/>
        <w:t>değeri</w:t>
      </w:r>
      <w:r>
        <w:rPr>
          <w:spacing w:val="-11"/>
        </w:rPr>
        <w:t> </w:t>
      </w:r>
      <w:r>
        <w:rPr/>
        <w:t>hesaplarken</w:t>
      </w:r>
      <w:r>
        <w:rPr>
          <w:spacing w:val="-11"/>
        </w:rPr>
        <w:t> </w:t>
      </w:r>
      <w:r>
        <w:rPr/>
        <w:t>doğrudan</w:t>
      </w:r>
      <w:r>
        <w:rPr>
          <w:spacing w:val="-9"/>
        </w:rPr>
        <w:t> </w:t>
      </w:r>
      <w:r>
        <w:rPr/>
        <w:t>aritmetik</w:t>
      </w:r>
      <w:r>
        <w:rPr>
          <w:spacing w:val="-10"/>
        </w:rPr>
        <w:t> </w:t>
      </w:r>
      <w:r>
        <w:rPr/>
        <w:t>ortalama</w:t>
      </w:r>
      <w:r>
        <w:rPr>
          <w:spacing w:val="-12"/>
        </w:rPr>
        <w:t> </w:t>
      </w:r>
      <w:r>
        <w:rPr/>
        <w:t>kullanmak yerine makine öğrenimi modeli kullanmaktadır. Bu modelde yorumun ne zaman yazıldığı, müşteriler tarafından yorumun faydalı olup olmadığına dair verilen oylar ve yorumların doğrulanmış alışverişlerden sonra yapılıp yapılmadığı gibi faktörler göz önüne alınmaktadır (Amazon.com, e.t.</w:t>
      </w:r>
      <w:r>
        <w:rPr>
          <w:spacing w:val="1"/>
        </w:rPr>
        <w:t> </w:t>
      </w:r>
      <w:r>
        <w:rPr/>
        <w:t>10/11/2019).</w:t>
      </w:r>
    </w:p>
    <w:p>
      <w:pPr>
        <w:spacing w:after="0" w:line="360" w:lineRule="auto"/>
        <w:sectPr>
          <w:pgSz w:w="12240" w:h="15840"/>
          <w:pgMar w:header="718" w:footer="0" w:top="1300" w:bottom="280" w:left="1720" w:right="820"/>
        </w:sectPr>
      </w:pPr>
    </w:p>
    <w:p>
      <w:pPr>
        <w:pStyle w:val="BodyText"/>
        <w:ind w:left="0"/>
        <w:jc w:val="left"/>
        <w:rPr>
          <w:sz w:val="10"/>
        </w:rPr>
      </w:pPr>
    </w:p>
    <w:p>
      <w:pPr>
        <w:pStyle w:val="BodyText"/>
        <w:ind w:left="562"/>
        <w:jc w:val="left"/>
        <w:rPr>
          <w:sz w:val="20"/>
        </w:rPr>
      </w:pPr>
      <w:r>
        <w:rPr>
          <w:sz w:val="20"/>
        </w:rPr>
        <w:pict>
          <v:group style="width:441.85pt;height:228.75pt;mso-position-horizontal-relative:char;mso-position-vertical-relative:line" coordorigin="0,0" coordsize="8837,4575">
            <v:shape style="position:absolute;left:223;top:119;width:8483;height:4441" type="#_x0000_t75" stroked="false">
              <v:imagedata r:id="rId21" o:title=""/>
            </v:shape>
            <v:rect style="position:absolute;left:7;top:7;width:8822;height:4560" filled="false" stroked="true" strokeweight=".75pt" strokecolor="#d0cece">
              <v:stroke dashstyle="solid"/>
            </v:rect>
          </v:group>
        </w:pict>
      </w:r>
      <w:r>
        <w:rPr>
          <w:sz w:val="20"/>
        </w:rPr>
      </w:r>
    </w:p>
    <w:p>
      <w:pPr>
        <w:pStyle w:val="BodyText"/>
        <w:ind w:right="4126"/>
        <w:jc w:val="left"/>
      </w:pPr>
      <w:r>
        <w:rPr>
          <w:b/>
        </w:rPr>
        <w:t>Şekil 8: </w:t>
      </w:r>
      <w:r>
        <w:rPr/>
        <w:t>Amazon.com’dan Örnek Yorum Sayfası Kaynak: htt</w:t>
      </w:r>
      <w:hyperlink r:id="rId22">
        <w:r>
          <w:rPr/>
          <w:t>ps://www.amazon.com </w:t>
        </w:r>
      </w:hyperlink>
      <w:r>
        <w:rPr/>
        <w:t>(e.t. 12/11/2019)</w:t>
      </w:r>
    </w:p>
    <w:p>
      <w:pPr>
        <w:pStyle w:val="BodyText"/>
        <w:spacing w:before="5"/>
        <w:ind w:left="0"/>
        <w:jc w:val="left"/>
        <w:rPr>
          <w:sz w:val="37"/>
        </w:rPr>
      </w:pPr>
    </w:p>
    <w:p>
      <w:pPr>
        <w:pStyle w:val="BodyText"/>
        <w:spacing w:line="360" w:lineRule="auto"/>
        <w:ind w:right="312" w:firstLine="708"/>
      </w:pPr>
      <w:r>
        <w:rPr/>
        <w:t>Şekil 8’de de görüldüğü gibi yorum alanının genelini Amazon müşterilerinin</w:t>
      </w:r>
      <w:r>
        <w:rPr>
          <w:spacing w:val="-28"/>
        </w:rPr>
        <w:t> </w:t>
      </w:r>
      <w:r>
        <w:rPr/>
        <w:t>yazdığı yorumlar oluşturmaktadır. Bu yorumları “en çok beğenilen müşteri yorumları” ya da “en yeni”</w:t>
      </w:r>
      <w:r>
        <w:rPr>
          <w:spacing w:val="-14"/>
        </w:rPr>
        <w:t> </w:t>
      </w:r>
      <w:r>
        <w:rPr/>
        <w:t>kıstaslarına</w:t>
      </w:r>
      <w:r>
        <w:rPr>
          <w:spacing w:val="-12"/>
        </w:rPr>
        <w:t> </w:t>
      </w:r>
      <w:r>
        <w:rPr/>
        <w:t>göre</w:t>
      </w:r>
      <w:r>
        <w:rPr>
          <w:spacing w:val="-14"/>
        </w:rPr>
        <w:t> </w:t>
      </w:r>
      <w:r>
        <w:rPr/>
        <w:t>sıralamak</w:t>
      </w:r>
      <w:r>
        <w:rPr>
          <w:spacing w:val="-13"/>
        </w:rPr>
        <w:t> </w:t>
      </w:r>
      <w:r>
        <w:rPr/>
        <w:t>mümkündür.</w:t>
      </w:r>
      <w:r>
        <w:rPr>
          <w:spacing w:val="-11"/>
        </w:rPr>
        <w:t> </w:t>
      </w:r>
      <w:r>
        <w:rPr/>
        <w:t>Her</w:t>
      </w:r>
      <w:r>
        <w:rPr>
          <w:spacing w:val="-12"/>
        </w:rPr>
        <w:t> </w:t>
      </w:r>
      <w:r>
        <w:rPr/>
        <w:t>bir</w:t>
      </w:r>
      <w:r>
        <w:rPr>
          <w:spacing w:val="-14"/>
        </w:rPr>
        <w:t> </w:t>
      </w:r>
      <w:r>
        <w:rPr/>
        <w:t>yorum;</w:t>
      </w:r>
      <w:r>
        <w:rPr>
          <w:spacing w:val="-12"/>
        </w:rPr>
        <w:t> </w:t>
      </w:r>
      <w:r>
        <w:rPr/>
        <w:t>yorumu</w:t>
      </w:r>
      <w:r>
        <w:rPr>
          <w:spacing w:val="-14"/>
        </w:rPr>
        <w:t> </w:t>
      </w:r>
      <w:r>
        <w:rPr/>
        <w:t>yazan</w:t>
      </w:r>
      <w:r>
        <w:rPr>
          <w:spacing w:val="-11"/>
        </w:rPr>
        <w:t> </w:t>
      </w:r>
      <w:r>
        <w:rPr/>
        <w:t>kişinin</w:t>
      </w:r>
      <w:r>
        <w:rPr>
          <w:spacing w:val="-13"/>
        </w:rPr>
        <w:t> </w:t>
      </w:r>
      <w:r>
        <w:rPr/>
        <w:t>Amazon profil adını, tarihini, yorumu yazan kişinin ürüne verdiği oyu, yorum başlığını, yorum metnini,</w:t>
      </w:r>
      <w:r>
        <w:rPr>
          <w:spacing w:val="-10"/>
        </w:rPr>
        <w:t> </w:t>
      </w:r>
      <w:r>
        <w:rPr/>
        <w:t>yorum</w:t>
      </w:r>
      <w:r>
        <w:rPr>
          <w:spacing w:val="-9"/>
        </w:rPr>
        <w:t> </w:t>
      </w:r>
      <w:r>
        <w:rPr/>
        <w:t>yazan</w:t>
      </w:r>
      <w:r>
        <w:rPr>
          <w:spacing w:val="-9"/>
        </w:rPr>
        <w:t> </w:t>
      </w:r>
      <w:r>
        <w:rPr/>
        <w:t>kişinin</w:t>
      </w:r>
      <w:r>
        <w:rPr>
          <w:spacing w:val="-9"/>
        </w:rPr>
        <w:t> </w:t>
      </w:r>
      <w:r>
        <w:rPr/>
        <w:t>ürünü</w:t>
      </w:r>
      <w:r>
        <w:rPr>
          <w:spacing w:val="-9"/>
        </w:rPr>
        <w:t> </w:t>
      </w:r>
      <w:r>
        <w:rPr/>
        <w:t>gerçekten</w:t>
      </w:r>
      <w:r>
        <w:rPr>
          <w:spacing w:val="-9"/>
        </w:rPr>
        <w:t> </w:t>
      </w:r>
      <w:r>
        <w:rPr/>
        <w:t>satın</w:t>
      </w:r>
      <w:r>
        <w:rPr>
          <w:spacing w:val="-9"/>
        </w:rPr>
        <w:t> </w:t>
      </w:r>
      <w:r>
        <w:rPr/>
        <w:t>alıp</w:t>
      </w:r>
      <w:r>
        <w:rPr>
          <w:spacing w:val="-9"/>
        </w:rPr>
        <w:t> </w:t>
      </w:r>
      <w:r>
        <w:rPr/>
        <w:t>almadığını</w:t>
      </w:r>
      <w:r>
        <w:rPr>
          <w:spacing w:val="-11"/>
        </w:rPr>
        <w:t> </w:t>
      </w:r>
      <w:r>
        <w:rPr/>
        <w:t>ve</w:t>
      </w:r>
      <w:r>
        <w:rPr>
          <w:spacing w:val="-10"/>
        </w:rPr>
        <w:t> </w:t>
      </w:r>
      <w:r>
        <w:rPr/>
        <w:t>kaç</w:t>
      </w:r>
      <w:r>
        <w:rPr>
          <w:spacing w:val="-10"/>
        </w:rPr>
        <w:t> </w:t>
      </w:r>
      <w:r>
        <w:rPr/>
        <w:t>kişinin</w:t>
      </w:r>
      <w:r>
        <w:rPr>
          <w:spacing w:val="-8"/>
        </w:rPr>
        <w:t> </w:t>
      </w:r>
      <w:r>
        <w:rPr/>
        <w:t>bu</w:t>
      </w:r>
      <w:r>
        <w:rPr>
          <w:spacing w:val="-11"/>
        </w:rPr>
        <w:t> </w:t>
      </w:r>
      <w:r>
        <w:rPr/>
        <w:t>yorumu faydalı bulduğu bilgilerini içermektedir.</w:t>
      </w:r>
    </w:p>
    <w:p>
      <w:pPr>
        <w:pStyle w:val="BodyText"/>
        <w:spacing w:line="360" w:lineRule="auto"/>
        <w:ind w:right="310" w:firstLine="708"/>
      </w:pPr>
      <w:r>
        <w:rPr/>
        <w:t>Yoruma güveni sağlamak adına, yorum metninin hemen üstünde yorum yazarının ürünü Amazon.com’dan satın almış olduğunu belirten “doğrulanmış alışveriş” ifadesi bulunmaktadır. Aynı zamanda, yorumu okuyan kişinin yorumun ne derece faydalı</w:t>
      </w:r>
      <w:r>
        <w:rPr>
          <w:spacing w:val="-30"/>
        </w:rPr>
        <w:t> </w:t>
      </w:r>
      <w:r>
        <w:rPr/>
        <w:t>olduğunu değerlendirmesini sağlamak için yorum altında buton bulunmakta ve kaç kişinin bu yorumu faydalı bulduğunu da okuyucunun görmesini sağlanmaktadır. Dahası, okuyucunun yorumu yorumlamasına ve yorum içeriğinin uygunsuz olduğunu düşünüyorsa da raporlamasına olanak sunulmaktadır. Ayrıca, yorum sahibinin profil adına tıklanıldığında kişinin profiline girilmekte ve yaptığı tüm yorumlar ve kullandığı faydalı oylar görülmektedir (bk. Şekil 15). Yorum sahibini takip etmek ve takip ettiği diğer kişileri görmek de mümkündür. Ayrıca, Şekil 9’un sol tarafında görüldüğü üzere, profil sahibinin yorum yazanlar arasındaki sıralaması da yayınlanmaktadır. Bu sıralama, okuyucuya yorum yazan kişinin ne kadar</w:t>
      </w:r>
      <w:r>
        <w:rPr>
          <w:spacing w:val="-23"/>
        </w:rPr>
        <w:t> </w:t>
      </w:r>
      <w:r>
        <w:rPr/>
        <w:t>aktif bir yorum yazarı olduğu hakkında bilgi</w:t>
      </w:r>
      <w:r>
        <w:rPr>
          <w:spacing w:val="-1"/>
        </w:rPr>
        <w:t> </w:t>
      </w:r>
      <w:r>
        <w:rPr/>
        <w:t>vermektedir.</w:t>
      </w:r>
    </w:p>
    <w:p>
      <w:pPr>
        <w:spacing w:after="0" w:line="360" w:lineRule="auto"/>
        <w:sectPr>
          <w:pgSz w:w="12240" w:h="15840"/>
          <w:pgMar w:header="718" w:footer="0" w:top="1300" w:bottom="280" w:left="1720" w:right="820"/>
        </w:sectPr>
      </w:pPr>
    </w:p>
    <w:p>
      <w:pPr>
        <w:pStyle w:val="BodyText"/>
        <w:ind w:left="0"/>
        <w:jc w:val="left"/>
        <w:rPr>
          <w:sz w:val="10"/>
        </w:rPr>
      </w:pPr>
    </w:p>
    <w:p>
      <w:pPr>
        <w:pStyle w:val="BodyText"/>
        <w:ind w:left="562"/>
        <w:jc w:val="left"/>
        <w:rPr>
          <w:sz w:val="20"/>
        </w:rPr>
      </w:pPr>
      <w:r>
        <w:rPr>
          <w:sz w:val="20"/>
        </w:rPr>
        <w:pict>
          <v:group style="width:438.85pt;height:316pt;mso-position-horizontal-relative:char;mso-position-vertical-relative:line" coordorigin="0,0" coordsize="8777,6320">
            <v:shape style="position:absolute;left:15;top:15;width:8747;height:6290" type="#_x0000_t75" stroked="false">
              <v:imagedata r:id="rId23" o:title=""/>
            </v:shape>
            <v:rect style="position:absolute;left:7;top:7;width:8762;height:6305" filled="false" stroked="true" strokeweight=".75pt" strokecolor="#d0cece">
              <v:stroke dashstyle="solid"/>
            </v:rect>
          </v:group>
        </w:pict>
      </w:r>
      <w:r>
        <w:rPr>
          <w:sz w:val="20"/>
        </w:rPr>
      </w:r>
    </w:p>
    <w:p>
      <w:pPr>
        <w:pStyle w:val="BodyText"/>
        <w:ind w:right="4143"/>
      </w:pPr>
      <w:r>
        <w:rPr>
          <w:b/>
        </w:rPr>
        <w:t>Şekil 9: </w:t>
      </w:r>
      <w:r>
        <w:rPr/>
        <w:t>Amazon.com’dan Örnek Profil Sayfası Kaynak: htt</w:t>
      </w:r>
      <w:hyperlink r:id="rId22">
        <w:r>
          <w:rPr/>
          <w:t>ps://www.amazon.com </w:t>
        </w:r>
      </w:hyperlink>
      <w:r>
        <w:rPr/>
        <w:t>(e.t. 27/03/2020)</w:t>
      </w:r>
    </w:p>
    <w:p>
      <w:pPr>
        <w:pStyle w:val="BodyText"/>
        <w:spacing w:line="360" w:lineRule="auto" w:before="155"/>
        <w:ind w:right="309" w:firstLine="708"/>
      </w:pPr>
      <w:r>
        <w:rPr/>
        <w:t>Amazon, yorum sayfasında okuyucuya sunduğu bilgiler ve yorumu ve yorumcuyu değerlendirme</w:t>
      </w:r>
      <w:r>
        <w:rPr>
          <w:spacing w:val="-17"/>
        </w:rPr>
        <w:t> </w:t>
      </w:r>
      <w:r>
        <w:rPr/>
        <w:t>opsiyonlarıyla</w:t>
      </w:r>
      <w:r>
        <w:rPr>
          <w:spacing w:val="-15"/>
        </w:rPr>
        <w:t> </w:t>
      </w:r>
      <w:r>
        <w:rPr/>
        <w:t>müşteri</w:t>
      </w:r>
      <w:r>
        <w:rPr>
          <w:spacing w:val="-15"/>
        </w:rPr>
        <w:t> </w:t>
      </w:r>
      <w:r>
        <w:rPr/>
        <w:t>güvenini</w:t>
      </w:r>
      <w:r>
        <w:rPr>
          <w:spacing w:val="-15"/>
        </w:rPr>
        <w:t> </w:t>
      </w:r>
      <w:r>
        <w:rPr/>
        <w:t>sürdürmeyi</w:t>
      </w:r>
      <w:r>
        <w:rPr>
          <w:spacing w:val="-13"/>
        </w:rPr>
        <w:t> </w:t>
      </w:r>
      <w:r>
        <w:rPr/>
        <w:t>ve</w:t>
      </w:r>
      <w:r>
        <w:rPr>
          <w:spacing w:val="-17"/>
        </w:rPr>
        <w:t> </w:t>
      </w:r>
      <w:r>
        <w:rPr/>
        <w:t>sahte</w:t>
      </w:r>
      <w:r>
        <w:rPr>
          <w:spacing w:val="-16"/>
        </w:rPr>
        <w:t> </w:t>
      </w:r>
      <w:r>
        <w:rPr/>
        <w:t>yorumlarla</w:t>
      </w:r>
      <w:r>
        <w:rPr>
          <w:spacing w:val="-17"/>
        </w:rPr>
        <w:t> </w:t>
      </w:r>
      <w:r>
        <w:rPr/>
        <w:t>başa</w:t>
      </w:r>
      <w:r>
        <w:rPr>
          <w:spacing w:val="-16"/>
        </w:rPr>
        <w:t> </w:t>
      </w:r>
      <w:r>
        <w:rPr/>
        <w:t>çıkmada müşterilerin desteğini de almayı hedeflemektedir (Wan ve Nakayama, 2014). Ancak,</w:t>
      </w:r>
      <w:r>
        <w:rPr>
          <w:spacing w:val="-21"/>
        </w:rPr>
        <w:t> </w:t>
      </w:r>
      <w:r>
        <w:rPr/>
        <w:t>yorum sistemini önemli yatırımlarla sürekli geliştirmiş ve satıcılar ve yorum yapanlar için katı kurallar koymuş olsa da sahte yorumlar her zaman Amazon’un başını ağrıtmıştır (Thornhill, 2019; Woollacott, 2019). Sahte yorumlarla satışlarını artırmayı hedefleyen satıcılar, Amazon’un “sahte yorum kontrol sistemini” alt edecek yeni yolları sürekli olarak aramaktadırlar (örn. Hanbury,</w:t>
      </w:r>
      <w:r>
        <w:rPr>
          <w:spacing w:val="-1"/>
        </w:rPr>
        <w:t> </w:t>
      </w:r>
      <w:r>
        <w:rPr/>
        <w:t>2018).</w:t>
      </w:r>
    </w:p>
    <w:p>
      <w:pPr>
        <w:pStyle w:val="BodyText"/>
        <w:spacing w:line="360" w:lineRule="auto"/>
        <w:ind w:right="312" w:firstLine="708"/>
      </w:pPr>
      <w:r>
        <w:rPr/>
        <w:t>Sahte yorumların mevcudiyetine rağmen, Amazon yorumlar bağlamında ABD’li tüketicilerce en güvenilir bilgi kaynağı olarak kabul edilmektedir (Weise, 2017). Weise (2017) USA Today’de yayınlanan haberinde ayrıca, ABD’de tüketicilerin %55’inin alışverişlerinde</w:t>
      </w:r>
      <w:r>
        <w:rPr>
          <w:spacing w:val="-16"/>
        </w:rPr>
        <w:t> </w:t>
      </w:r>
      <w:r>
        <w:rPr/>
        <w:t>araştırma</w:t>
      </w:r>
      <w:r>
        <w:rPr>
          <w:spacing w:val="-17"/>
        </w:rPr>
        <w:t> </w:t>
      </w:r>
      <w:r>
        <w:rPr/>
        <w:t>yaparken</w:t>
      </w:r>
      <w:r>
        <w:rPr>
          <w:spacing w:val="-15"/>
        </w:rPr>
        <w:t> </w:t>
      </w:r>
      <w:r>
        <w:rPr/>
        <w:t>ilk</w:t>
      </w:r>
      <w:r>
        <w:rPr>
          <w:spacing w:val="-18"/>
        </w:rPr>
        <w:t> </w:t>
      </w:r>
      <w:r>
        <w:rPr/>
        <w:t>olarak</w:t>
      </w:r>
      <w:r>
        <w:rPr>
          <w:spacing w:val="-15"/>
        </w:rPr>
        <w:t> </w:t>
      </w:r>
      <w:r>
        <w:rPr/>
        <w:t>Amazon’a</w:t>
      </w:r>
      <w:r>
        <w:rPr>
          <w:spacing w:val="-19"/>
        </w:rPr>
        <w:t> </w:t>
      </w:r>
      <w:r>
        <w:rPr/>
        <w:t>baktıklarını</w:t>
      </w:r>
      <w:r>
        <w:rPr>
          <w:spacing w:val="-17"/>
        </w:rPr>
        <w:t> </w:t>
      </w:r>
      <w:r>
        <w:rPr/>
        <w:t>ve</w:t>
      </w:r>
      <w:r>
        <w:rPr>
          <w:spacing w:val="-18"/>
        </w:rPr>
        <w:t> </w:t>
      </w:r>
      <w:r>
        <w:rPr/>
        <w:t>tüketicilerin</w:t>
      </w:r>
      <w:r>
        <w:rPr>
          <w:spacing w:val="-17"/>
        </w:rPr>
        <w:t> </w:t>
      </w:r>
      <w:r>
        <w:rPr/>
        <w:t>yarısının öncelikli olarak Amazon yorumlarına güvendiklerini de</w:t>
      </w:r>
      <w:r>
        <w:rPr>
          <w:spacing w:val="-1"/>
        </w:rPr>
        <w:t> </w:t>
      </w:r>
      <w:r>
        <w:rPr/>
        <w:t>belirtmektedir.</w:t>
      </w:r>
    </w:p>
    <w:p>
      <w:pPr>
        <w:spacing w:after="0" w:line="360" w:lineRule="auto"/>
        <w:sectPr>
          <w:pgSz w:w="12240" w:h="15840"/>
          <w:pgMar w:header="718" w:footer="0" w:top="1300" w:bottom="280" w:left="1720" w:right="820"/>
        </w:sectPr>
      </w:pPr>
    </w:p>
    <w:p>
      <w:pPr>
        <w:pStyle w:val="BodyText"/>
        <w:spacing w:line="360" w:lineRule="auto" w:before="100"/>
        <w:ind w:right="314" w:firstLine="708"/>
      </w:pPr>
      <w:r>
        <w:rPr/>
        <w:t>Özetle, Amazon hem kendisi hem de tüketiciler açısından oldukça önemli bir yorum sistemine sahiptir. Bu durumun doğal sonucu olarak, Amazon elektronik ağızdan ağıza iletişim araştırmaları için devasa bir gözlem alanı ve veri bankası görevi görmektedir. Sonraki bölümde, Amazon’dan elde edilen verileri analiz eden çalışmalardan yola çıkarak, Amazon’un elektronik ağızdan ağıza iletişim literatüründeki yeri ve önemine değinilmektedir.</w:t>
      </w:r>
    </w:p>
    <w:p>
      <w:pPr>
        <w:pStyle w:val="Heading1"/>
        <w:numPr>
          <w:ilvl w:val="2"/>
          <w:numId w:val="2"/>
        </w:numPr>
        <w:tabs>
          <w:tab w:pos="1857" w:val="left" w:leader="none"/>
        </w:tabs>
        <w:spacing w:line="240" w:lineRule="auto" w:before="159" w:after="0"/>
        <w:ind w:left="1856" w:right="0" w:hanging="601"/>
        <w:jc w:val="both"/>
      </w:pPr>
      <w:r>
        <w:rPr/>
        <w:t>Amazon’un Elektronik Ağızdan Ağıza İletişim Literatüründeki</w:t>
      </w:r>
      <w:r>
        <w:rPr>
          <w:spacing w:val="-7"/>
        </w:rPr>
        <w:t> </w:t>
      </w:r>
      <w:r>
        <w:rPr/>
        <w:t>Önemi</w:t>
      </w:r>
    </w:p>
    <w:p>
      <w:pPr>
        <w:pStyle w:val="BodyText"/>
        <w:spacing w:line="360" w:lineRule="auto" w:before="139"/>
        <w:ind w:right="309" w:firstLine="708"/>
      </w:pPr>
      <w:r>
        <w:rPr/>
        <w:t>Amazon’da yer alan ürün yorumlarının elektronik ağızdan ağıza iletişim literatürü için</w:t>
      </w:r>
      <w:r>
        <w:rPr>
          <w:spacing w:val="-17"/>
        </w:rPr>
        <w:t> </w:t>
      </w:r>
      <w:r>
        <w:rPr/>
        <w:t>önemini</w:t>
      </w:r>
      <w:r>
        <w:rPr>
          <w:spacing w:val="-15"/>
        </w:rPr>
        <w:t> </w:t>
      </w:r>
      <w:r>
        <w:rPr/>
        <w:t>ortaya</w:t>
      </w:r>
      <w:r>
        <w:rPr>
          <w:spacing w:val="-17"/>
        </w:rPr>
        <w:t> </w:t>
      </w:r>
      <w:r>
        <w:rPr/>
        <w:t>koymak</w:t>
      </w:r>
      <w:r>
        <w:rPr>
          <w:spacing w:val="-17"/>
        </w:rPr>
        <w:t> </w:t>
      </w:r>
      <w:r>
        <w:rPr/>
        <w:t>adına,</w:t>
      </w:r>
      <w:r>
        <w:rPr>
          <w:spacing w:val="-14"/>
        </w:rPr>
        <w:t> </w:t>
      </w:r>
      <w:r>
        <w:rPr/>
        <w:t>literatürde</w:t>
      </w:r>
      <w:r>
        <w:rPr>
          <w:spacing w:val="-15"/>
        </w:rPr>
        <w:t> </w:t>
      </w:r>
      <w:r>
        <w:rPr/>
        <w:t>Amazon</w:t>
      </w:r>
      <w:r>
        <w:rPr>
          <w:spacing w:val="-16"/>
        </w:rPr>
        <w:t> </w:t>
      </w:r>
      <w:r>
        <w:rPr/>
        <w:t>örneklemleriyle</w:t>
      </w:r>
      <w:r>
        <w:rPr>
          <w:spacing w:val="-17"/>
        </w:rPr>
        <w:t> </w:t>
      </w:r>
      <w:r>
        <w:rPr/>
        <w:t>yapılmış</w:t>
      </w:r>
      <w:r>
        <w:rPr>
          <w:spacing w:val="-17"/>
        </w:rPr>
        <w:t> </w:t>
      </w:r>
      <w:r>
        <w:rPr/>
        <w:t>çalışmaların taranması uygun görülmüştür. Bu amaçla, Web of Science veri tabanında “Amazon” ile birlikte, Cheung ve Thadani’nin (2012), King vd.nin (2014) ve Özbük ve Aksoy’un (2017) çalışmalarından yola çıkarak belirlenen "elektronik ağızdan ağıza iletişim (e-wom)", "ürün yorumu (product review)", "online yorum (online review)", "müşteri yorumu (customer review)", "kullanıcı tarafından oluşturulan içerik (user generated content)", "online ağızdan ağıza</w:t>
      </w:r>
      <w:r>
        <w:rPr>
          <w:spacing w:val="-9"/>
        </w:rPr>
        <w:t> </w:t>
      </w:r>
      <w:r>
        <w:rPr/>
        <w:t>iletişim</w:t>
      </w:r>
      <w:r>
        <w:rPr>
          <w:spacing w:val="-6"/>
        </w:rPr>
        <w:t> </w:t>
      </w:r>
      <w:r>
        <w:rPr/>
        <w:t>(online</w:t>
      </w:r>
      <w:r>
        <w:rPr>
          <w:spacing w:val="-8"/>
        </w:rPr>
        <w:t> </w:t>
      </w:r>
      <w:r>
        <w:rPr/>
        <w:t>wom)",</w:t>
      </w:r>
      <w:r>
        <w:rPr>
          <w:spacing w:val="-6"/>
        </w:rPr>
        <w:t> </w:t>
      </w:r>
      <w:r>
        <w:rPr/>
        <w:t>"online</w:t>
      </w:r>
      <w:r>
        <w:rPr>
          <w:spacing w:val="-8"/>
        </w:rPr>
        <w:t> </w:t>
      </w:r>
      <w:r>
        <w:rPr/>
        <w:t>tüketici</w:t>
      </w:r>
      <w:r>
        <w:rPr>
          <w:spacing w:val="-7"/>
        </w:rPr>
        <w:t> </w:t>
      </w:r>
      <w:r>
        <w:rPr/>
        <w:t>yorumları</w:t>
      </w:r>
      <w:r>
        <w:rPr>
          <w:spacing w:val="-6"/>
        </w:rPr>
        <w:t> </w:t>
      </w:r>
      <w:r>
        <w:rPr/>
        <w:t>(online</w:t>
      </w:r>
      <w:r>
        <w:rPr>
          <w:spacing w:val="-8"/>
        </w:rPr>
        <w:t> </w:t>
      </w:r>
      <w:r>
        <w:rPr/>
        <w:t>consumer</w:t>
      </w:r>
      <w:r>
        <w:rPr>
          <w:spacing w:val="-6"/>
        </w:rPr>
        <w:t> </w:t>
      </w:r>
      <w:r>
        <w:rPr/>
        <w:t>reviews)",</w:t>
      </w:r>
      <w:r>
        <w:rPr>
          <w:spacing w:val="-7"/>
        </w:rPr>
        <w:t> </w:t>
      </w:r>
      <w:r>
        <w:rPr/>
        <w:t>"online tavsiyeler (online recomendations" ve "online fısıltı (online buzz)" kelime ve kelime gruplarıyla aramalar gerçekleştirilmiştir. Gerçekleştirilen tarama sonucunda, Amazon verilerini analiz eden 61 çalışmaya ulaşılmıştır (bk. Tablo 4).</w:t>
      </w:r>
    </w:p>
    <w:p>
      <w:pPr>
        <w:pStyle w:val="BodyText"/>
        <w:spacing w:before="161"/>
      </w:pPr>
      <w:r>
        <w:rPr>
          <w:b/>
        </w:rPr>
        <w:t>Tablo 4: </w:t>
      </w:r>
      <w:r>
        <w:rPr/>
        <w:t>Amazon’daki ürün yorumlarını analiz eden çalışmalar</w:t>
      </w: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8"/>
        <w:gridCol w:w="1513"/>
        <w:gridCol w:w="1876"/>
        <w:gridCol w:w="1002"/>
        <w:gridCol w:w="1221"/>
        <w:gridCol w:w="2823"/>
      </w:tblGrid>
      <w:tr>
        <w:trPr>
          <w:trHeight w:val="460" w:hRule="atLeast"/>
        </w:trPr>
        <w:tc>
          <w:tcPr>
            <w:tcW w:w="568" w:type="dxa"/>
            <w:tcBorders>
              <w:top w:val="single" w:sz="4" w:space="0" w:color="7E7E7E"/>
              <w:bottom w:val="single" w:sz="4" w:space="0" w:color="7E7E7E"/>
            </w:tcBorders>
          </w:tcPr>
          <w:p>
            <w:pPr>
              <w:pStyle w:val="TableParagraph"/>
              <w:ind w:left="122"/>
              <w:rPr>
                <w:b/>
                <w:sz w:val="20"/>
              </w:rPr>
            </w:pPr>
            <w:r>
              <w:rPr>
                <w:b/>
                <w:sz w:val="20"/>
              </w:rPr>
              <w:t>No.</w:t>
            </w:r>
          </w:p>
        </w:tc>
        <w:tc>
          <w:tcPr>
            <w:tcW w:w="1513" w:type="dxa"/>
            <w:tcBorders>
              <w:top w:val="single" w:sz="4" w:space="0" w:color="7E7E7E"/>
              <w:bottom w:val="single" w:sz="4" w:space="0" w:color="7E7E7E"/>
            </w:tcBorders>
          </w:tcPr>
          <w:p>
            <w:pPr>
              <w:pStyle w:val="TableParagraph"/>
              <w:ind w:left="151"/>
              <w:rPr>
                <w:b/>
                <w:sz w:val="20"/>
              </w:rPr>
            </w:pPr>
            <w:r>
              <w:rPr>
                <w:b/>
                <w:sz w:val="20"/>
              </w:rPr>
              <w:t>Yayın</w:t>
            </w:r>
          </w:p>
        </w:tc>
        <w:tc>
          <w:tcPr>
            <w:tcW w:w="1876" w:type="dxa"/>
            <w:tcBorders>
              <w:top w:val="single" w:sz="4" w:space="0" w:color="7E7E7E"/>
              <w:bottom w:val="single" w:sz="4" w:space="0" w:color="7E7E7E"/>
            </w:tcBorders>
          </w:tcPr>
          <w:p>
            <w:pPr>
              <w:pStyle w:val="TableParagraph"/>
              <w:ind w:left="110"/>
              <w:rPr>
                <w:b/>
                <w:sz w:val="20"/>
              </w:rPr>
            </w:pPr>
            <w:r>
              <w:rPr>
                <w:b/>
                <w:sz w:val="20"/>
              </w:rPr>
              <w:t>Ürün Kategorisi</w:t>
            </w:r>
          </w:p>
        </w:tc>
        <w:tc>
          <w:tcPr>
            <w:tcW w:w="1002" w:type="dxa"/>
            <w:tcBorders>
              <w:top w:val="single" w:sz="4" w:space="0" w:color="7E7E7E"/>
              <w:bottom w:val="single" w:sz="4" w:space="0" w:color="7E7E7E"/>
            </w:tcBorders>
          </w:tcPr>
          <w:p>
            <w:pPr>
              <w:pStyle w:val="TableParagraph"/>
              <w:spacing w:line="230" w:lineRule="atLeast"/>
              <w:ind w:left="147"/>
              <w:rPr>
                <w:b/>
                <w:sz w:val="20"/>
              </w:rPr>
            </w:pPr>
            <w:r>
              <w:rPr>
                <w:b/>
                <w:sz w:val="20"/>
              </w:rPr>
              <w:t>Analiz </w:t>
            </w:r>
            <w:r>
              <w:rPr>
                <w:b/>
                <w:w w:val="95"/>
                <w:sz w:val="20"/>
              </w:rPr>
              <w:t>Düzeyi</w:t>
            </w:r>
          </w:p>
        </w:tc>
        <w:tc>
          <w:tcPr>
            <w:tcW w:w="1221" w:type="dxa"/>
            <w:tcBorders>
              <w:top w:val="single" w:sz="4" w:space="0" w:color="7E7E7E"/>
              <w:bottom w:val="single" w:sz="4" w:space="0" w:color="7E7E7E"/>
            </w:tcBorders>
          </w:tcPr>
          <w:p>
            <w:pPr>
              <w:pStyle w:val="TableParagraph"/>
              <w:spacing w:line="230" w:lineRule="atLeast"/>
              <w:ind w:left="173" w:right="472"/>
              <w:rPr>
                <w:b/>
                <w:sz w:val="20"/>
              </w:rPr>
            </w:pPr>
            <w:r>
              <w:rPr>
                <w:b/>
                <w:sz w:val="20"/>
              </w:rPr>
              <w:t>Analiz</w:t>
            </w:r>
            <w:r>
              <w:rPr>
                <w:b/>
                <w:w w:val="99"/>
                <w:sz w:val="20"/>
              </w:rPr>
              <w:t> </w:t>
            </w:r>
            <w:r>
              <w:rPr>
                <w:b/>
                <w:sz w:val="20"/>
              </w:rPr>
              <w:t>Türü</w:t>
            </w:r>
          </w:p>
        </w:tc>
        <w:tc>
          <w:tcPr>
            <w:tcW w:w="2823" w:type="dxa"/>
            <w:tcBorders>
              <w:top w:val="single" w:sz="4" w:space="0" w:color="7E7E7E"/>
              <w:bottom w:val="single" w:sz="4" w:space="0" w:color="7E7E7E"/>
            </w:tcBorders>
          </w:tcPr>
          <w:p>
            <w:pPr>
              <w:pStyle w:val="TableParagraph"/>
              <w:ind w:left="132"/>
              <w:rPr>
                <w:b/>
                <w:sz w:val="20"/>
              </w:rPr>
            </w:pPr>
            <w:r>
              <w:rPr>
                <w:b/>
                <w:sz w:val="20"/>
              </w:rPr>
              <w:t>Analiz Yöntemi</w:t>
            </w:r>
          </w:p>
        </w:tc>
      </w:tr>
      <w:tr>
        <w:trPr>
          <w:trHeight w:val="460" w:hRule="atLeast"/>
        </w:trPr>
        <w:tc>
          <w:tcPr>
            <w:tcW w:w="568" w:type="dxa"/>
            <w:tcBorders>
              <w:top w:val="single" w:sz="4" w:space="0" w:color="7E7E7E"/>
              <w:bottom w:val="single" w:sz="4" w:space="0" w:color="7E7E7E"/>
            </w:tcBorders>
          </w:tcPr>
          <w:p>
            <w:pPr>
              <w:pStyle w:val="TableParagraph"/>
              <w:ind w:left="122"/>
              <w:rPr>
                <w:sz w:val="20"/>
              </w:rPr>
            </w:pPr>
            <w:r>
              <w:rPr>
                <w:w w:val="99"/>
                <w:sz w:val="20"/>
              </w:rPr>
              <w:t>1</w:t>
            </w:r>
          </w:p>
        </w:tc>
        <w:tc>
          <w:tcPr>
            <w:tcW w:w="1513" w:type="dxa"/>
            <w:tcBorders>
              <w:top w:val="single" w:sz="4" w:space="0" w:color="7E7E7E"/>
              <w:bottom w:val="single" w:sz="4" w:space="0" w:color="7E7E7E"/>
            </w:tcBorders>
          </w:tcPr>
          <w:p>
            <w:pPr>
              <w:pStyle w:val="TableParagraph"/>
              <w:spacing w:line="230" w:lineRule="atLeast"/>
              <w:ind w:left="151" w:right="92"/>
              <w:rPr>
                <w:sz w:val="20"/>
              </w:rPr>
            </w:pPr>
            <w:r>
              <w:rPr>
                <w:sz w:val="20"/>
              </w:rPr>
              <w:t>Chevalier ve Mayzlin (2006)</w:t>
            </w:r>
          </w:p>
        </w:tc>
        <w:tc>
          <w:tcPr>
            <w:tcW w:w="1876" w:type="dxa"/>
            <w:tcBorders>
              <w:top w:val="single" w:sz="4" w:space="0" w:color="7E7E7E"/>
              <w:bottom w:val="single" w:sz="4" w:space="0" w:color="7E7E7E"/>
            </w:tcBorders>
          </w:tcPr>
          <w:p>
            <w:pPr>
              <w:pStyle w:val="TableParagraph"/>
              <w:ind w:left="110"/>
              <w:rPr>
                <w:sz w:val="20"/>
              </w:rPr>
            </w:pPr>
            <w:r>
              <w:rPr>
                <w:sz w:val="20"/>
              </w:rPr>
              <w:t>Kitap</w:t>
            </w:r>
          </w:p>
        </w:tc>
        <w:tc>
          <w:tcPr>
            <w:tcW w:w="1002" w:type="dxa"/>
            <w:tcBorders>
              <w:top w:val="single" w:sz="4" w:space="0" w:color="7E7E7E"/>
              <w:bottom w:val="single" w:sz="4" w:space="0" w:color="7E7E7E"/>
            </w:tcBorders>
          </w:tcPr>
          <w:p>
            <w:pPr>
              <w:pStyle w:val="TableParagraph"/>
              <w:ind w:left="147"/>
              <w:rPr>
                <w:sz w:val="20"/>
              </w:rPr>
            </w:pPr>
            <w:r>
              <w:rPr>
                <w:sz w:val="20"/>
              </w:rPr>
              <w:t>Pazar</w:t>
            </w:r>
          </w:p>
        </w:tc>
        <w:tc>
          <w:tcPr>
            <w:tcW w:w="1221" w:type="dxa"/>
            <w:tcBorders>
              <w:top w:val="single" w:sz="4" w:space="0" w:color="7E7E7E"/>
              <w:bottom w:val="single" w:sz="4" w:space="0" w:color="7E7E7E"/>
            </w:tcBorders>
          </w:tcPr>
          <w:p>
            <w:pPr>
              <w:pStyle w:val="TableParagraph"/>
              <w:ind w:left="173"/>
              <w:rPr>
                <w:sz w:val="20"/>
              </w:rPr>
            </w:pPr>
            <w:r>
              <w:rPr>
                <w:sz w:val="20"/>
              </w:rPr>
              <w:t>Çoklu kesit</w:t>
            </w:r>
          </w:p>
        </w:tc>
        <w:tc>
          <w:tcPr>
            <w:tcW w:w="2823" w:type="dxa"/>
            <w:tcBorders>
              <w:top w:val="single" w:sz="4" w:space="0" w:color="7E7E7E"/>
              <w:bottom w:val="single" w:sz="4" w:space="0" w:color="7E7E7E"/>
            </w:tcBorders>
          </w:tcPr>
          <w:p>
            <w:pPr>
              <w:pStyle w:val="TableParagraph"/>
              <w:ind w:left="132"/>
              <w:rPr>
                <w:sz w:val="20"/>
              </w:rPr>
            </w:pPr>
            <w:r>
              <w:rPr>
                <w:sz w:val="20"/>
              </w:rPr>
              <w:t>Regresyon</w:t>
            </w:r>
          </w:p>
        </w:tc>
      </w:tr>
      <w:tr>
        <w:trPr>
          <w:trHeight w:val="457" w:hRule="atLeast"/>
        </w:trPr>
        <w:tc>
          <w:tcPr>
            <w:tcW w:w="568" w:type="dxa"/>
            <w:tcBorders>
              <w:top w:val="single" w:sz="4" w:space="0" w:color="7E7E7E"/>
              <w:bottom w:val="single" w:sz="4" w:space="0" w:color="7E7E7E"/>
            </w:tcBorders>
          </w:tcPr>
          <w:p>
            <w:pPr>
              <w:pStyle w:val="TableParagraph"/>
              <w:ind w:left="122"/>
              <w:rPr>
                <w:sz w:val="20"/>
              </w:rPr>
            </w:pPr>
            <w:r>
              <w:rPr>
                <w:w w:val="99"/>
                <w:sz w:val="20"/>
              </w:rPr>
              <w:t>2</w:t>
            </w:r>
          </w:p>
        </w:tc>
        <w:tc>
          <w:tcPr>
            <w:tcW w:w="1513" w:type="dxa"/>
            <w:tcBorders>
              <w:top w:val="single" w:sz="4" w:space="0" w:color="7E7E7E"/>
              <w:bottom w:val="single" w:sz="4" w:space="0" w:color="7E7E7E"/>
            </w:tcBorders>
          </w:tcPr>
          <w:p>
            <w:pPr>
              <w:pStyle w:val="TableParagraph"/>
              <w:spacing w:line="228" w:lineRule="exact" w:before="4"/>
              <w:ind w:left="151" w:right="131"/>
              <w:rPr>
                <w:sz w:val="20"/>
              </w:rPr>
            </w:pPr>
            <w:r>
              <w:rPr>
                <w:sz w:val="20"/>
              </w:rPr>
              <w:t>Amblee ve Bui (2008)</w:t>
            </w:r>
          </w:p>
        </w:tc>
        <w:tc>
          <w:tcPr>
            <w:tcW w:w="1876" w:type="dxa"/>
            <w:tcBorders>
              <w:top w:val="single" w:sz="4" w:space="0" w:color="7E7E7E"/>
              <w:bottom w:val="single" w:sz="4" w:space="0" w:color="7E7E7E"/>
            </w:tcBorders>
          </w:tcPr>
          <w:p>
            <w:pPr>
              <w:pStyle w:val="TableParagraph"/>
              <w:ind w:left="110"/>
              <w:rPr>
                <w:sz w:val="20"/>
              </w:rPr>
            </w:pPr>
            <w:r>
              <w:rPr>
                <w:sz w:val="20"/>
              </w:rPr>
              <w:t>E-kitap</w:t>
            </w:r>
          </w:p>
        </w:tc>
        <w:tc>
          <w:tcPr>
            <w:tcW w:w="1002" w:type="dxa"/>
            <w:tcBorders>
              <w:top w:val="single" w:sz="4" w:space="0" w:color="7E7E7E"/>
              <w:bottom w:val="single" w:sz="4" w:space="0" w:color="7E7E7E"/>
            </w:tcBorders>
          </w:tcPr>
          <w:p>
            <w:pPr>
              <w:pStyle w:val="TableParagraph"/>
              <w:ind w:left="147"/>
              <w:rPr>
                <w:sz w:val="20"/>
              </w:rPr>
            </w:pPr>
            <w:r>
              <w:rPr>
                <w:sz w:val="20"/>
              </w:rPr>
              <w:t>Bireysel</w:t>
            </w:r>
          </w:p>
        </w:tc>
        <w:tc>
          <w:tcPr>
            <w:tcW w:w="1221" w:type="dxa"/>
            <w:tcBorders>
              <w:top w:val="single" w:sz="4" w:space="0" w:color="7E7E7E"/>
              <w:bottom w:val="single" w:sz="4" w:space="0" w:color="7E7E7E"/>
            </w:tcBorders>
          </w:tcPr>
          <w:p>
            <w:pPr>
              <w:pStyle w:val="TableParagraph"/>
              <w:ind w:left="173"/>
              <w:rPr>
                <w:sz w:val="20"/>
              </w:rPr>
            </w:pPr>
            <w:r>
              <w:rPr>
                <w:sz w:val="20"/>
              </w:rPr>
              <w:t>Panel</w:t>
            </w:r>
          </w:p>
        </w:tc>
        <w:tc>
          <w:tcPr>
            <w:tcW w:w="2823" w:type="dxa"/>
            <w:tcBorders>
              <w:top w:val="single" w:sz="4" w:space="0" w:color="7E7E7E"/>
              <w:bottom w:val="single" w:sz="4" w:space="0" w:color="7E7E7E"/>
            </w:tcBorders>
          </w:tcPr>
          <w:p>
            <w:pPr>
              <w:pStyle w:val="TableParagraph"/>
              <w:ind w:left="132"/>
              <w:rPr>
                <w:sz w:val="20"/>
              </w:rPr>
            </w:pPr>
            <w:r>
              <w:rPr>
                <w:sz w:val="20"/>
              </w:rPr>
              <w:t>Lojistik Regresyon</w:t>
            </w:r>
          </w:p>
        </w:tc>
      </w:tr>
      <w:tr>
        <w:trPr>
          <w:trHeight w:val="458" w:hRule="atLeast"/>
        </w:trPr>
        <w:tc>
          <w:tcPr>
            <w:tcW w:w="568" w:type="dxa"/>
            <w:tcBorders>
              <w:top w:val="single" w:sz="4" w:space="0" w:color="7E7E7E"/>
              <w:bottom w:val="single" w:sz="4" w:space="0" w:color="7E7E7E"/>
            </w:tcBorders>
          </w:tcPr>
          <w:p>
            <w:pPr>
              <w:pStyle w:val="TableParagraph"/>
              <w:spacing w:line="228" w:lineRule="exact"/>
              <w:ind w:left="122"/>
              <w:rPr>
                <w:sz w:val="20"/>
              </w:rPr>
            </w:pPr>
            <w:r>
              <w:rPr>
                <w:w w:val="99"/>
                <w:sz w:val="20"/>
              </w:rPr>
              <w:t>3</w:t>
            </w:r>
          </w:p>
        </w:tc>
        <w:tc>
          <w:tcPr>
            <w:tcW w:w="1513" w:type="dxa"/>
            <w:tcBorders>
              <w:top w:val="single" w:sz="4" w:space="0" w:color="7E7E7E"/>
              <w:bottom w:val="single" w:sz="4" w:space="0" w:color="7E7E7E"/>
            </w:tcBorders>
          </w:tcPr>
          <w:p>
            <w:pPr>
              <w:pStyle w:val="TableParagraph"/>
              <w:spacing w:line="230" w:lineRule="exact" w:before="1"/>
              <w:ind w:left="151" w:right="419"/>
              <w:rPr>
                <w:sz w:val="20"/>
              </w:rPr>
            </w:pPr>
            <w:r>
              <w:rPr>
                <w:sz w:val="20"/>
              </w:rPr>
              <w:t>Forman vd. (2008)</w:t>
            </w:r>
          </w:p>
        </w:tc>
        <w:tc>
          <w:tcPr>
            <w:tcW w:w="1876" w:type="dxa"/>
            <w:tcBorders>
              <w:top w:val="single" w:sz="4" w:space="0" w:color="7E7E7E"/>
              <w:bottom w:val="single" w:sz="4" w:space="0" w:color="7E7E7E"/>
            </w:tcBorders>
          </w:tcPr>
          <w:p>
            <w:pPr>
              <w:pStyle w:val="TableParagraph"/>
              <w:spacing w:line="228" w:lineRule="exact"/>
              <w:ind w:left="110"/>
              <w:rPr>
                <w:sz w:val="20"/>
              </w:rPr>
            </w:pPr>
            <w:r>
              <w:rPr>
                <w:sz w:val="20"/>
              </w:rPr>
              <w:t>Kitap</w:t>
            </w:r>
          </w:p>
        </w:tc>
        <w:tc>
          <w:tcPr>
            <w:tcW w:w="1002" w:type="dxa"/>
            <w:tcBorders>
              <w:top w:val="single" w:sz="4" w:space="0" w:color="7E7E7E"/>
              <w:bottom w:val="single" w:sz="4" w:space="0" w:color="7E7E7E"/>
            </w:tcBorders>
          </w:tcPr>
          <w:p>
            <w:pPr>
              <w:pStyle w:val="TableParagraph"/>
              <w:spacing w:line="230" w:lineRule="exact" w:before="1"/>
              <w:ind w:left="147" w:right="152"/>
              <w:rPr>
                <w:sz w:val="20"/>
              </w:rPr>
            </w:pPr>
            <w:r>
              <w:rPr>
                <w:sz w:val="20"/>
              </w:rPr>
              <w:t>Pazar ve Bireysel</w:t>
            </w:r>
          </w:p>
        </w:tc>
        <w:tc>
          <w:tcPr>
            <w:tcW w:w="1221" w:type="dxa"/>
            <w:tcBorders>
              <w:top w:val="single" w:sz="4" w:space="0" w:color="7E7E7E"/>
              <w:bottom w:val="single" w:sz="4" w:space="0" w:color="7E7E7E"/>
            </w:tcBorders>
          </w:tcPr>
          <w:p>
            <w:pPr>
              <w:pStyle w:val="TableParagraph"/>
              <w:spacing w:line="228" w:lineRule="exact"/>
              <w:ind w:left="173"/>
              <w:rPr>
                <w:sz w:val="20"/>
              </w:rPr>
            </w:pPr>
            <w:r>
              <w:rPr>
                <w:sz w:val="20"/>
              </w:rPr>
              <w:t>Panel</w:t>
            </w:r>
          </w:p>
        </w:tc>
        <w:tc>
          <w:tcPr>
            <w:tcW w:w="2823" w:type="dxa"/>
            <w:tcBorders>
              <w:top w:val="single" w:sz="4" w:space="0" w:color="7E7E7E"/>
              <w:bottom w:val="single" w:sz="4" w:space="0" w:color="7E7E7E"/>
            </w:tcBorders>
          </w:tcPr>
          <w:p>
            <w:pPr>
              <w:pStyle w:val="TableParagraph"/>
              <w:spacing w:line="230" w:lineRule="exact" w:before="1"/>
              <w:ind w:left="132" w:right="365"/>
              <w:rPr>
                <w:sz w:val="20"/>
              </w:rPr>
            </w:pPr>
            <w:r>
              <w:rPr>
                <w:sz w:val="20"/>
              </w:rPr>
              <w:t>Sabit etki modeli, regresyon, logaritmik regresyon</w:t>
            </w:r>
          </w:p>
        </w:tc>
      </w:tr>
      <w:tr>
        <w:trPr>
          <w:trHeight w:val="687" w:hRule="atLeast"/>
        </w:trPr>
        <w:tc>
          <w:tcPr>
            <w:tcW w:w="568" w:type="dxa"/>
            <w:tcBorders>
              <w:top w:val="single" w:sz="4" w:space="0" w:color="7E7E7E"/>
              <w:bottom w:val="single" w:sz="4" w:space="0" w:color="7E7E7E"/>
            </w:tcBorders>
          </w:tcPr>
          <w:p>
            <w:pPr>
              <w:pStyle w:val="TableParagraph"/>
              <w:spacing w:line="228" w:lineRule="exact"/>
              <w:ind w:left="122"/>
              <w:rPr>
                <w:sz w:val="20"/>
              </w:rPr>
            </w:pPr>
            <w:r>
              <w:rPr>
                <w:w w:val="99"/>
                <w:sz w:val="20"/>
              </w:rPr>
              <w:t>4</w:t>
            </w:r>
          </w:p>
        </w:tc>
        <w:tc>
          <w:tcPr>
            <w:tcW w:w="1513" w:type="dxa"/>
            <w:tcBorders>
              <w:top w:val="single" w:sz="4" w:space="0" w:color="7E7E7E"/>
              <w:bottom w:val="single" w:sz="4" w:space="0" w:color="7E7E7E"/>
            </w:tcBorders>
          </w:tcPr>
          <w:p>
            <w:pPr>
              <w:pStyle w:val="TableParagraph"/>
              <w:ind w:left="151" w:right="647"/>
              <w:rPr>
                <w:sz w:val="20"/>
              </w:rPr>
            </w:pPr>
            <w:r>
              <w:rPr>
                <w:sz w:val="20"/>
              </w:rPr>
              <w:t>Li &amp;Hitt (2008)</w:t>
            </w:r>
          </w:p>
        </w:tc>
        <w:tc>
          <w:tcPr>
            <w:tcW w:w="1876" w:type="dxa"/>
            <w:tcBorders>
              <w:top w:val="single" w:sz="4" w:space="0" w:color="7E7E7E"/>
              <w:bottom w:val="single" w:sz="4" w:space="0" w:color="7E7E7E"/>
            </w:tcBorders>
          </w:tcPr>
          <w:p>
            <w:pPr>
              <w:pStyle w:val="TableParagraph"/>
              <w:spacing w:line="228" w:lineRule="exact"/>
              <w:ind w:left="110"/>
              <w:rPr>
                <w:sz w:val="20"/>
              </w:rPr>
            </w:pPr>
            <w:r>
              <w:rPr>
                <w:sz w:val="20"/>
              </w:rPr>
              <w:t>Kitap</w:t>
            </w:r>
          </w:p>
        </w:tc>
        <w:tc>
          <w:tcPr>
            <w:tcW w:w="1002" w:type="dxa"/>
            <w:tcBorders>
              <w:top w:val="single" w:sz="4" w:space="0" w:color="7E7E7E"/>
              <w:bottom w:val="single" w:sz="4" w:space="0" w:color="7E7E7E"/>
            </w:tcBorders>
          </w:tcPr>
          <w:p>
            <w:pPr>
              <w:pStyle w:val="TableParagraph"/>
              <w:spacing w:line="228" w:lineRule="exact"/>
              <w:ind w:left="147"/>
              <w:rPr>
                <w:sz w:val="20"/>
              </w:rPr>
            </w:pPr>
            <w:r>
              <w:rPr>
                <w:sz w:val="20"/>
              </w:rPr>
              <w:t>Pazar</w:t>
            </w:r>
          </w:p>
        </w:tc>
        <w:tc>
          <w:tcPr>
            <w:tcW w:w="1221" w:type="dxa"/>
            <w:tcBorders>
              <w:top w:val="single" w:sz="4" w:space="0" w:color="7E7E7E"/>
              <w:bottom w:val="single" w:sz="4" w:space="0" w:color="7E7E7E"/>
            </w:tcBorders>
          </w:tcPr>
          <w:p>
            <w:pPr>
              <w:pStyle w:val="TableParagraph"/>
              <w:spacing w:line="228" w:lineRule="exact"/>
              <w:ind w:left="173"/>
              <w:rPr>
                <w:sz w:val="20"/>
              </w:rPr>
            </w:pPr>
            <w:r>
              <w:rPr>
                <w:sz w:val="20"/>
              </w:rPr>
              <w:t>Panel</w:t>
            </w:r>
          </w:p>
        </w:tc>
        <w:tc>
          <w:tcPr>
            <w:tcW w:w="2823" w:type="dxa"/>
            <w:tcBorders>
              <w:top w:val="single" w:sz="4" w:space="0" w:color="7E7E7E"/>
              <w:bottom w:val="single" w:sz="4" w:space="0" w:color="7E7E7E"/>
            </w:tcBorders>
          </w:tcPr>
          <w:p>
            <w:pPr>
              <w:pStyle w:val="TableParagraph"/>
              <w:spacing w:line="230" w:lineRule="exact"/>
              <w:ind w:left="132" w:right="366"/>
              <w:rPr>
                <w:sz w:val="20"/>
              </w:rPr>
            </w:pPr>
            <w:r>
              <w:rPr>
                <w:sz w:val="20"/>
              </w:rPr>
              <w:t>Regresyon, Logaritmik regresyon, Birinci dereceden farklar yöntemi</w:t>
            </w:r>
          </w:p>
        </w:tc>
      </w:tr>
      <w:tr>
        <w:trPr>
          <w:trHeight w:val="288" w:hRule="atLeast"/>
        </w:trPr>
        <w:tc>
          <w:tcPr>
            <w:tcW w:w="568" w:type="dxa"/>
            <w:tcBorders>
              <w:top w:val="single" w:sz="4" w:space="0" w:color="7E7E7E"/>
              <w:bottom w:val="single" w:sz="4" w:space="0" w:color="7E7E7E"/>
            </w:tcBorders>
          </w:tcPr>
          <w:p>
            <w:pPr>
              <w:pStyle w:val="TableParagraph"/>
              <w:spacing w:line="229" w:lineRule="exact"/>
              <w:ind w:left="122"/>
              <w:rPr>
                <w:sz w:val="20"/>
              </w:rPr>
            </w:pPr>
            <w:r>
              <w:rPr>
                <w:w w:val="99"/>
                <w:sz w:val="20"/>
              </w:rPr>
              <w:t>5</w:t>
            </w:r>
          </w:p>
        </w:tc>
        <w:tc>
          <w:tcPr>
            <w:tcW w:w="1513" w:type="dxa"/>
            <w:tcBorders>
              <w:top w:val="single" w:sz="4" w:space="0" w:color="7E7E7E"/>
              <w:bottom w:val="single" w:sz="4" w:space="0" w:color="7E7E7E"/>
            </w:tcBorders>
          </w:tcPr>
          <w:p>
            <w:pPr>
              <w:pStyle w:val="TableParagraph"/>
              <w:spacing w:line="229" w:lineRule="exact"/>
              <w:ind w:left="151"/>
              <w:rPr>
                <w:sz w:val="20"/>
              </w:rPr>
            </w:pPr>
            <w:r>
              <w:rPr>
                <w:sz w:val="20"/>
              </w:rPr>
              <w:t>Hu vd. (2010)</w:t>
            </w:r>
          </w:p>
        </w:tc>
        <w:tc>
          <w:tcPr>
            <w:tcW w:w="1876" w:type="dxa"/>
            <w:tcBorders>
              <w:top w:val="single" w:sz="4" w:space="0" w:color="7E7E7E"/>
              <w:bottom w:val="single" w:sz="4" w:space="0" w:color="7E7E7E"/>
            </w:tcBorders>
          </w:tcPr>
          <w:p>
            <w:pPr>
              <w:pStyle w:val="TableParagraph"/>
              <w:spacing w:line="229" w:lineRule="exact"/>
              <w:ind w:left="110"/>
              <w:rPr>
                <w:sz w:val="20"/>
              </w:rPr>
            </w:pPr>
            <w:r>
              <w:rPr>
                <w:sz w:val="20"/>
              </w:rPr>
              <w:t>Müzik CD</w:t>
            </w:r>
          </w:p>
        </w:tc>
        <w:tc>
          <w:tcPr>
            <w:tcW w:w="1002" w:type="dxa"/>
            <w:tcBorders>
              <w:top w:val="single" w:sz="4" w:space="0" w:color="7E7E7E"/>
              <w:bottom w:val="single" w:sz="4" w:space="0" w:color="7E7E7E"/>
            </w:tcBorders>
          </w:tcPr>
          <w:p>
            <w:pPr>
              <w:pStyle w:val="TableParagraph"/>
              <w:spacing w:line="229" w:lineRule="exact"/>
              <w:ind w:left="147"/>
              <w:rPr>
                <w:sz w:val="20"/>
              </w:rPr>
            </w:pPr>
            <w:r>
              <w:rPr>
                <w:sz w:val="20"/>
              </w:rPr>
              <w:t>Pazar</w:t>
            </w:r>
          </w:p>
        </w:tc>
        <w:tc>
          <w:tcPr>
            <w:tcW w:w="1221" w:type="dxa"/>
            <w:tcBorders>
              <w:top w:val="single" w:sz="4" w:space="0" w:color="7E7E7E"/>
              <w:bottom w:val="single" w:sz="4" w:space="0" w:color="7E7E7E"/>
            </w:tcBorders>
          </w:tcPr>
          <w:p>
            <w:pPr>
              <w:pStyle w:val="TableParagraph"/>
              <w:spacing w:line="229" w:lineRule="exact"/>
              <w:ind w:left="173"/>
              <w:rPr>
                <w:sz w:val="20"/>
              </w:rPr>
            </w:pPr>
            <w:r>
              <w:rPr>
                <w:sz w:val="20"/>
              </w:rPr>
              <w:t>Panel</w:t>
            </w:r>
          </w:p>
        </w:tc>
        <w:tc>
          <w:tcPr>
            <w:tcW w:w="2823" w:type="dxa"/>
            <w:tcBorders>
              <w:top w:val="single" w:sz="4" w:space="0" w:color="7E7E7E"/>
              <w:bottom w:val="single" w:sz="4" w:space="0" w:color="7E7E7E"/>
            </w:tcBorders>
          </w:tcPr>
          <w:p>
            <w:pPr>
              <w:pStyle w:val="TableParagraph"/>
              <w:spacing w:line="229" w:lineRule="exact"/>
              <w:ind w:left="132"/>
              <w:rPr>
                <w:sz w:val="20"/>
              </w:rPr>
            </w:pPr>
            <w:r>
              <w:rPr>
                <w:sz w:val="20"/>
              </w:rPr>
              <w:t>Regresyon</w:t>
            </w:r>
          </w:p>
        </w:tc>
      </w:tr>
      <w:tr>
        <w:trPr>
          <w:trHeight w:val="1149" w:hRule="atLeast"/>
        </w:trPr>
        <w:tc>
          <w:tcPr>
            <w:tcW w:w="568" w:type="dxa"/>
            <w:tcBorders>
              <w:top w:val="single" w:sz="4" w:space="0" w:color="7E7E7E"/>
              <w:bottom w:val="single" w:sz="4" w:space="0" w:color="7E7E7E"/>
            </w:tcBorders>
          </w:tcPr>
          <w:p>
            <w:pPr>
              <w:pStyle w:val="TableParagraph"/>
              <w:ind w:left="122"/>
              <w:rPr>
                <w:sz w:val="20"/>
              </w:rPr>
            </w:pPr>
            <w:r>
              <w:rPr>
                <w:w w:val="99"/>
                <w:sz w:val="20"/>
              </w:rPr>
              <w:t>6</w:t>
            </w:r>
          </w:p>
        </w:tc>
        <w:tc>
          <w:tcPr>
            <w:tcW w:w="1513" w:type="dxa"/>
            <w:tcBorders>
              <w:top w:val="single" w:sz="4" w:space="0" w:color="7E7E7E"/>
              <w:bottom w:val="single" w:sz="4" w:space="0" w:color="7E7E7E"/>
            </w:tcBorders>
          </w:tcPr>
          <w:p>
            <w:pPr>
              <w:pStyle w:val="TableParagraph"/>
              <w:ind w:left="151" w:right="225"/>
              <w:rPr>
                <w:sz w:val="20"/>
              </w:rPr>
            </w:pPr>
            <w:r>
              <w:rPr>
                <w:sz w:val="20"/>
              </w:rPr>
              <w:t>Mudambi ve Schuff (2010)</w:t>
            </w:r>
          </w:p>
        </w:tc>
        <w:tc>
          <w:tcPr>
            <w:tcW w:w="1876" w:type="dxa"/>
            <w:tcBorders>
              <w:top w:val="single" w:sz="4" w:space="0" w:color="7E7E7E"/>
              <w:bottom w:val="single" w:sz="4" w:space="0" w:color="7E7E7E"/>
            </w:tcBorders>
          </w:tcPr>
          <w:p>
            <w:pPr>
              <w:pStyle w:val="TableParagraph"/>
              <w:ind w:left="110" w:right="129"/>
              <w:rPr>
                <w:sz w:val="20"/>
              </w:rPr>
            </w:pPr>
            <w:r>
              <w:rPr>
                <w:sz w:val="20"/>
              </w:rPr>
              <w:t>MP3 çalar, Müzik CD, PC video oyun, cep telefonu, dijital</w:t>
            </w:r>
          </w:p>
          <w:p>
            <w:pPr>
              <w:pStyle w:val="TableParagraph"/>
              <w:spacing w:line="230" w:lineRule="exact" w:before="2"/>
              <w:ind w:left="110" w:right="480"/>
              <w:rPr>
                <w:sz w:val="20"/>
              </w:rPr>
            </w:pPr>
            <w:r>
              <w:rPr>
                <w:sz w:val="20"/>
              </w:rPr>
              <w:t>kamera ve lazer yazıcı</w:t>
            </w:r>
          </w:p>
        </w:tc>
        <w:tc>
          <w:tcPr>
            <w:tcW w:w="1002" w:type="dxa"/>
            <w:tcBorders>
              <w:top w:val="single" w:sz="4" w:space="0" w:color="7E7E7E"/>
              <w:bottom w:val="single" w:sz="4" w:space="0" w:color="7E7E7E"/>
            </w:tcBorders>
          </w:tcPr>
          <w:p>
            <w:pPr>
              <w:pStyle w:val="TableParagraph"/>
              <w:ind w:left="147"/>
              <w:rPr>
                <w:sz w:val="20"/>
              </w:rPr>
            </w:pPr>
            <w:r>
              <w:rPr>
                <w:sz w:val="20"/>
              </w:rPr>
              <w:t>Bireysel</w:t>
            </w:r>
          </w:p>
        </w:tc>
        <w:tc>
          <w:tcPr>
            <w:tcW w:w="1221" w:type="dxa"/>
            <w:tcBorders>
              <w:top w:val="single" w:sz="4" w:space="0" w:color="7E7E7E"/>
              <w:bottom w:val="single" w:sz="4" w:space="0" w:color="7E7E7E"/>
            </w:tcBorders>
          </w:tcPr>
          <w:p>
            <w:pPr>
              <w:pStyle w:val="TableParagraph"/>
              <w:ind w:left="173"/>
              <w:rPr>
                <w:sz w:val="20"/>
              </w:rPr>
            </w:pPr>
            <w:r>
              <w:rPr>
                <w:sz w:val="20"/>
              </w:rPr>
              <w:t>Tekli Kesit</w:t>
            </w:r>
          </w:p>
        </w:tc>
        <w:tc>
          <w:tcPr>
            <w:tcW w:w="2823" w:type="dxa"/>
            <w:tcBorders>
              <w:top w:val="single" w:sz="4" w:space="0" w:color="7E7E7E"/>
              <w:bottom w:val="single" w:sz="4" w:space="0" w:color="7E7E7E"/>
            </w:tcBorders>
          </w:tcPr>
          <w:p>
            <w:pPr>
              <w:pStyle w:val="TableParagraph"/>
              <w:ind w:left="132"/>
              <w:rPr>
                <w:sz w:val="20"/>
              </w:rPr>
            </w:pPr>
            <w:r>
              <w:rPr>
                <w:sz w:val="20"/>
              </w:rPr>
              <w:t>Tobit regresyon</w:t>
            </w:r>
          </w:p>
        </w:tc>
      </w:tr>
      <w:tr>
        <w:trPr>
          <w:trHeight w:val="457" w:hRule="atLeast"/>
        </w:trPr>
        <w:tc>
          <w:tcPr>
            <w:tcW w:w="568" w:type="dxa"/>
            <w:tcBorders>
              <w:top w:val="single" w:sz="4" w:space="0" w:color="7E7E7E"/>
              <w:bottom w:val="single" w:sz="4" w:space="0" w:color="7E7E7E"/>
            </w:tcBorders>
          </w:tcPr>
          <w:p>
            <w:pPr>
              <w:pStyle w:val="TableParagraph"/>
              <w:spacing w:line="228" w:lineRule="exact"/>
              <w:ind w:left="122"/>
              <w:rPr>
                <w:sz w:val="20"/>
              </w:rPr>
            </w:pPr>
            <w:r>
              <w:rPr>
                <w:w w:val="99"/>
                <w:sz w:val="20"/>
              </w:rPr>
              <w:t>7</w:t>
            </w:r>
          </w:p>
        </w:tc>
        <w:tc>
          <w:tcPr>
            <w:tcW w:w="1513" w:type="dxa"/>
            <w:tcBorders>
              <w:top w:val="single" w:sz="4" w:space="0" w:color="7E7E7E"/>
              <w:bottom w:val="single" w:sz="4" w:space="0" w:color="7E7E7E"/>
            </w:tcBorders>
          </w:tcPr>
          <w:p>
            <w:pPr>
              <w:pStyle w:val="TableParagraph"/>
              <w:spacing w:line="230" w:lineRule="exact"/>
              <w:ind w:left="151" w:right="131"/>
              <w:rPr>
                <w:sz w:val="20"/>
              </w:rPr>
            </w:pPr>
            <w:r>
              <w:rPr>
                <w:sz w:val="20"/>
              </w:rPr>
              <w:t>Amblee ve Bui (2011)</w:t>
            </w:r>
          </w:p>
        </w:tc>
        <w:tc>
          <w:tcPr>
            <w:tcW w:w="1876" w:type="dxa"/>
            <w:tcBorders>
              <w:top w:val="single" w:sz="4" w:space="0" w:color="7E7E7E"/>
              <w:bottom w:val="single" w:sz="4" w:space="0" w:color="7E7E7E"/>
            </w:tcBorders>
          </w:tcPr>
          <w:p>
            <w:pPr>
              <w:pStyle w:val="TableParagraph"/>
              <w:spacing w:line="228" w:lineRule="exact"/>
              <w:ind w:left="110"/>
              <w:rPr>
                <w:sz w:val="20"/>
              </w:rPr>
            </w:pPr>
            <w:r>
              <w:rPr>
                <w:sz w:val="20"/>
              </w:rPr>
              <w:t>E-kitap</w:t>
            </w:r>
          </w:p>
        </w:tc>
        <w:tc>
          <w:tcPr>
            <w:tcW w:w="1002" w:type="dxa"/>
            <w:tcBorders>
              <w:top w:val="single" w:sz="4" w:space="0" w:color="7E7E7E"/>
              <w:bottom w:val="single" w:sz="4" w:space="0" w:color="7E7E7E"/>
            </w:tcBorders>
          </w:tcPr>
          <w:p>
            <w:pPr>
              <w:pStyle w:val="TableParagraph"/>
              <w:spacing w:line="228" w:lineRule="exact"/>
              <w:ind w:left="147"/>
              <w:rPr>
                <w:sz w:val="20"/>
              </w:rPr>
            </w:pPr>
            <w:r>
              <w:rPr>
                <w:sz w:val="20"/>
              </w:rPr>
              <w:t>Pazar</w:t>
            </w:r>
          </w:p>
        </w:tc>
        <w:tc>
          <w:tcPr>
            <w:tcW w:w="1221" w:type="dxa"/>
            <w:tcBorders>
              <w:top w:val="single" w:sz="4" w:space="0" w:color="7E7E7E"/>
              <w:bottom w:val="single" w:sz="4" w:space="0" w:color="7E7E7E"/>
            </w:tcBorders>
          </w:tcPr>
          <w:p>
            <w:pPr>
              <w:pStyle w:val="TableParagraph"/>
              <w:spacing w:line="228" w:lineRule="exact"/>
              <w:ind w:left="173"/>
              <w:rPr>
                <w:sz w:val="20"/>
              </w:rPr>
            </w:pPr>
            <w:r>
              <w:rPr>
                <w:sz w:val="20"/>
              </w:rPr>
              <w:t>Panel</w:t>
            </w:r>
          </w:p>
        </w:tc>
        <w:tc>
          <w:tcPr>
            <w:tcW w:w="2823" w:type="dxa"/>
            <w:tcBorders>
              <w:top w:val="single" w:sz="4" w:space="0" w:color="7E7E7E"/>
              <w:bottom w:val="single" w:sz="4" w:space="0" w:color="7E7E7E"/>
            </w:tcBorders>
          </w:tcPr>
          <w:p>
            <w:pPr>
              <w:pStyle w:val="TableParagraph"/>
              <w:spacing w:line="228" w:lineRule="exact"/>
              <w:ind w:left="132"/>
              <w:rPr>
                <w:sz w:val="20"/>
              </w:rPr>
            </w:pPr>
            <w:r>
              <w:rPr>
                <w:sz w:val="20"/>
              </w:rPr>
              <w:t>Regresyon</w:t>
            </w:r>
          </w:p>
        </w:tc>
      </w:tr>
    </w:tbl>
    <w:p>
      <w:pPr>
        <w:spacing w:after="0" w:line="228" w:lineRule="exact"/>
        <w:rPr>
          <w:sz w:val="20"/>
        </w:rPr>
        <w:sectPr>
          <w:pgSz w:w="12240" w:h="15840"/>
          <w:pgMar w:header="718" w:footer="0" w:top="1300" w:bottom="280" w:left="1720" w:right="820"/>
        </w:sectPr>
      </w:pPr>
    </w:p>
    <w:p>
      <w:pPr>
        <w:pStyle w:val="BodyText"/>
        <w:spacing w:before="9"/>
        <w:ind w:left="0"/>
        <w:jc w:val="left"/>
        <w:rPr>
          <w:sz w:val="8"/>
        </w:rPr>
      </w:pP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
        <w:gridCol w:w="1559"/>
        <w:gridCol w:w="1894"/>
        <w:gridCol w:w="984"/>
        <w:gridCol w:w="1234"/>
        <w:gridCol w:w="2810"/>
      </w:tblGrid>
      <w:tr>
        <w:trPr>
          <w:trHeight w:val="688" w:hRule="atLeast"/>
        </w:trPr>
        <w:tc>
          <w:tcPr>
            <w:tcW w:w="522" w:type="dxa"/>
            <w:tcBorders>
              <w:top w:val="single" w:sz="4" w:space="0" w:color="7E7E7E"/>
              <w:bottom w:val="single" w:sz="4" w:space="0" w:color="7E7E7E"/>
            </w:tcBorders>
          </w:tcPr>
          <w:p>
            <w:pPr>
              <w:pStyle w:val="TableParagraph"/>
              <w:ind w:left="122"/>
              <w:rPr>
                <w:sz w:val="20"/>
              </w:rPr>
            </w:pPr>
            <w:r>
              <w:rPr>
                <w:w w:val="99"/>
                <w:sz w:val="20"/>
              </w:rPr>
              <w:t>8</w:t>
            </w:r>
          </w:p>
        </w:tc>
        <w:tc>
          <w:tcPr>
            <w:tcW w:w="1559" w:type="dxa"/>
            <w:tcBorders>
              <w:top w:val="single" w:sz="4" w:space="0" w:color="7E7E7E"/>
              <w:bottom w:val="single" w:sz="4" w:space="0" w:color="7E7E7E"/>
            </w:tcBorders>
          </w:tcPr>
          <w:p>
            <w:pPr>
              <w:pStyle w:val="TableParagraph"/>
              <w:ind w:left="197" w:right="453"/>
              <w:rPr>
                <w:sz w:val="20"/>
              </w:rPr>
            </w:pPr>
            <w:r>
              <w:rPr>
                <w:sz w:val="20"/>
              </w:rPr>
              <w:t>Archak vd. (2011)</w:t>
            </w:r>
          </w:p>
        </w:tc>
        <w:tc>
          <w:tcPr>
            <w:tcW w:w="1894" w:type="dxa"/>
            <w:tcBorders>
              <w:top w:val="single" w:sz="4" w:space="0" w:color="7E7E7E"/>
              <w:bottom w:val="single" w:sz="4" w:space="0" w:color="7E7E7E"/>
            </w:tcBorders>
          </w:tcPr>
          <w:p>
            <w:pPr>
              <w:pStyle w:val="TableParagraph"/>
              <w:ind w:left="110"/>
              <w:rPr>
                <w:sz w:val="20"/>
              </w:rPr>
            </w:pPr>
            <w:r>
              <w:rPr>
                <w:sz w:val="20"/>
              </w:rPr>
              <w:t>Dijital fotoğraf</w:t>
            </w:r>
          </w:p>
          <w:p>
            <w:pPr>
              <w:pStyle w:val="TableParagraph"/>
              <w:spacing w:line="228" w:lineRule="exact" w:before="5"/>
              <w:ind w:left="110" w:right="308"/>
              <w:rPr>
                <w:sz w:val="20"/>
              </w:rPr>
            </w:pPr>
            <w:r>
              <w:rPr>
                <w:sz w:val="20"/>
              </w:rPr>
              <w:t>makinesi ve video kamera</w:t>
            </w:r>
          </w:p>
        </w:tc>
        <w:tc>
          <w:tcPr>
            <w:tcW w:w="984" w:type="dxa"/>
            <w:tcBorders>
              <w:top w:val="single" w:sz="4" w:space="0" w:color="7E7E7E"/>
              <w:bottom w:val="single" w:sz="4" w:space="0" w:color="7E7E7E"/>
            </w:tcBorders>
          </w:tcPr>
          <w:p>
            <w:pPr>
              <w:pStyle w:val="TableParagraph"/>
              <w:ind w:left="129"/>
              <w:rPr>
                <w:sz w:val="20"/>
              </w:rPr>
            </w:pPr>
            <w:r>
              <w:rPr>
                <w:sz w:val="20"/>
              </w:rPr>
              <w:t>Pazar</w:t>
            </w:r>
          </w:p>
        </w:tc>
        <w:tc>
          <w:tcPr>
            <w:tcW w:w="1234" w:type="dxa"/>
            <w:tcBorders>
              <w:top w:val="single" w:sz="4" w:space="0" w:color="7E7E7E"/>
              <w:bottom w:val="single" w:sz="4" w:space="0" w:color="7E7E7E"/>
            </w:tcBorders>
          </w:tcPr>
          <w:p>
            <w:pPr>
              <w:pStyle w:val="TableParagraph"/>
              <w:ind w:left="173"/>
              <w:rPr>
                <w:sz w:val="20"/>
              </w:rPr>
            </w:pPr>
            <w:r>
              <w:rPr>
                <w:sz w:val="20"/>
              </w:rPr>
              <w:t>Panel</w:t>
            </w:r>
          </w:p>
        </w:tc>
        <w:tc>
          <w:tcPr>
            <w:tcW w:w="2810" w:type="dxa"/>
            <w:tcBorders>
              <w:top w:val="single" w:sz="4" w:space="0" w:color="7E7E7E"/>
              <w:bottom w:val="single" w:sz="4" w:space="0" w:color="7E7E7E"/>
            </w:tcBorders>
          </w:tcPr>
          <w:p>
            <w:pPr>
              <w:pStyle w:val="TableParagraph"/>
              <w:ind w:left="120"/>
              <w:rPr>
                <w:sz w:val="20"/>
              </w:rPr>
            </w:pPr>
            <w:r>
              <w:rPr>
                <w:sz w:val="20"/>
              </w:rPr>
              <w:t>GMM</w:t>
            </w:r>
          </w:p>
        </w:tc>
      </w:tr>
      <w:tr>
        <w:trPr>
          <w:trHeight w:val="458"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w w:val="99"/>
                <w:sz w:val="20"/>
              </w:rPr>
              <w:t>9</w:t>
            </w:r>
          </w:p>
        </w:tc>
        <w:tc>
          <w:tcPr>
            <w:tcW w:w="1559" w:type="dxa"/>
            <w:tcBorders>
              <w:top w:val="single" w:sz="4" w:space="0" w:color="7E7E7E"/>
              <w:bottom w:val="single" w:sz="4" w:space="0" w:color="7E7E7E"/>
            </w:tcBorders>
          </w:tcPr>
          <w:p>
            <w:pPr>
              <w:pStyle w:val="TableParagraph"/>
              <w:spacing w:line="228" w:lineRule="exact"/>
              <w:ind w:left="197"/>
              <w:rPr>
                <w:sz w:val="20"/>
              </w:rPr>
            </w:pPr>
            <w:r>
              <w:rPr>
                <w:sz w:val="20"/>
              </w:rPr>
              <w:t>Hu vd. (2011)</w:t>
            </w:r>
          </w:p>
        </w:tc>
        <w:tc>
          <w:tcPr>
            <w:tcW w:w="1894" w:type="dxa"/>
            <w:tcBorders>
              <w:top w:val="single" w:sz="4" w:space="0" w:color="7E7E7E"/>
              <w:bottom w:val="single" w:sz="4" w:space="0" w:color="7E7E7E"/>
            </w:tcBorders>
          </w:tcPr>
          <w:p>
            <w:pPr>
              <w:pStyle w:val="TableParagraph"/>
              <w:spacing w:line="230" w:lineRule="exact" w:before="1"/>
              <w:ind w:left="110" w:right="547"/>
              <w:rPr>
                <w:sz w:val="20"/>
              </w:rPr>
            </w:pPr>
            <w:r>
              <w:rPr>
                <w:sz w:val="20"/>
              </w:rPr>
              <w:t>Kitap, DVD ve video</w:t>
            </w:r>
          </w:p>
        </w:tc>
        <w:tc>
          <w:tcPr>
            <w:tcW w:w="984" w:type="dxa"/>
            <w:tcBorders>
              <w:top w:val="single" w:sz="4" w:space="0" w:color="7E7E7E"/>
              <w:bottom w:val="single" w:sz="4" w:space="0" w:color="7E7E7E"/>
            </w:tcBorders>
          </w:tcPr>
          <w:p>
            <w:pPr>
              <w:pStyle w:val="TableParagraph"/>
              <w:spacing w:line="230" w:lineRule="exact" w:before="1"/>
              <w:ind w:left="129" w:right="152"/>
              <w:rPr>
                <w:sz w:val="20"/>
              </w:rPr>
            </w:pPr>
            <w:r>
              <w:rPr>
                <w:sz w:val="20"/>
              </w:rPr>
              <w:t>Pazar ve Bireysel</w:t>
            </w:r>
          </w:p>
        </w:tc>
        <w:tc>
          <w:tcPr>
            <w:tcW w:w="1234" w:type="dxa"/>
            <w:tcBorders>
              <w:top w:val="single" w:sz="4" w:space="0" w:color="7E7E7E"/>
              <w:bottom w:val="single" w:sz="4" w:space="0" w:color="7E7E7E"/>
            </w:tcBorders>
          </w:tcPr>
          <w:p>
            <w:pPr>
              <w:pStyle w:val="TableParagraph"/>
              <w:spacing w:line="230" w:lineRule="exact" w:before="1"/>
              <w:ind w:left="173" w:right="96"/>
              <w:rPr>
                <w:sz w:val="20"/>
              </w:rPr>
            </w:pPr>
            <w:r>
              <w:rPr>
                <w:sz w:val="20"/>
              </w:rPr>
              <w:t>Tekli Kesit, Panel</w:t>
            </w:r>
          </w:p>
        </w:tc>
        <w:tc>
          <w:tcPr>
            <w:tcW w:w="2810" w:type="dxa"/>
            <w:tcBorders>
              <w:top w:val="single" w:sz="4" w:space="0" w:color="7E7E7E"/>
              <w:bottom w:val="single" w:sz="4" w:space="0" w:color="7E7E7E"/>
            </w:tcBorders>
          </w:tcPr>
          <w:p>
            <w:pPr>
              <w:pStyle w:val="TableParagraph"/>
              <w:spacing w:line="230" w:lineRule="exact" w:before="1"/>
              <w:ind w:left="120" w:right="814"/>
              <w:rPr>
                <w:sz w:val="20"/>
              </w:rPr>
            </w:pPr>
            <w:r>
              <w:rPr>
                <w:sz w:val="20"/>
              </w:rPr>
              <w:t>Regresyon, Logaritmik regresyon</w:t>
            </w:r>
          </w:p>
        </w:tc>
      </w:tr>
      <w:tr>
        <w:trPr>
          <w:trHeight w:val="1837" w:hRule="atLeast"/>
        </w:trPr>
        <w:tc>
          <w:tcPr>
            <w:tcW w:w="522" w:type="dxa"/>
            <w:tcBorders>
              <w:top w:val="single" w:sz="4" w:space="0" w:color="7E7E7E"/>
              <w:bottom w:val="single" w:sz="4" w:space="0" w:color="7E7E7E"/>
            </w:tcBorders>
          </w:tcPr>
          <w:p>
            <w:pPr>
              <w:pStyle w:val="TableParagraph"/>
              <w:spacing w:line="227" w:lineRule="exact"/>
              <w:ind w:left="122"/>
              <w:rPr>
                <w:sz w:val="20"/>
              </w:rPr>
            </w:pPr>
            <w:r>
              <w:rPr>
                <w:sz w:val="20"/>
              </w:rPr>
              <w:t>10</w:t>
            </w:r>
          </w:p>
        </w:tc>
        <w:tc>
          <w:tcPr>
            <w:tcW w:w="1559" w:type="dxa"/>
            <w:tcBorders>
              <w:top w:val="single" w:sz="4" w:space="0" w:color="7E7E7E"/>
              <w:bottom w:val="single" w:sz="4" w:space="0" w:color="7E7E7E"/>
            </w:tcBorders>
          </w:tcPr>
          <w:p>
            <w:pPr>
              <w:pStyle w:val="TableParagraph"/>
              <w:ind w:left="197" w:right="242"/>
              <w:rPr>
                <w:sz w:val="20"/>
              </w:rPr>
            </w:pPr>
            <w:r>
              <w:rPr>
                <w:sz w:val="20"/>
              </w:rPr>
              <w:t>Pan ve Zhang (2011)</w:t>
            </w:r>
          </w:p>
        </w:tc>
        <w:tc>
          <w:tcPr>
            <w:tcW w:w="1894" w:type="dxa"/>
            <w:tcBorders>
              <w:top w:val="single" w:sz="4" w:space="0" w:color="7E7E7E"/>
              <w:bottom w:val="single" w:sz="4" w:space="0" w:color="7E7E7E"/>
            </w:tcBorders>
          </w:tcPr>
          <w:p>
            <w:pPr>
              <w:pStyle w:val="TableParagraph"/>
              <w:ind w:left="110" w:right="145"/>
              <w:rPr>
                <w:sz w:val="20"/>
              </w:rPr>
            </w:pPr>
            <w:r>
              <w:rPr>
                <w:sz w:val="20"/>
              </w:rPr>
              <w:t>Deneyim ürünleri (müzik CD'leri, </w:t>
            </w:r>
            <w:r>
              <w:rPr>
                <w:spacing w:val="-3"/>
                <w:sz w:val="20"/>
              </w:rPr>
              <w:t>film </w:t>
            </w:r>
            <w:r>
              <w:rPr>
                <w:sz w:val="20"/>
              </w:rPr>
              <w:t>DVD'leri ve video oyunlar) ve faydacı ürünler (tüketici elektroniği, bilgisayar yazılımı</w:t>
            </w:r>
          </w:p>
          <w:p>
            <w:pPr>
              <w:pStyle w:val="TableParagraph"/>
              <w:spacing w:line="210" w:lineRule="exact"/>
              <w:ind w:left="110"/>
              <w:rPr>
                <w:sz w:val="20"/>
              </w:rPr>
            </w:pPr>
            <w:r>
              <w:rPr>
                <w:sz w:val="20"/>
              </w:rPr>
              <w:t>ve sağlık</w:t>
            </w:r>
            <w:r>
              <w:rPr>
                <w:spacing w:val="-4"/>
                <w:sz w:val="20"/>
              </w:rPr>
              <w:t> </w:t>
            </w:r>
            <w:r>
              <w:rPr>
                <w:sz w:val="20"/>
              </w:rPr>
              <w:t>ürünleri)</w:t>
            </w:r>
          </w:p>
        </w:tc>
        <w:tc>
          <w:tcPr>
            <w:tcW w:w="984" w:type="dxa"/>
            <w:tcBorders>
              <w:top w:val="single" w:sz="4" w:space="0" w:color="7E7E7E"/>
              <w:bottom w:val="single" w:sz="4" w:space="0" w:color="7E7E7E"/>
            </w:tcBorders>
          </w:tcPr>
          <w:p>
            <w:pPr>
              <w:pStyle w:val="TableParagraph"/>
              <w:spacing w:line="227" w:lineRule="exact"/>
              <w:ind w:left="129"/>
              <w:rPr>
                <w:sz w:val="20"/>
              </w:rPr>
            </w:pPr>
            <w:r>
              <w:rPr>
                <w:sz w:val="20"/>
              </w:rPr>
              <w:t>Bireysel</w:t>
            </w:r>
          </w:p>
        </w:tc>
        <w:tc>
          <w:tcPr>
            <w:tcW w:w="1234" w:type="dxa"/>
            <w:tcBorders>
              <w:top w:val="single" w:sz="4" w:space="0" w:color="7E7E7E"/>
              <w:bottom w:val="single" w:sz="4" w:space="0" w:color="7E7E7E"/>
            </w:tcBorders>
          </w:tcPr>
          <w:p>
            <w:pPr>
              <w:pStyle w:val="TableParagraph"/>
              <w:spacing w:line="227" w:lineRule="exact"/>
              <w:ind w:left="173"/>
              <w:rPr>
                <w:sz w:val="20"/>
              </w:rPr>
            </w:pPr>
            <w:r>
              <w:rPr>
                <w:sz w:val="20"/>
              </w:rPr>
              <w:t>Tekli Kesit</w:t>
            </w:r>
          </w:p>
        </w:tc>
        <w:tc>
          <w:tcPr>
            <w:tcW w:w="2810" w:type="dxa"/>
            <w:tcBorders>
              <w:top w:val="single" w:sz="4" w:space="0" w:color="7E7E7E"/>
              <w:bottom w:val="single" w:sz="4" w:space="0" w:color="7E7E7E"/>
            </w:tcBorders>
          </w:tcPr>
          <w:p>
            <w:pPr>
              <w:pStyle w:val="TableParagraph"/>
              <w:ind w:left="120" w:right="403"/>
              <w:rPr>
                <w:sz w:val="20"/>
              </w:rPr>
            </w:pPr>
            <w:r>
              <w:rPr>
                <w:sz w:val="20"/>
              </w:rPr>
              <w:t>Lojistik regresyon, içerik analizi</w:t>
            </w:r>
          </w:p>
        </w:tc>
      </w:tr>
      <w:tr>
        <w:trPr>
          <w:trHeight w:val="690" w:hRule="atLeast"/>
        </w:trPr>
        <w:tc>
          <w:tcPr>
            <w:tcW w:w="522" w:type="dxa"/>
            <w:tcBorders>
              <w:top w:val="single" w:sz="4" w:space="0" w:color="7E7E7E"/>
              <w:bottom w:val="single" w:sz="4" w:space="0" w:color="7E7E7E"/>
            </w:tcBorders>
          </w:tcPr>
          <w:p>
            <w:pPr>
              <w:pStyle w:val="TableParagraph"/>
              <w:ind w:left="122"/>
              <w:rPr>
                <w:sz w:val="20"/>
              </w:rPr>
            </w:pPr>
            <w:r>
              <w:rPr>
                <w:sz w:val="20"/>
              </w:rPr>
              <w:t>11</w:t>
            </w:r>
          </w:p>
        </w:tc>
        <w:tc>
          <w:tcPr>
            <w:tcW w:w="1559" w:type="dxa"/>
            <w:tcBorders>
              <w:top w:val="single" w:sz="4" w:space="0" w:color="7E7E7E"/>
              <w:bottom w:val="single" w:sz="4" w:space="0" w:color="7E7E7E"/>
            </w:tcBorders>
          </w:tcPr>
          <w:p>
            <w:pPr>
              <w:pStyle w:val="TableParagraph"/>
              <w:ind w:left="197"/>
              <w:rPr>
                <w:sz w:val="20"/>
              </w:rPr>
            </w:pPr>
            <w:r>
              <w:rPr>
                <w:sz w:val="20"/>
              </w:rPr>
              <w:t>Cui vd. (2012)</w:t>
            </w:r>
          </w:p>
        </w:tc>
        <w:tc>
          <w:tcPr>
            <w:tcW w:w="1894" w:type="dxa"/>
            <w:tcBorders>
              <w:top w:val="single" w:sz="4" w:space="0" w:color="7E7E7E"/>
              <w:bottom w:val="single" w:sz="4" w:space="0" w:color="7E7E7E"/>
            </w:tcBorders>
          </w:tcPr>
          <w:p>
            <w:pPr>
              <w:pStyle w:val="TableParagraph"/>
              <w:spacing w:line="230" w:lineRule="atLeast"/>
              <w:ind w:left="110" w:right="281"/>
              <w:rPr>
                <w:sz w:val="20"/>
              </w:rPr>
            </w:pPr>
            <w:r>
              <w:rPr>
                <w:sz w:val="20"/>
              </w:rPr>
              <w:t>Araştırma ürünleri ve deneyim ürünleri*</w:t>
            </w:r>
          </w:p>
        </w:tc>
        <w:tc>
          <w:tcPr>
            <w:tcW w:w="984" w:type="dxa"/>
            <w:tcBorders>
              <w:top w:val="single" w:sz="4" w:space="0" w:color="7E7E7E"/>
              <w:bottom w:val="single" w:sz="4" w:space="0" w:color="7E7E7E"/>
            </w:tcBorders>
          </w:tcPr>
          <w:p>
            <w:pPr>
              <w:pStyle w:val="TableParagraph"/>
              <w:ind w:left="129"/>
              <w:rPr>
                <w:sz w:val="20"/>
              </w:rPr>
            </w:pPr>
            <w:r>
              <w:rPr>
                <w:sz w:val="20"/>
              </w:rPr>
              <w:t>Pazar</w:t>
            </w:r>
          </w:p>
        </w:tc>
        <w:tc>
          <w:tcPr>
            <w:tcW w:w="1234" w:type="dxa"/>
            <w:tcBorders>
              <w:top w:val="single" w:sz="4" w:space="0" w:color="7E7E7E"/>
              <w:bottom w:val="single" w:sz="4" w:space="0" w:color="7E7E7E"/>
            </w:tcBorders>
          </w:tcPr>
          <w:p>
            <w:pPr>
              <w:pStyle w:val="TableParagraph"/>
              <w:ind w:left="173"/>
              <w:rPr>
                <w:sz w:val="20"/>
              </w:rPr>
            </w:pPr>
            <w:r>
              <w:rPr>
                <w:sz w:val="20"/>
              </w:rPr>
              <w:t>Panel</w:t>
            </w:r>
          </w:p>
        </w:tc>
        <w:tc>
          <w:tcPr>
            <w:tcW w:w="2810" w:type="dxa"/>
            <w:tcBorders>
              <w:top w:val="single" w:sz="4" w:space="0" w:color="7E7E7E"/>
              <w:bottom w:val="single" w:sz="4" w:space="0" w:color="7E7E7E"/>
            </w:tcBorders>
          </w:tcPr>
          <w:p>
            <w:pPr>
              <w:pStyle w:val="TableParagraph"/>
              <w:ind w:left="120" w:right="403"/>
              <w:rPr>
                <w:sz w:val="20"/>
              </w:rPr>
            </w:pPr>
            <w:r>
              <w:rPr>
                <w:sz w:val="20"/>
              </w:rPr>
              <w:t>Sabit etki modeli, hiyerarşik regresyon</w:t>
            </w:r>
          </w:p>
        </w:tc>
      </w:tr>
      <w:tr>
        <w:trPr>
          <w:trHeight w:val="461" w:hRule="atLeast"/>
        </w:trPr>
        <w:tc>
          <w:tcPr>
            <w:tcW w:w="522" w:type="dxa"/>
            <w:tcBorders>
              <w:top w:val="single" w:sz="4" w:space="0" w:color="7E7E7E"/>
              <w:bottom w:val="single" w:sz="4" w:space="0" w:color="7E7E7E"/>
            </w:tcBorders>
          </w:tcPr>
          <w:p>
            <w:pPr>
              <w:pStyle w:val="TableParagraph"/>
              <w:spacing w:before="1"/>
              <w:ind w:left="122"/>
              <w:rPr>
                <w:sz w:val="20"/>
              </w:rPr>
            </w:pPr>
            <w:r>
              <w:rPr>
                <w:sz w:val="20"/>
              </w:rPr>
              <w:t>12</w:t>
            </w:r>
          </w:p>
        </w:tc>
        <w:tc>
          <w:tcPr>
            <w:tcW w:w="1559" w:type="dxa"/>
            <w:tcBorders>
              <w:top w:val="single" w:sz="4" w:space="0" w:color="7E7E7E"/>
              <w:bottom w:val="single" w:sz="4" w:space="0" w:color="7E7E7E"/>
            </w:tcBorders>
          </w:tcPr>
          <w:p>
            <w:pPr>
              <w:pStyle w:val="TableParagraph"/>
              <w:spacing w:line="230" w:lineRule="atLeast" w:before="1"/>
              <w:ind w:left="197" w:right="131"/>
              <w:rPr>
                <w:sz w:val="20"/>
              </w:rPr>
            </w:pPr>
            <w:r>
              <w:rPr>
                <w:sz w:val="20"/>
              </w:rPr>
              <w:t>Godes ve Silva (2012)</w:t>
            </w:r>
          </w:p>
        </w:tc>
        <w:tc>
          <w:tcPr>
            <w:tcW w:w="1894" w:type="dxa"/>
            <w:tcBorders>
              <w:top w:val="single" w:sz="4" w:space="0" w:color="7E7E7E"/>
              <w:bottom w:val="single" w:sz="4" w:space="0" w:color="7E7E7E"/>
            </w:tcBorders>
          </w:tcPr>
          <w:p>
            <w:pPr>
              <w:pStyle w:val="TableParagraph"/>
              <w:spacing w:before="1"/>
              <w:ind w:left="110"/>
              <w:rPr>
                <w:sz w:val="20"/>
              </w:rPr>
            </w:pPr>
            <w:r>
              <w:rPr>
                <w:sz w:val="20"/>
              </w:rPr>
              <w:t>Kitap</w:t>
            </w:r>
          </w:p>
        </w:tc>
        <w:tc>
          <w:tcPr>
            <w:tcW w:w="984" w:type="dxa"/>
            <w:tcBorders>
              <w:top w:val="single" w:sz="4" w:space="0" w:color="7E7E7E"/>
              <w:bottom w:val="single" w:sz="4" w:space="0" w:color="7E7E7E"/>
            </w:tcBorders>
          </w:tcPr>
          <w:p>
            <w:pPr>
              <w:pStyle w:val="TableParagraph"/>
              <w:spacing w:before="1"/>
              <w:ind w:left="129"/>
              <w:rPr>
                <w:sz w:val="20"/>
              </w:rPr>
            </w:pPr>
            <w:r>
              <w:rPr>
                <w:sz w:val="20"/>
              </w:rPr>
              <w:t>Bireysel</w:t>
            </w:r>
          </w:p>
        </w:tc>
        <w:tc>
          <w:tcPr>
            <w:tcW w:w="1234" w:type="dxa"/>
            <w:tcBorders>
              <w:top w:val="single" w:sz="4" w:space="0" w:color="7E7E7E"/>
              <w:bottom w:val="single" w:sz="4" w:space="0" w:color="7E7E7E"/>
            </w:tcBorders>
          </w:tcPr>
          <w:p>
            <w:pPr>
              <w:pStyle w:val="TableParagraph"/>
              <w:spacing w:before="1"/>
              <w:ind w:left="173"/>
              <w:rPr>
                <w:sz w:val="20"/>
              </w:rPr>
            </w:pPr>
            <w:r>
              <w:rPr>
                <w:sz w:val="20"/>
              </w:rPr>
              <w:t>Panel</w:t>
            </w:r>
          </w:p>
        </w:tc>
        <w:tc>
          <w:tcPr>
            <w:tcW w:w="2810" w:type="dxa"/>
            <w:tcBorders>
              <w:top w:val="single" w:sz="4" w:space="0" w:color="7E7E7E"/>
              <w:bottom w:val="single" w:sz="4" w:space="0" w:color="7E7E7E"/>
            </w:tcBorders>
          </w:tcPr>
          <w:p>
            <w:pPr>
              <w:pStyle w:val="TableParagraph"/>
              <w:spacing w:before="1"/>
              <w:ind w:left="120"/>
              <w:rPr>
                <w:sz w:val="20"/>
              </w:rPr>
            </w:pPr>
            <w:r>
              <w:rPr>
                <w:sz w:val="20"/>
              </w:rPr>
              <w:t>Sıralı lojistik regresyon</w:t>
            </w:r>
          </w:p>
        </w:tc>
      </w:tr>
      <w:tr>
        <w:trPr>
          <w:trHeight w:val="290" w:hRule="atLeast"/>
        </w:trPr>
        <w:tc>
          <w:tcPr>
            <w:tcW w:w="522" w:type="dxa"/>
            <w:tcBorders>
              <w:top w:val="single" w:sz="4" w:space="0" w:color="7E7E7E"/>
              <w:bottom w:val="single" w:sz="4" w:space="0" w:color="7E7E7E"/>
            </w:tcBorders>
          </w:tcPr>
          <w:p>
            <w:pPr>
              <w:pStyle w:val="TableParagraph"/>
              <w:ind w:left="122"/>
              <w:rPr>
                <w:sz w:val="20"/>
              </w:rPr>
            </w:pPr>
            <w:r>
              <w:rPr>
                <w:sz w:val="20"/>
              </w:rPr>
              <w:t>13</w:t>
            </w:r>
          </w:p>
        </w:tc>
        <w:tc>
          <w:tcPr>
            <w:tcW w:w="1559" w:type="dxa"/>
            <w:tcBorders>
              <w:top w:val="single" w:sz="4" w:space="0" w:color="7E7E7E"/>
              <w:bottom w:val="single" w:sz="4" w:space="0" w:color="7E7E7E"/>
            </w:tcBorders>
          </w:tcPr>
          <w:p>
            <w:pPr>
              <w:pStyle w:val="TableParagraph"/>
              <w:spacing w:line="210" w:lineRule="exact" w:before="60"/>
              <w:ind w:left="197"/>
              <w:rPr>
                <w:sz w:val="20"/>
              </w:rPr>
            </w:pPr>
            <w:r>
              <w:rPr>
                <w:sz w:val="20"/>
              </w:rPr>
              <w:t>Gu vd. 2012</w:t>
            </w:r>
          </w:p>
        </w:tc>
        <w:tc>
          <w:tcPr>
            <w:tcW w:w="1894" w:type="dxa"/>
            <w:tcBorders>
              <w:top w:val="single" w:sz="4" w:space="0" w:color="7E7E7E"/>
              <w:bottom w:val="single" w:sz="4" w:space="0" w:color="7E7E7E"/>
            </w:tcBorders>
          </w:tcPr>
          <w:p>
            <w:pPr>
              <w:pStyle w:val="TableParagraph"/>
              <w:spacing w:line="210" w:lineRule="exact" w:before="60"/>
              <w:ind w:left="110"/>
              <w:rPr>
                <w:sz w:val="20"/>
              </w:rPr>
            </w:pPr>
            <w:r>
              <w:rPr>
                <w:sz w:val="20"/>
              </w:rPr>
              <w:t>Dijital kamera</w:t>
            </w:r>
          </w:p>
        </w:tc>
        <w:tc>
          <w:tcPr>
            <w:tcW w:w="984" w:type="dxa"/>
            <w:tcBorders>
              <w:top w:val="single" w:sz="4" w:space="0" w:color="7E7E7E"/>
              <w:bottom w:val="single" w:sz="4" w:space="0" w:color="7E7E7E"/>
            </w:tcBorders>
          </w:tcPr>
          <w:p>
            <w:pPr>
              <w:pStyle w:val="TableParagraph"/>
              <w:spacing w:line="210" w:lineRule="exact" w:before="60"/>
              <w:ind w:left="129"/>
              <w:rPr>
                <w:sz w:val="20"/>
              </w:rPr>
            </w:pPr>
            <w:r>
              <w:rPr>
                <w:sz w:val="20"/>
              </w:rPr>
              <w:t>Pazar</w:t>
            </w:r>
          </w:p>
        </w:tc>
        <w:tc>
          <w:tcPr>
            <w:tcW w:w="1234" w:type="dxa"/>
            <w:tcBorders>
              <w:top w:val="single" w:sz="4" w:space="0" w:color="7E7E7E"/>
              <w:bottom w:val="single" w:sz="4" w:space="0" w:color="7E7E7E"/>
            </w:tcBorders>
          </w:tcPr>
          <w:p>
            <w:pPr>
              <w:pStyle w:val="TableParagraph"/>
              <w:spacing w:line="210" w:lineRule="exact" w:before="60"/>
              <w:ind w:left="173"/>
              <w:rPr>
                <w:sz w:val="20"/>
              </w:rPr>
            </w:pPr>
            <w:r>
              <w:rPr>
                <w:sz w:val="20"/>
              </w:rPr>
              <w:t>Panel</w:t>
            </w:r>
          </w:p>
        </w:tc>
        <w:tc>
          <w:tcPr>
            <w:tcW w:w="2810" w:type="dxa"/>
            <w:tcBorders>
              <w:top w:val="single" w:sz="4" w:space="0" w:color="7E7E7E"/>
              <w:bottom w:val="single" w:sz="4" w:space="0" w:color="7E7E7E"/>
            </w:tcBorders>
          </w:tcPr>
          <w:p>
            <w:pPr>
              <w:pStyle w:val="TableParagraph"/>
              <w:spacing w:line="210" w:lineRule="exact" w:before="60"/>
              <w:ind w:left="120"/>
              <w:rPr>
                <w:sz w:val="20"/>
              </w:rPr>
            </w:pPr>
            <w:r>
              <w:rPr>
                <w:sz w:val="20"/>
              </w:rPr>
              <w:t>Logaritmik regresyon</w:t>
            </w:r>
          </w:p>
        </w:tc>
      </w:tr>
      <w:tr>
        <w:trPr>
          <w:trHeight w:val="290" w:hRule="atLeast"/>
        </w:trPr>
        <w:tc>
          <w:tcPr>
            <w:tcW w:w="522" w:type="dxa"/>
            <w:tcBorders>
              <w:top w:val="single" w:sz="4" w:space="0" w:color="7E7E7E"/>
              <w:bottom w:val="single" w:sz="4" w:space="0" w:color="7E7E7E"/>
            </w:tcBorders>
          </w:tcPr>
          <w:p>
            <w:pPr>
              <w:pStyle w:val="TableParagraph"/>
              <w:ind w:left="122"/>
              <w:rPr>
                <w:sz w:val="20"/>
              </w:rPr>
            </w:pPr>
            <w:r>
              <w:rPr>
                <w:sz w:val="20"/>
              </w:rPr>
              <w:t>14</w:t>
            </w:r>
          </w:p>
        </w:tc>
        <w:tc>
          <w:tcPr>
            <w:tcW w:w="1559" w:type="dxa"/>
            <w:tcBorders>
              <w:top w:val="single" w:sz="4" w:space="0" w:color="7E7E7E"/>
              <w:bottom w:val="single" w:sz="4" w:space="0" w:color="7E7E7E"/>
            </w:tcBorders>
          </w:tcPr>
          <w:p>
            <w:pPr>
              <w:pStyle w:val="TableParagraph"/>
              <w:ind w:left="197"/>
              <w:rPr>
                <w:sz w:val="20"/>
              </w:rPr>
            </w:pPr>
            <w:r>
              <w:rPr>
                <w:sz w:val="20"/>
              </w:rPr>
              <w:t>Park vd. (2012)</w:t>
            </w:r>
          </w:p>
        </w:tc>
        <w:tc>
          <w:tcPr>
            <w:tcW w:w="1894" w:type="dxa"/>
            <w:tcBorders>
              <w:top w:val="single" w:sz="4" w:space="0" w:color="7E7E7E"/>
              <w:bottom w:val="single" w:sz="4" w:space="0" w:color="7E7E7E"/>
            </w:tcBorders>
          </w:tcPr>
          <w:p>
            <w:pPr>
              <w:pStyle w:val="TableParagraph"/>
              <w:ind w:left="110"/>
              <w:rPr>
                <w:sz w:val="20"/>
              </w:rPr>
            </w:pPr>
            <w:r>
              <w:rPr>
                <w:sz w:val="20"/>
              </w:rPr>
              <w:t>Dijital kamera</w:t>
            </w:r>
          </w:p>
        </w:tc>
        <w:tc>
          <w:tcPr>
            <w:tcW w:w="984" w:type="dxa"/>
            <w:tcBorders>
              <w:top w:val="single" w:sz="4" w:space="0" w:color="7E7E7E"/>
              <w:bottom w:val="single" w:sz="4" w:space="0" w:color="7E7E7E"/>
            </w:tcBorders>
          </w:tcPr>
          <w:p>
            <w:pPr>
              <w:pStyle w:val="TableParagraph"/>
              <w:ind w:left="129"/>
              <w:rPr>
                <w:sz w:val="20"/>
              </w:rPr>
            </w:pPr>
            <w:r>
              <w:rPr>
                <w:sz w:val="20"/>
              </w:rPr>
              <w:t>Pazar</w:t>
            </w:r>
          </w:p>
        </w:tc>
        <w:tc>
          <w:tcPr>
            <w:tcW w:w="1234" w:type="dxa"/>
            <w:tcBorders>
              <w:top w:val="single" w:sz="4" w:space="0" w:color="7E7E7E"/>
              <w:bottom w:val="single" w:sz="4" w:space="0" w:color="7E7E7E"/>
            </w:tcBorders>
          </w:tcPr>
          <w:p>
            <w:pPr>
              <w:pStyle w:val="TableParagraph"/>
              <w:ind w:left="173"/>
              <w:rPr>
                <w:sz w:val="20"/>
              </w:rPr>
            </w:pPr>
            <w:r>
              <w:rPr>
                <w:sz w:val="20"/>
              </w:rPr>
              <w:t>Panel</w:t>
            </w:r>
          </w:p>
        </w:tc>
        <w:tc>
          <w:tcPr>
            <w:tcW w:w="2810" w:type="dxa"/>
            <w:tcBorders>
              <w:top w:val="single" w:sz="4" w:space="0" w:color="7E7E7E"/>
              <w:bottom w:val="single" w:sz="4" w:space="0" w:color="7E7E7E"/>
            </w:tcBorders>
          </w:tcPr>
          <w:p>
            <w:pPr>
              <w:pStyle w:val="TableParagraph"/>
              <w:ind w:left="120"/>
              <w:rPr>
                <w:sz w:val="20"/>
              </w:rPr>
            </w:pPr>
            <w:r>
              <w:rPr>
                <w:sz w:val="20"/>
              </w:rPr>
              <w:t>Logaritmik Regresyon</w:t>
            </w:r>
          </w:p>
        </w:tc>
      </w:tr>
      <w:tr>
        <w:trPr>
          <w:trHeight w:val="290" w:hRule="atLeast"/>
        </w:trPr>
        <w:tc>
          <w:tcPr>
            <w:tcW w:w="522" w:type="dxa"/>
            <w:tcBorders>
              <w:top w:val="single" w:sz="4" w:space="0" w:color="7E7E7E"/>
              <w:bottom w:val="single" w:sz="4" w:space="0" w:color="7E7E7E"/>
            </w:tcBorders>
          </w:tcPr>
          <w:p>
            <w:pPr>
              <w:pStyle w:val="TableParagraph"/>
              <w:ind w:left="122"/>
              <w:rPr>
                <w:sz w:val="20"/>
              </w:rPr>
            </w:pPr>
            <w:r>
              <w:rPr>
                <w:sz w:val="20"/>
              </w:rPr>
              <w:t>15</w:t>
            </w:r>
          </w:p>
        </w:tc>
        <w:tc>
          <w:tcPr>
            <w:tcW w:w="1559" w:type="dxa"/>
            <w:tcBorders>
              <w:top w:val="single" w:sz="4" w:space="0" w:color="7E7E7E"/>
              <w:bottom w:val="single" w:sz="4" w:space="0" w:color="7E7E7E"/>
            </w:tcBorders>
          </w:tcPr>
          <w:p>
            <w:pPr>
              <w:pStyle w:val="TableParagraph"/>
              <w:ind w:left="197"/>
              <w:rPr>
                <w:sz w:val="20"/>
              </w:rPr>
            </w:pPr>
            <w:r>
              <w:rPr>
                <w:sz w:val="20"/>
              </w:rPr>
              <w:t>Sun (2012)</w:t>
            </w:r>
          </w:p>
        </w:tc>
        <w:tc>
          <w:tcPr>
            <w:tcW w:w="1894" w:type="dxa"/>
            <w:tcBorders>
              <w:top w:val="single" w:sz="4" w:space="0" w:color="7E7E7E"/>
              <w:bottom w:val="single" w:sz="4" w:space="0" w:color="7E7E7E"/>
            </w:tcBorders>
          </w:tcPr>
          <w:p>
            <w:pPr>
              <w:pStyle w:val="TableParagraph"/>
              <w:ind w:left="110"/>
              <w:rPr>
                <w:sz w:val="20"/>
              </w:rPr>
            </w:pPr>
            <w:r>
              <w:rPr>
                <w:sz w:val="20"/>
              </w:rPr>
              <w:t>Kitap</w:t>
            </w:r>
          </w:p>
        </w:tc>
        <w:tc>
          <w:tcPr>
            <w:tcW w:w="984" w:type="dxa"/>
            <w:tcBorders>
              <w:top w:val="single" w:sz="4" w:space="0" w:color="7E7E7E"/>
              <w:bottom w:val="single" w:sz="4" w:space="0" w:color="7E7E7E"/>
            </w:tcBorders>
          </w:tcPr>
          <w:p>
            <w:pPr>
              <w:pStyle w:val="TableParagraph"/>
              <w:ind w:left="129"/>
              <w:rPr>
                <w:sz w:val="20"/>
              </w:rPr>
            </w:pPr>
            <w:r>
              <w:rPr>
                <w:sz w:val="20"/>
              </w:rPr>
              <w:t>Pazar</w:t>
            </w:r>
          </w:p>
        </w:tc>
        <w:tc>
          <w:tcPr>
            <w:tcW w:w="1234" w:type="dxa"/>
            <w:tcBorders>
              <w:top w:val="single" w:sz="4" w:space="0" w:color="7E7E7E"/>
              <w:bottom w:val="single" w:sz="4" w:space="0" w:color="7E7E7E"/>
            </w:tcBorders>
          </w:tcPr>
          <w:p>
            <w:pPr>
              <w:pStyle w:val="TableParagraph"/>
              <w:ind w:left="173"/>
              <w:rPr>
                <w:sz w:val="20"/>
              </w:rPr>
            </w:pPr>
            <w:r>
              <w:rPr>
                <w:sz w:val="20"/>
              </w:rPr>
              <w:t>Çoklu kesit</w:t>
            </w:r>
          </w:p>
        </w:tc>
        <w:tc>
          <w:tcPr>
            <w:tcW w:w="2810" w:type="dxa"/>
            <w:tcBorders>
              <w:top w:val="single" w:sz="4" w:space="0" w:color="7E7E7E"/>
              <w:bottom w:val="single" w:sz="4" w:space="0" w:color="7E7E7E"/>
            </w:tcBorders>
          </w:tcPr>
          <w:p>
            <w:pPr>
              <w:pStyle w:val="TableParagraph"/>
              <w:ind w:left="120"/>
              <w:rPr>
                <w:sz w:val="20"/>
              </w:rPr>
            </w:pPr>
            <w:r>
              <w:rPr>
                <w:sz w:val="20"/>
              </w:rPr>
              <w:t>Logaritmik Regresyon</w:t>
            </w:r>
          </w:p>
        </w:tc>
      </w:tr>
      <w:tr>
        <w:trPr>
          <w:trHeight w:val="457" w:hRule="atLeast"/>
        </w:trPr>
        <w:tc>
          <w:tcPr>
            <w:tcW w:w="522" w:type="dxa"/>
            <w:tcBorders>
              <w:top w:val="single" w:sz="4" w:space="0" w:color="7E7E7E"/>
              <w:bottom w:val="single" w:sz="4" w:space="0" w:color="7E7E7E"/>
            </w:tcBorders>
          </w:tcPr>
          <w:p>
            <w:pPr>
              <w:pStyle w:val="TableParagraph"/>
              <w:ind w:left="122"/>
              <w:rPr>
                <w:sz w:val="20"/>
              </w:rPr>
            </w:pPr>
            <w:r>
              <w:rPr>
                <w:sz w:val="20"/>
              </w:rPr>
              <w:t>16</w:t>
            </w:r>
          </w:p>
        </w:tc>
        <w:tc>
          <w:tcPr>
            <w:tcW w:w="1559" w:type="dxa"/>
            <w:tcBorders>
              <w:top w:val="single" w:sz="4" w:space="0" w:color="7E7E7E"/>
              <w:bottom w:val="single" w:sz="4" w:space="0" w:color="7E7E7E"/>
            </w:tcBorders>
          </w:tcPr>
          <w:p>
            <w:pPr>
              <w:pStyle w:val="TableParagraph"/>
              <w:ind w:left="197"/>
              <w:rPr>
                <w:sz w:val="20"/>
              </w:rPr>
            </w:pPr>
            <w:r>
              <w:rPr>
                <w:sz w:val="20"/>
              </w:rPr>
              <w:t>Gu vd. (2013)</w:t>
            </w:r>
          </w:p>
        </w:tc>
        <w:tc>
          <w:tcPr>
            <w:tcW w:w="1894" w:type="dxa"/>
            <w:tcBorders>
              <w:top w:val="single" w:sz="4" w:space="0" w:color="7E7E7E"/>
              <w:bottom w:val="single" w:sz="4" w:space="0" w:color="7E7E7E"/>
            </w:tcBorders>
          </w:tcPr>
          <w:p>
            <w:pPr>
              <w:pStyle w:val="TableParagraph"/>
              <w:ind w:left="110"/>
              <w:rPr>
                <w:sz w:val="20"/>
              </w:rPr>
            </w:pPr>
            <w:r>
              <w:rPr>
                <w:sz w:val="20"/>
              </w:rPr>
              <w:t>Kitap</w:t>
            </w:r>
          </w:p>
        </w:tc>
        <w:tc>
          <w:tcPr>
            <w:tcW w:w="984" w:type="dxa"/>
            <w:tcBorders>
              <w:top w:val="single" w:sz="4" w:space="0" w:color="7E7E7E"/>
              <w:bottom w:val="single" w:sz="4" w:space="0" w:color="7E7E7E"/>
            </w:tcBorders>
          </w:tcPr>
          <w:p>
            <w:pPr>
              <w:pStyle w:val="TableParagraph"/>
              <w:ind w:left="129"/>
              <w:rPr>
                <w:sz w:val="20"/>
              </w:rPr>
            </w:pPr>
            <w:r>
              <w:rPr>
                <w:sz w:val="20"/>
              </w:rPr>
              <w:t>Pazar</w:t>
            </w:r>
          </w:p>
        </w:tc>
        <w:tc>
          <w:tcPr>
            <w:tcW w:w="1234" w:type="dxa"/>
            <w:tcBorders>
              <w:top w:val="single" w:sz="4" w:space="0" w:color="7E7E7E"/>
              <w:bottom w:val="single" w:sz="4" w:space="0" w:color="7E7E7E"/>
            </w:tcBorders>
          </w:tcPr>
          <w:p>
            <w:pPr>
              <w:pStyle w:val="TableParagraph"/>
              <w:ind w:left="173"/>
              <w:rPr>
                <w:sz w:val="20"/>
              </w:rPr>
            </w:pPr>
            <w:r>
              <w:rPr>
                <w:sz w:val="20"/>
              </w:rPr>
              <w:t>Panel</w:t>
            </w:r>
          </w:p>
        </w:tc>
        <w:tc>
          <w:tcPr>
            <w:tcW w:w="2810" w:type="dxa"/>
            <w:tcBorders>
              <w:top w:val="single" w:sz="4" w:space="0" w:color="7E7E7E"/>
              <w:bottom w:val="single" w:sz="4" w:space="0" w:color="7E7E7E"/>
            </w:tcBorders>
          </w:tcPr>
          <w:p>
            <w:pPr>
              <w:pStyle w:val="TableParagraph"/>
              <w:spacing w:line="228" w:lineRule="exact" w:before="4"/>
              <w:ind w:left="120"/>
              <w:rPr>
                <w:sz w:val="20"/>
              </w:rPr>
            </w:pPr>
            <w:r>
              <w:rPr>
                <w:sz w:val="20"/>
              </w:rPr>
              <w:t>Logaritmik Regresyon, Birinci dereceden farklar yöntemi</w:t>
            </w:r>
          </w:p>
        </w:tc>
      </w:tr>
      <w:tr>
        <w:trPr>
          <w:trHeight w:val="458"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17</w:t>
            </w:r>
          </w:p>
        </w:tc>
        <w:tc>
          <w:tcPr>
            <w:tcW w:w="1559" w:type="dxa"/>
            <w:tcBorders>
              <w:top w:val="single" w:sz="4" w:space="0" w:color="7E7E7E"/>
              <w:bottom w:val="single" w:sz="4" w:space="0" w:color="7E7E7E"/>
            </w:tcBorders>
          </w:tcPr>
          <w:p>
            <w:pPr>
              <w:pStyle w:val="TableParagraph"/>
              <w:spacing w:line="230" w:lineRule="exact" w:before="1"/>
              <w:ind w:left="197" w:right="409"/>
              <w:rPr>
                <w:sz w:val="20"/>
              </w:rPr>
            </w:pPr>
            <w:r>
              <w:rPr>
                <w:sz w:val="20"/>
              </w:rPr>
              <w:t>Ho-Dac vd. (2013)</w:t>
            </w:r>
          </w:p>
        </w:tc>
        <w:tc>
          <w:tcPr>
            <w:tcW w:w="1894" w:type="dxa"/>
            <w:tcBorders>
              <w:top w:val="single" w:sz="4" w:space="0" w:color="7E7E7E"/>
              <w:bottom w:val="single" w:sz="4" w:space="0" w:color="7E7E7E"/>
            </w:tcBorders>
          </w:tcPr>
          <w:p>
            <w:pPr>
              <w:pStyle w:val="TableParagraph"/>
              <w:spacing w:line="230" w:lineRule="exact" w:before="1"/>
              <w:ind w:left="110" w:right="220"/>
              <w:rPr>
                <w:sz w:val="20"/>
              </w:rPr>
            </w:pPr>
            <w:r>
              <w:rPr>
                <w:sz w:val="20"/>
              </w:rPr>
              <w:t>Blu-ray oynatıcı ve DVD oynatıcı</w:t>
            </w:r>
          </w:p>
        </w:tc>
        <w:tc>
          <w:tcPr>
            <w:tcW w:w="984" w:type="dxa"/>
            <w:tcBorders>
              <w:top w:val="single" w:sz="4" w:space="0" w:color="7E7E7E"/>
              <w:bottom w:val="single" w:sz="4" w:space="0" w:color="7E7E7E"/>
            </w:tcBorders>
          </w:tcPr>
          <w:p>
            <w:pPr>
              <w:pStyle w:val="TableParagraph"/>
              <w:spacing w:line="228" w:lineRule="exact"/>
              <w:ind w:left="129"/>
              <w:rPr>
                <w:sz w:val="20"/>
              </w:rPr>
            </w:pPr>
            <w:r>
              <w:rPr>
                <w:sz w:val="20"/>
              </w:rPr>
              <w:t>Pazar</w:t>
            </w:r>
          </w:p>
        </w:tc>
        <w:tc>
          <w:tcPr>
            <w:tcW w:w="1234" w:type="dxa"/>
            <w:tcBorders>
              <w:top w:val="single" w:sz="4" w:space="0" w:color="7E7E7E"/>
              <w:bottom w:val="single" w:sz="4" w:space="0" w:color="7E7E7E"/>
            </w:tcBorders>
          </w:tcPr>
          <w:p>
            <w:pPr>
              <w:pStyle w:val="TableParagraph"/>
              <w:spacing w:line="228" w:lineRule="exact"/>
              <w:ind w:left="173"/>
              <w:rPr>
                <w:sz w:val="20"/>
              </w:rPr>
            </w:pPr>
            <w:r>
              <w:rPr>
                <w:sz w:val="20"/>
              </w:rPr>
              <w:t>Panel</w:t>
            </w:r>
          </w:p>
        </w:tc>
        <w:tc>
          <w:tcPr>
            <w:tcW w:w="2810" w:type="dxa"/>
            <w:tcBorders>
              <w:top w:val="single" w:sz="4" w:space="0" w:color="7E7E7E"/>
              <w:bottom w:val="single" w:sz="4" w:space="0" w:color="7E7E7E"/>
            </w:tcBorders>
          </w:tcPr>
          <w:p>
            <w:pPr>
              <w:pStyle w:val="TableParagraph"/>
              <w:spacing w:line="230" w:lineRule="exact" w:before="1"/>
              <w:ind w:left="120" w:right="431"/>
              <w:rPr>
                <w:sz w:val="20"/>
              </w:rPr>
            </w:pPr>
            <w:r>
              <w:rPr>
                <w:sz w:val="20"/>
              </w:rPr>
              <w:t>Logaritmik Regresyon, Dinamik Panel Veri Analizi</w:t>
            </w:r>
          </w:p>
        </w:tc>
      </w:tr>
      <w:tr>
        <w:trPr>
          <w:trHeight w:val="457"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18</w:t>
            </w:r>
          </w:p>
        </w:tc>
        <w:tc>
          <w:tcPr>
            <w:tcW w:w="1559" w:type="dxa"/>
            <w:tcBorders>
              <w:top w:val="single" w:sz="4" w:space="0" w:color="7E7E7E"/>
              <w:bottom w:val="single" w:sz="4" w:space="0" w:color="7E7E7E"/>
            </w:tcBorders>
          </w:tcPr>
          <w:p>
            <w:pPr>
              <w:pStyle w:val="TableParagraph"/>
              <w:spacing w:line="230" w:lineRule="exact"/>
              <w:ind w:left="197" w:right="419"/>
              <w:rPr>
                <w:sz w:val="20"/>
              </w:rPr>
            </w:pPr>
            <w:r>
              <w:rPr>
                <w:sz w:val="20"/>
              </w:rPr>
              <w:t>Ludwig vd. (2013)</w:t>
            </w:r>
          </w:p>
        </w:tc>
        <w:tc>
          <w:tcPr>
            <w:tcW w:w="1894" w:type="dxa"/>
            <w:tcBorders>
              <w:top w:val="single" w:sz="4" w:space="0" w:color="7E7E7E"/>
              <w:bottom w:val="single" w:sz="4" w:space="0" w:color="7E7E7E"/>
            </w:tcBorders>
          </w:tcPr>
          <w:p>
            <w:pPr>
              <w:pStyle w:val="TableParagraph"/>
              <w:spacing w:line="228" w:lineRule="exact"/>
              <w:ind w:left="110"/>
              <w:rPr>
                <w:sz w:val="20"/>
              </w:rPr>
            </w:pPr>
            <w:r>
              <w:rPr>
                <w:sz w:val="20"/>
              </w:rPr>
              <w:t>Kitap</w:t>
            </w:r>
          </w:p>
        </w:tc>
        <w:tc>
          <w:tcPr>
            <w:tcW w:w="984" w:type="dxa"/>
            <w:tcBorders>
              <w:top w:val="single" w:sz="4" w:space="0" w:color="7E7E7E"/>
              <w:bottom w:val="single" w:sz="4" w:space="0" w:color="7E7E7E"/>
            </w:tcBorders>
          </w:tcPr>
          <w:p>
            <w:pPr>
              <w:pStyle w:val="TableParagraph"/>
              <w:spacing w:line="228" w:lineRule="exact"/>
              <w:ind w:left="129"/>
              <w:rPr>
                <w:sz w:val="20"/>
              </w:rPr>
            </w:pPr>
            <w:r>
              <w:rPr>
                <w:sz w:val="20"/>
              </w:rPr>
              <w:t>Pazar</w:t>
            </w:r>
          </w:p>
        </w:tc>
        <w:tc>
          <w:tcPr>
            <w:tcW w:w="1234" w:type="dxa"/>
            <w:tcBorders>
              <w:top w:val="single" w:sz="4" w:space="0" w:color="7E7E7E"/>
              <w:bottom w:val="single" w:sz="4" w:space="0" w:color="7E7E7E"/>
            </w:tcBorders>
          </w:tcPr>
          <w:p>
            <w:pPr>
              <w:pStyle w:val="TableParagraph"/>
              <w:spacing w:line="228" w:lineRule="exact"/>
              <w:ind w:left="173"/>
              <w:rPr>
                <w:sz w:val="20"/>
              </w:rPr>
            </w:pPr>
            <w:r>
              <w:rPr>
                <w:sz w:val="20"/>
              </w:rPr>
              <w:t>Panel</w:t>
            </w:r>
          </w:p>
        </w:tc>
        <w:tc>
          <w:tcPr>
            <w:tcW w:w="2810" w:type="dxa"/>
            <w:tcBorders>
              <w:top w:val="single" w:sz="4" w:space="0" w:color="7E7E7E"/>
              <w:bottom w:val="single" w:sz="4" w:space="0" w:color="7E7E7E"/>
            </w:tcBorders>
          </w:tcPr>
          <w:p>
            <w:pPr>
              <w:pStyle w:val="TableParagraph"/>
              <w:spacing w:line="228" w:lineRule="exact"/>
              <w:ind w:left="120"/>
              <w:rPr>
                <w:sz w:val="20"/>
              </w:rPr>
            </w:pPr>
            <w:r>
              <w:rPr>
                <w:sz w:val="20"/>
              </w:rPr>
              <w:t>Dinamik Panel Veri Analizi</w:t>
            </w:r>
          </w:p>
        </w:tc>
      </w:tr>
      <w:tr>
        <w:trPr>
          <w:trHeight w:val="458"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19</w:t>
            </w:r>
          </w:p>
        </w:tc>
        <w:tc>
          <w:tcPr>
            <w:tcW w:w="1559" w:type="dxa"/>
            <w:tcBorders>
              <w:top w:val="single" w:sz="4" w:space="0" w:color="7E7E7E"/>
              <w:bottom w:val="single" w:sz="4" w:space="0" w:color="7E7E7E"/>
            </w:tcBorders>
          </w:tcPr>
          <w:p>
            <w:pPr>
              <w:pStyle w:val="TableParagraph"/>
              <w:spacing w:line="228" w:lineRule="exact"/>
              <w:ind w:left="197"/>
              <w:rPr>
                <w:sz w:val="20"/>
              </w:rPr>
            </w:pPr>
            <w:r>
              <w:rPr>
                <w:sz w:val="20"/>
              </w:rPr>
              <w:t>Wu (2013)</w:t>
            </w:r>
          </w:p>
        </w:tc>
        <w:tc>
          <w:tcPr>
            <w:tcW w:w="1894" w:type="dxa"/>
            <w:tcBorders>
              <w:top w:val="single" w:sz="4" w:space="0" w:color="7E7E7E"/>
              <w:bottom w:val="single" w:sz="4" w:space="0" w:color="7E7E7E"/>
            </w:tcBorders>
          </w:tcPr>
          <w:p>
            <w:pPr>
              <w:pStyle w:val="TableParagraph"/>
              <w:spacing w:line="228" w:lineRule="exact"/>
              <w:ind w:left="110"/>
              <w:rPr>
                <w:sz w:val="20"/>
              </w:rPr>
            </w:pPr>
            <w:r>
              <w:rPr>
                <w:sz w:val="20"/>
              </w:rPr>
              <w:t>Kitap</w:t>
            </w:r>
          </w:p>
        </w:tc>
        <w:tc>
          <w:tcPr>
            <w:tcW w:w="984" w:type="dxa"/>
            <w:tcBorders>
              <w:top w:val="single" w:sz="4" w:space="0" w:color="7E7E7E"/>
              <w:bottom w:val="single" w:sz="4" w:space="0" w:color="7E7E7E"/>
            </w:tcBorders>
          </w:tcPr>
          <w:p>
            <w:pPr>
              <w:pStyle w:val="TableParagraph"/>
              <w:spacing w:line="228" w:lineRule="exact"/>
              <w:ind w:left="129"/>
              <w:rPr>
                <w:sz w:val="20"/>
              </w:rPr>
            </w:pPr>
            <w:r>
              <w:rPr>
                <w:sz w:val="20"/>
              </w:rPr>
              <w:t>Bireysel</w:t>
            </w:r>
          </w:p>
        </w:tc>
        <w:tc>
          <w:tcPr>
            <w:tcW w:w="1234" w:type="dxa"/>
            <w:tcBorders>
              <w:top w:val="single" w:sz="4" w:space="0" w:color="7E7E7E"/>
              <w:bottom w:val="single" w:sz="4" w:space="0" w:color="7E7E7E"/>
            </w:tcBorders>
          </w:tcPr>
          <w:p>
            <w:pPr>
              <w:pStyle w:val="TableParagraph"/>
              <w:spacing w:line="228" w:lineRule="exact"/>
              <w:ind w:left="173"/>
              <w:rPr>
                <w:sz w:val="20"/>
              </w:rPr>
            </w:pPr>
            <w:r>
              <w:rPr>
                <w:sz w:val="20"/>
              </w:rPr>
              <w:t>Tekli Kesit</w:t>
            </w:r>
          </w:p>
        </w:tc>
        <w:tc>
          <w:tcPr>
            <w:tcW w:w="2810" w:type="dxa"/>
            <w:tcBorders>
              <w:top w:val="single" w:sz="4" w:space="0" w:color="7E7E7E"/>
              <w:bottom w:val="single" w:sz="4" w:space="0" w:color="7E7E7E"/>
            </w:tcBorders>
          </w:tcPr>
          <w:p>
            <w:pPr>
              <w:pStyle w:val="TableParagraph"/>
              <w:spacing w:line="230" w:lineRule="exact"/>
              <w:ind w:left="120" w:right="325"/>
              <w:rPr>
                <w:sz w:val="20"/>
              </w:rPr>
            </w:pPr>
            <w:r>
              <w:rPr>
                <w:sz w:val="20"/>
              </w:rPr>
              <w:t>Regresyon, Tobit Regresyon, ANOVA</w:t>
            </w:r>
          </w:p>
        </w:tc>
      </w:tr>
      <w:tr>
        <w:trPr>
          <w:trHeight w:val="458"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20</w:t>
            </w:r>
          </w:p>
        </w:tc>
        <w:tc>
          <w:tcPr>
            <w:tcW w:w="1559" w:type="dxa"/>
            <w:tcBorders>
              <w:top w:val="single" w:sz="4" w:space="0" w:color="7E7E7E"/>
              <w:bottom w:val="single" w:sz="4" w:space="0" w:color="7E7E7E"/>
            </w:tcBorders>
          </w:tcPr>
          <w:p>
            <w:pPr>
              <w:pStyle w:val="TableParagraph"/>
              <w:spacing w:line="230" w:lineRule="exact" w:before="1"/>
              <w:ind w:left="197" w:right="208"/>
              <w:rPr>
                <w:sz w:val="20"/>
              </w:rPr>
            </w:pPr>
            <w:r>
              <w:rPr>
                <w:sz w:val="20"/>
              </w:rPr>
              <w:t>Bao ve Chang (2014a)</w:t>
            </w:r>
          </w:p>
        </w:tc>
        <w:tc>
          <w:tcPr>
            <w:tcW w:w="1894" w:type="dxa"/>
            <w:tcBorders>
              <w:top w:val="single" w:sz="4" w:space="0" w:color="7E7E7E"/>
              <w:bottom w:val="single" w:sz="4" w:space="0" w:color="7E7E7E"/>
            </w:tcBorders>
          </w:tcPr>
          <w:p>
            <w:pPr>
              <w:pStyle w:val="TableParagraph"/>
              <w:spacing w:line="230" w:lineRule="exact" w:before="1"/>
              <w:ind w:left="110" w:right="175"/>
              <w:rPr>
                <w:sz w:val="20"/>
              </w:rPr>
            </w:pPr>
            <w:r>
              <w:rPr>
                <w:sz w:val="20"/>
              </w:rPr>
              <w:t>Kitap, müzik, video ve DVD</w:t>
            </w:r>
          </w:p>
        </w:tc>
        <w:tc>
          <w:tcPr>
            <w:tcW w:w="984" w:type="dxa"/>
            <w:tcBorders>
              <w:top w:val="single" w:sz="4" w:space="0" w:color="7E7E7E"/>
              <w:bottom w:val="single" w:sz="4" w:space="0" w:color="7E7E7E"/>
            </w:tcBorders>
          </w:tcPr>
          <w:p>
            <w:pPr>
              <w:pStyle w:val="TableParagraph"/>
              <w:spacing w:line="228" w:lineRule="exact"/>
              <w:ind w:left="129"/>
              <w:rPr>
                <w:sz w:val="20"/>
              </w:rPr>
            </w:pPr>
            <w:r>
              <w:rPr>
                <w:sz w:val="20"/>
              </w:rPr>
              <w:t>Bireysel</w:t>
            </w:r>
          </w:p>
        </w:tc>
        <w:tc>
          <w:tcPr>
            <w:tcW w:w="1234" w:type="dxa"/>
            <w:tcBorders>
              <w:top w:val="single" w:sz="4" w:space="0" w:color="7E7E7E"/>
              <w:bottom w:val="single" w:sz="4" w:space="0" w:color="7E7E7E"/>
            </w:tcBorders>
          </w:tcPr>
          <w:p>
            <w:pPr>
              <w:pStyle w:val="TableParagraph"/>
              <w:spacing w:line="228" w:lineRule="exact"/>
              <w:ind w:left="173"/>
              <w:rPr>
                <w:sz w:val="20"/>
              </w:rPr>
            </w:pPr>
            <w:r>
              <w:rPr>
                <w:sz w:val="20"/>
              </w:rPr>
              <w:t>Tekli Kesit</w:t>
            </w:r>
          </w:p>
        </w:tc>
        <w:tc>
          <w:tcPr>
            <w:tcW w:w="2810" w:type="dxa"/>
            <w:tcBorders>
              <w:top w:val="single" w:sz="4" w:space="0" w:color="7E7E7E"/>
              <w:bottom w:val="single" w:sz="4" w:space="0" w:color="7E7E7E"/>
            </w:tcBorders>
          </w:tcPr>
          <w:p>
            <w:pPr>
              <w:pStyle w:val="TableParagraph"/>
              <w:spacing w:line="228" w:lineRule="exact"/>
              <w:ind w:left="120"/>
              <w:rPr>
                <w:sz w:val="20"/>
              </w:rPr>
            </w:pPr>
            <w:r>
              <w:rPr>
                <w:sz w:val="20"/>
              </w:rPr>
              <w:t>Logaritmik Regresyon</w:t>
            </w:r>
          </w:p>
        </w:tc>
      </w:tr>
      <w:tr>
        <w:trPr>
          <w:trHeight w:val="455"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21</w:t>
            </w:r>
          </w:p>
        </w:tc>
        <w:tc>
          <w:tcPr>
            <w:tcW w:w="1559" w:type="dxa"/>
            <w:tcBorders>
              <w:top w:val="single" w:sz="4" w:space="0" w:color="7E7E7E"/>
              <w:bottom w:val="single" w:sz="4" w:space="0" w:color="7E7E7E"/>
            </w:tcBorders>
          </w:tcPr>
          <w:p>
            <w:pPr>
              <w:pStyle w:val="TableParagraph"/>
              <w:spacing w:line="228" w:lineRule="exact" w:before="2"/>
              <w:ind w:left="197" w:right="208"/>
              <w:rPr>
                <w:sz w:val="20"/>
              </w:rPr>
            </w:pPr>
            <w:r>
              <w:rPr>
                <w:sz w:val="20"/>
              </w:rPr>
              <w:t>Bao ve Chang (2014b)</w:t>
            </w:r>
          </w:p>
        </w:tc>
        <w:tc>
          <w:tcPr>
            <w:tcW w:w="1894" w:type="dxa"/>
            <w:tcBorders>
              <w:top w:val="single" w:sz="4" w:space="0" w:color="7E7E7E"/>
              <w:bottom w:val="single" w:sz="4" w:space="0" w:color="7E7E7E"/>
            </w:tcBorders>
          </w:tcPr>
          <w:p>
            <w:pPr>
              <w:pStyle w:val="TableParagraph"/>
              <w:spacing w:line="228" w:lineRule="exact"/>
              <w:ind w:left="110"/>
              <w:rPr>
                <w:sz w:val="20"/>
              </w:rPr>
            </w:pPr>
            <w:r>
              <w:rPr>
                <w:sz w:val="20"/>
              </w:rPr>
              <w:t>Kitap</w:t>
            </w:r>
          </w:p>
        </w:tc>
        <w:tc>
          <w:tcPr>
            <w:tcW w:w="984" w:type="dxa"/>
            <w:tcBorders>
              <w:top w:val="single" w:sz="4" w:space="0" w:color="7E7E7E"/>
              <w:bottom w:val="single" w:sz="4" w:space="0" w:color="7E7E7E"/>
            </w:tcBorders>
          </w:tcPr>
          <w:p>
            <w:pPr>
              <w:pStyle w:val="TableParagraph"/>
              <w:spacing w:line="228" w:lineRule="exact"/>
              <w:ind w:left="129"/>
              <w:rPr>
                <w:sz w:val="20"/>
              </w:rPr>
            </w:pPr>
            <w:r>
              <w:rPr>
                <w:sz w:val="20"/>
              </w:rPr>
              <w:t>Pazar</w:t>
            </w:r>
          </w:p>
        </w:tc>
        <w:tc>
          <w:tcPr>
            <w:tcW w:w="1234" w:type="dxa"/>
            <w:tcBorders>
              <w:top w:val="single" w:sz="4" w:space="0" w:color="7E7E7E"/>
              <w:bottom w:val="single" w:sz="4" w:space="0" w:color="7E7E7E"/>
            </w:tcBorders>
          </w:tcPr>
          <w:p>
            <w:pPr>
              <w:pStyle w:val="TableParagraph"/>
              <w:spacing w:line="228" w:lineRule="exact"/>
              <w:ind w:left="173"/>
              <w:rPr>
                <w:sz w:val="20"/>
              </w:rPr>
            </w:pPr>
            <w:r>
              <w:rPr>
                <w:sz w:val="20"/>
              </w:rPr>
              <w:t>Panel</w:t>
            </w:r>
          </w:p>
        </w:tc>
        <w:tc>
          <w:tcPr>
            <w:tcW w:w="2810" w:type="dxa"/>
            <w:tcBorders>
              <w:top w:val="single" w:sz="4" w:space="0" w:color="7E7E7E"/>
              <w:bottom w:val="single" w:sz="4" w:space="0" w:color="7E7E7E"/>
            </w:tcBorders>
          </w:tcPr>
          <w:p>
            <w:pPr>
              <w:pStyle w:val="TableParagraph"/>
              <w:spacing w:line="228" w:lineRule="exact"/>
              <w:ind w:left="120"/>
              <w:rPr>
                <w:sz w:val="20"/>
              </w:rPr>
            </w:pPr>
            <w:r>
              <w:rPr>
                <w:sz w:val="20"/>
              </w:rPr>
              <w:t>Regresyon</w:t>
            </w:r>
          </w:p>
        </w:tc>
      </w:tr>
      <w:tr>
        <w:trPr>
          <w:trHeight w:val="288"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22</w:t>
            </w:r>
          </w:p>
        </w:tc>
        <w:tc>
          <w:tcPr>
            <w:tcW w:w="1559" w:type="dxa"/>
            <w:tcBorders>
              <w:top w:val="single" w:sz="4" w:space="0" w:color="7E7E7E"/>
              <w:bottom w:val="single" w:sz="4" w:space="0" w:color="7E7E7E"/>
            </w:tcBorders>
          </w:tcPr>
          <w:p>
            <w:pPr>
              <w:pStyle w:val="TableParagraph"/>
              <w:spacing w:line="228" w:lineRule="exact"/>
              <w:ind w:left="197"/>
              <w:rPr>
                <w:sz w:val="20"/>
              </w:rPr>
            </w:pPr>
            <w:r>
              <w:rPr>
                <w:sz w:val="20"/>
              </w:rPr>
              <w:t>Hu vd. (2014)</w:t>
            </w:r>
          </w:p>
        </w:tc>
        <w:tc>
          <w:tcPr>
            <w:tcW w:w="1894" w:type="dxa"/>
            <w:tcBorders>
              <w:top w:val="single" w:sz="4" w:space="0" w:color="7E7E7E"/>
              <w:bottom w:val="single" w:sz="4" w:space="0" w:color="7E7E7E"/>
            </w:tcBorders>
          </w:tcPr>
          <w:p>
            <w:pPr>
              <w:pStyle w:val="TableParagraph"/>
              <w:spacing w:line="228" w:lineRule="exact"/>
              <w:ind w:left="110"/>
              <w:rPr>
                <w:sz w:val="20"/>
              </w:rPr>
            </w:pPr>
            <w:r>
              <w:rPr>
                <w:sz w:val="20"/>
              </w:rPr>
              <w:t>Kitap</w:t>
            </w:r>
          </w:p>
        </w:tc>
        <w:tc>
          <w:tcPr>
            <w:tcW w:w="984" w:type="dxa"/>
            <w:tcBorders>
              <w:top w:val="single" w:sz="4" w:space="0" w:color="7E7E7E"/>
              <w:bottom w:val="single" w:sz="4" w:space="0" w:color="7E7E7E"/>
            </w:tcBorders>
          </w:tcPr>
          <w:p>
            <w:pPr>
              <w:pStyle w:val="TableParagraph"/>
              <w:spacing w:line="228" w:lineRule="exact"/>
              <w:ind w:left="129"/>
              <w:rPr>
                <w:sz w:val="20"/>
              </w:rPr>
            </w:pPr>
            <w:r>
              <w:rPr>
                <w:sz w:val="20"/>
              </w:rPr>
              <w:t>Pazar</w:t>
            </w:r>
          </w:p>
        </w:tc>
        <w:tc>
          <w:tcPr>
            <w:tcW w:w="1234" w:type="dxa"/>
            <w:tcBorders>
              <w:top w:val="single" w:sz="4" w:space="0" w:color="7E7E7E"/>
              <w:bottom w:val="single" w:sz="4" w:space="0" w:color="7E7E7E"/>
            </w:tcBorders>
          </w:tcPr>
          <w:p>
            <w:pPr>
              <w:pStyle w:val="TableParagraph"/>
              <w:spacing w:line="228" w:lineRule="exact"/>
              <w:ind w:left="173"/>
              <w:rPr>
                <w:sz w:val="20"/>
              </w:rPr>
            </w:pPr>
            <w:r>
              <w:rPr>
                <w:sz w:val="20"/>
              </w:rPr>
              <w:t>Panel</w:t>
            </w:r>
          </w:p>
        </w:tc>
        <w:tc>
          <w:tcPr>
            <w:tcW w:w="2810" w:type="dxa"/>
            <w:tcBorders>
              <w:top w:val="single" w:sz="4" w:space="0" w:color="7E7E7E"/>
              <w:bottom w:val="single" w:sz="4" w:space="0" w:color="7E7E7E"/>
            </w:tcBorders>
          </w:tcPr>
          <w:p>
            <w:pPr>
              <w:pStyle w:val="TableParagraph"/>
              <w:spacing w:line="228" w:lineRule="exact"/>
              <w:ind w:left="120"/>
              <w:rPr>
                <w:sz w:val="20"/>
              </w:rPr>
            </w:pPr>
            <w:r>
              <w:rPr>
                <w:sz w:val="20"/>
              </w:rPr>
              <w:t>Üç aşamalı EKK</w:t>
            </w:r>
          </w:p>
        </w:tc>
      </w:tr>
      <w:tr>
        <w:trPr>
          <w:trHeight w:val="460" w:hRule="atLeast"/>
        </w:trPr>
        <w:tc>
          <w:tcPr>
            <w:tcW w:w="522" w:type="dxa"/>
            <w:tcBorders>
              <w:top w:val="single" w:sz="4" w:space="0" w:color="7E7E7E"/>
              <w:bottom w:val="single" w:sz="4" w:space="0" w:color="7E7E7E"/>
            </w:tcBorders>
          </w:tcPr>
          <w:p>
            <w:pPr>
              <w:pStyle w:val="TableParagraph"/>
              <w:ind w:left="122"/>
              <w:rPr>
                <w:sz w:val="20"/>
              </w:rPr>
            </w:pPr>
            <w:r>
              <w:rPr>
                <w:sz w:val="20"/>
              </w:rPr>
              <w:t>23</w:t>
            </w:r>
          </w:p>
        </w:tc>
        <w:tc>
          <w:tcPr>
            <w:tcW w:w="1559" w:type="dxa"/>
            <w:tcBorders>
              <w:top w:val="single" w:sz="4" w:space="0" w:color="7E7E7E"/>
              <w:bottom w:val="single" w:sz="4" w:space="0" w:color="7E7E7E"/>
            </w:tcBorders>
          </w:tcPr>
          <w:p>
            <w:pPr>
              <w:pStyle w:val="TableParagraph"/>
              <w:spacing w:line="230" w:lineRule="atLeast"/>
              <w:ind w:left="197" w:right="209"/>
              <w:rPr>
                <w:sz w:val="20"/>
              </w:rPr>
            </w:pPr>
            <w:r>
              <w:rPr>
                <w:sz w:val="20"/>
              </w:rPr>
              <w:t>Jabr ve Zheng (2014)</w:t>
            </w:r>
          </w:p>
        </w:tc>
        <w:tc>
          <w:tcPr>
            <w:tcW w:w="1894" w:type="dxa"/>
            <w:tcBorders>
              <w:top w:val="single" w:sz="4" w:space="0" w:color="7E7E7E"/>
              <w:bottom w:val="single" w:sz="4" w:space="0" w:color="7E7E7E"/>
            </w:tcBorders>
          </w:tcPr>
          <w:p>
            <w:pPr>
              <w:pStyle w:val="TableParagraph"/>
              <w:ind w:left="110"/>
              <w:rPr>
                <w:sz w:val="20"/>
              </w:rPr>
            </w:pPr>
            <w:r>
              <w:rPr>
                <w:sz w:val="20"/>
              </w:rPr>
              <w:t>Kitap</w:t>
            </w:r>
          </w:p>
        </w:tc>
        <w:tc>
          <w:tcPr>
            <w:tcW w:w="984" w:type="dxa"/>
            <w:tcBorders>
              <w:top w:val="single" w:sz="4" w:space="0" w:color="7E7E7E"/>
              <w:bottom w:val="single" w:sz="4" w:space="0" w:color="7E7E7E"/>
            </w:tcBorders>
          </w:tcPr>
          <w:p>
            <w:pPr>
              <w:pStyle w:val="TableParagraph"/>
              <w:ind w:left="129"/>
              <w:rPr>
                <w:sz w:val="20"/>
              </w:rPr>
            </w:pPr>
            <w:r>
              <w:rPr>
                <w:sz w:val="20"/>
              </w:rPr>
              <w:t>Pazar</w:t>
            </w:r>
          </w:p>
        </w:tc>
        <w:tc>
          <w:tcPr>
            <w:tcW w:w="1234" w:type="dxa"/>
            <w:tcBorders>
              <w:top w:val="single" w:sz="4" w:space="0" w:color="7E7E7E"/>
              <w:bottom w:val="single" w:sz="4" w:space="0" w:color="7E7E7E"/>
            </w:tcBorders>
          </w:tcPr>
          <w:p>
            <w:pPr>
              <w:pStyle w:val="TableParagraph"/>
              <w:ind w:left="173"/>
              <w:rPr>
                <w:sz w:val="20"/>
              </w:rPr>
            </w:pPr>
            <w:r>
              <w:rPr>
                <w:sz w:val="20"/>
              </w:rPr>
              <w:t>Panel</w:t>
            </w:r>
          </w:p>
        </w:tc>
        <w:tc>
          <w:tcPr>
            <w:tcW w:w="2810" w:type="dxa"/>
            <w:tcBorders>
              <w:top w:val="single" w:sz="4" w:space="0" w:color="7E7E7E"/>
              <w:bottom w:val="single" w:sz="4" w:space="0" w:color="7E7E7E"/>
            </w:tcBorders>
          </w:tcPr>
          <w:p>
            <w:pPr>
              <w:pStyle w:val="TableParagraph"/>
              <w:spacing w:line="230" w:lineRule="atLeast"/>
              <w:ind w:left="120"/>
              <w:rPr>
                <w:sz w:val="20"/>
              </w:rPr>
            </w:pPr>
            <w:r>
              <w:rPr>
                <w:sz w:val="20"/>
              </w:rPr>
              <w:t>Logaritmik Regresyon, Birinci dereceden farklar yöntemi</w:t>
            </w:r>
          </w:p>
        </w:tc>
      </w:tr>
      <w:tr>
        <w:trPr>
          <w:trHeight w:val="1151" w:hRule="atLeast"/>
        </w:trPr>
        <w:tc>
          <w:tcPr>
            <w:tcW w:w="522" w:type="dxa"/>
            <w:tcBorders>
              <w:top w:val="single" w:sz="4" w:space="0" w:color="7E7E7E"/>
              <w:bottom w:val="single" w:sz="4" w:space="0" w:color="7E7E7E"/>
            </w:tcBorders>
          </w:tcPr>
          <w:p>
            <w:pPr>
              <w:pStyle w:val="TableParagraph"/>
              <w:ind w:left="122"/>
              <w:rPr>
                <w:sz w:val="20"/>
              </w:rPr>
            </w:pPr>
            <w:r>
              <w:rPr>
                <w:sz w:val="20"/>
              </w:rPr>
              <w:t>24</w:t>
            </w:r>
          </w:p>
        </w:tc>
        <w:tc>
          <w:tcPr>
            <w:tcW w:w="1559" w:type="dxa"/>
            <w:tcBorders>
              <w:top w:val="single" w:sz="4" w:space="0" w:color="7E7E7E"/>
              <w:bottom w:val="single" w:sz="4" w:space="0" w:color="7E7E7E"/>
            </w:tcBorders>
          </w:tcPr>
          <w:p>
            <w:pPr>
              <w:pStyle w:val="TableParagraph"/>
              <w:ind w:left="197" w:right="486"/>
              <w:rPr>
                <w:sz w:val="20"/>
              </w:rPr>
            </w:pPr>
            <w:r>
              <w:rPr>
                <w:sz w:val="20"/>
              </w:rPr>
              <w:t>Wan ve Nakayama (2014)</w:t>
            </w:r>
          </w:p>
        </w:tc>
        <w:tc>
          <w:tcPr>
            <w:tcW w:w="1894" w:type="dxa"/>
            <w:tcBorders>
              <w:top w:val="single" w:sz="4" w:space="0" w:color="7E7E7E"/>
              <w:bottom w:val="single" w:sz="4" w:space="0" w:color="7E7E7E"/>
            </w:tcBorders>
          </w:tcPr>
          <w:p>
            <w:pPr>
              <w:pStyle w:val="TableParagraph"/>
              <w:spacing w:line="230" w:lineRule="atLeast"/>
              <w:ind w:left="110" w:right="109"/>
              <w:rPr>
                <w:sz w:val="20"/>
              </w:rPr>
            </w:pPr>
            <w:r>
              <w:rPr>
                <w:sz w:val="20"/>
              </w:rPr>
              <w:t>Akıllı telefon, dijital kamera, lazer yazıcı, müzik CD, video oyun, vitamin ve gıda takviyesi</w:t>
            </w:r>
          </w:p>
        </w:tc>
        <w:tc>
          <w:tcPr>
            <w:tcW w:w="984" w:type="dxa"/>
            <w:tcBorders>
              <w:top w:val="single" w:sz="4" w:space="0" w:color="7E7E7E"/>
              <w:bottom w:val="single" w:sz="4" w:space="0" w:color="7E7E7E"/>
            </w:tcBorders>
          </w:tcPr>
          <w:p>
            <w:pPr>
              <w:pStyle w:val="TableParagraph"/>
              <w:ind w:left="129"/>
              <w:rPr>
                <w:sz w:val="20"/>
              </w:rPr>
            </w:pPr>
            <w:r>
              <w:rPr>
                <w:sz w:val="20"/>
              </w:rPr>
              <w:t>Bireysel</w:t>
            </w:r>
          </w:p>
        </w:tc>
        <w:tc>
          <w:tcPr>
            <w:tcW w:w="1234" w:type="dxa"/>
            <w:tcBorders>
              <w:top w:val="single" w:sz="4" w:space="0" w:color="7E7E7E"/>
              <w:bottom w:val="single" w:sz="4" w:space="0" w:color="7E7E7E"/>
            </w:tcBorders>
          </w:tcPr>
          <w:p>
            <w:pPr>
              <w:pStyle w:val="TableParagraph"/>
              <w:ind w:left="173"/>
              <w:rPr>
                <w:sz w:val="20"/>
              </w:rPr>
            </w:pPr>
            <w:r>
              <w:rPr>
                <w:sz w:val="20"/>
              </w:rPr>
              <w:t>Tekli Kesit</w:t>
            </w:r>
          </w:p>
        </w:tc>
        <w:tc>
          <w:tcPr>
            <w:tcW w:w="2810" w:type="dxa"/>
            <w:tcBorders>
              <w:top w:val="single" w:sz="4" w:space="0" w:color="7E7E7E"/>
              <w:bottom w:val="single" w:sz="4" w:space="0" w:color="7E7E7E"/>
            </w:tcBorders>
          </w:tcPr>
          <w:p>
            <w:pPr>
              <w:pStyle w:val="TableParagraph"/>
              <w:ind w:left="120"/>
              <w:rPr>
                <w:sz w:val="20"/>
              </w:rPr>
            </w:pPr>
            <w:r>
              <w:rPr>
                <w:sz w:val="20"/>
              </w:rPr>
              <w:t>Ki-kare testi, binom testi</w:t>
            </w:r>
          </w:p>
        </w:tc>
      </w:tr>
      <w:tr>
        <w:trPr>
          <w:trHeight w:val="458" w:hRule="atLeast"/>
        </w:trPr>
        <w:tc>
          <w:tcPr>
            <w:tcW w:w="522" w:type="dxa"/>
            <w:tcBorders>
              <w:top w:val="single" w:sz="4" w:space="0" w:color="7E7E7E"/>
              <w:bottom w:val="single" w:sz="4" w:space="0" w:color="7E7E7E"/>
            </w:tcBorders>
          </w:tcPr>
          <w:p>
            <w:pPr>
              <w:pStyle w:val="TableParagraph"/>
              <w:ind w:left="122"/>
              <w:rPr>
                <w:sz w:val="20"/>
              </w:rPr>
            </w:pPr>
            <w:r>
              <w:rPr>
                <w:sz w:val="20"/>
              </w:rPr>
              <w:t>25</w:t>
            </w:r>
          </w:p>
        </w:tc>
        <w:tc>
          <w:tcPr>
            <w:tcW w:w="1559" w:type="dxa"/>
            <w:tcBorders>
              <w:top w:val="single" w:sz="4" w:space="0" w:color="7E7E7E"/>
              <w:bottom w:val="single" w:sz="4" w:space="0" w:color="7E7E7E"/>
            </w:tcBorders>
          </w:tcPr>
          <w:p>
            <w:pPr>
              <w:pStyle w:val="TableParagraph"/>
              <w:spacing w:line="228" w:lineRule="exact" w:before="4"/>
              <w:ind w:left="197" w:right="631"/>
              <w:rPr>
                <w:sz w:val="20"/>
              </w:rPr>
            </w:pPr>
            <w:r>
              <w:rPr>
                <w:sz w:val="20"/>
              </w:rPr>
              <w:t>Baek vd. (2015)</w:t>
            </w:r>
          </w:p>
        </w:tc>
        <w:tc>
          <w:tcPr>
            <w:tcW w:w="1894" w:type="dxa"/>
            <w:tcBorders>
              <w:top w:val="single" w:sz="4" w:space="0" w:color="7E7E7E"/>
              <w:bottom w:val="single" w:sz="4" w:space="0" w:color="7E7E7E"/>
            </w:tcBorders>
          </w:tcPr>
          <w:p>
            <w:pPr>
              <w:pStyle w:val="TableParagraph"/>
              <w:ind w:left="110"/>
              <w:rPr>
                <w:sz w:val="20"/>
              </w:rPr>
            </w:pPr>
            <w:r>
              <w:rPr>
                <w:sz w:val="20"/>
              </w:rPr>
              <w:t>23 ürün kategorisi</w:t>
            </w:r>
          </w:p>
        </w:tc>
        <w:tc>
          <w:tcPr>
            <w:tcW w:w="984" w:type="dxa"/>
            <w:tcBorders>
              <w:top w:val="single" w:sz="4" w:space="0" w:color="7E7E7E"/>
              <w:bottom w:val="single" w:sz="4" w:space="0" w:color="7E7E7E"/>
            </w:tcBorders>
          </w:tcPr>
          <w:p>
            <w:pPr>
              <w:pStyle w:val="TableParagraph"/>
              <w:ind w:left="129"/>
              <w:rPr>
                <w:sz w:val="20"/>
              </w:rPr>
            </w:pPr>
            <w:r>
              <w:rPr>
                <w:sz w:val="20"/>
              </w:rPr>
              <w:t>Bireysel</w:t>
            </w:r>
          </w:p>
        </w:tc>
        <w:tc>
          <w:tcPr>
            <w:tcW w:w="1234" w:type="dxa"/>
            <w:tcBorders>
              <w:top w:val="single" w:sz="4" w:space="0" w:color="7E7E7E"/>
              <w:bottom w:val="single" w:sz="4" w:space="0" w:color="7E7E7E"/>
            </w:tcBorders>
          </w:tcPr>
          <w:p>
            <w:pPr>
              <w:pStyle w:val="TableParagraph"/>
              <w:ind w:left="173"/>
              <w:rPr>
                <w:sz w:val="20"/>
              </w:rPr>
            </w:pPr>
            <w:r>
              <w:rPr>
                <w:sz w:val="20"/>
              </w:rPr>
              <w:t>Tekli Kesit</w:t>
            </w:r>
          </w:p>
        </w:tc>
        <w:tc>
          <w:tcPr>
            <w:tcW w:w="2810" w:type="dxa"/>
            <w:tcBorders>
              <w:top w:val="single" w:sz="4" w:space="0" w:color="7E7E7E"/>
              <w:bottom w:val="single" w:sz="4" w:space="0" w:color="7E7E7E"/>
            </w:tcBorders>
          </w:tcPr>
          <w:p>
            <w:pPr>
              <w:pStyle w:val="TableParagraph"/>
              <w:spacing w:line="228" w:lineRule="exact" w:before="4"/>
              <w:ind w:left="120" w:right="503"/>
              <w:rPr>
                <w:sz w:val="20"/>
              </w:rPr>
            </w:pPr>
            <w:r>
              <w:rPr>
                <w:sz w:val="20"/>
              </w:rPr>
              <w:t>ANOVA, lineer regresyon, kuadratik regresyon</w:t>
            </w:r>
          </w:p>
        </w:tc>
      </w:tr>
      <w:tr>
        <w:trPr>
          <w:trHeight w:val="458"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26</w:t>
            </w:r>
          </w:p>
        </w:tc>
        <w:tc>
          <w:tcPr>
            <w:tcW w:w="1559" w:type="dxa"/>
            <w:tcBorders>
              <w:top w:val="single" w:sz="4" w:space="0" w:color="7E7E7E"/>
              <w:bottom w:val="single" w:sz="4" w:space="0" w:color="7E7E7E"/>
            </w:tcBorders>
          </w:tcPr>
          <w:p>
            <w:pPr>
              <w:pStyle w:val="TableParagraph"/>
              <w:spacing w:line="232" w:lineRule="exact"/>
              <w:ind w:left="197" w:right="642"/>
              <w:rPr>
                <w:sz w:val="20"/>
              </w:rPr>
            </w:pPr>
            <w:r>
              <w:rPr>
                <w:sz w:val="20"/>
              </w:rPr>
              <w:t>Shen vd. (2015)</w:t>
            </w:r>
          </w:p>
        </w:tc>
        <w:tc>
          <w:tcPr>
            <w:tcW w:w="1894" w:type="dxa"/>
            <w:tcBorders>
              <w:top w:val="single" w:sz="4" w:space="0" w:color="7E7E7E"/>
              <w:bottom w:val="single" w:sz="4" w:space="0" w:color="7E7E7E"/>
            </w:tcBorders>
          </w:tcPr>
          <w:p>
            <w:pPr>
              <w:pStyle w:val="TableParagraph"/>
              <w:spacing w:line="228" w:lineRule="exact"/>
              <w:ind w:left="110"/>
              <w:rPr>
                <w:sz w:val="20"/>
              </w:rPr>
            </w:pPr>
            <w:r>
              <w:rPr>
                <w:sz w:val="20"/>
              </w:rPr>
              <w:t>Kitap</w:t>
            </w:r>
          </w:p>
        </w:tc>
        <w:tc>
          <w:tcPr>
            <w:tcW w:w="984" w:type="dxa"/>
            <w:tcBorders>
              <w:top w:val="single" w:sz="4" w:space="0" w:color="7E7E7E"/>
              <w:bottom w:val="single" w:sz="4" w:space="0" w:color="7E7E7E"/>
            </w:tcBorders>
          </w:tcPr>
          <w:p>
            <w:pPr>
              <w:pStyle w:val="TableParagraph"/>
              <w:spacing w:line="228" w:lineRule="exact"/>
              <w:ind w:left="129"/>
              <w:rPr>
                <w:sz w:val="20"/>
              </w:rPr>
            </w:pPr>
            <w:r>
              <w:rPr>
                <w:sz w:val="20"/>
              </w:rPr>
              <w:t>Bireysel</w:t>
            </w:r>
          </w:p>
        </w:tc>
        <w:tc>
          <w:tcPr>
            <w:tcW w:w="1234" w:type="dxa"/>
            <w:tcBorders>
              <w:top w:val="single" w:sz="4" w:space="0" w:color="7E7E7E"/>
              <w:bottom w:val="single" w:sz="4" w:space="0" w:color="7E7E7E"/>
            </w:tcBorders>
          </w:tcPr>
          <w:p>
            <w:pPr>
              <w:pStyle w:val="TableParagraph"/>
              <w:spacing w:line="228" w:lineRule="exact"/>
              <w:ind w:left="173"/>
              <w:rPr>
                <w:sz w:val="20"/>
              </w:rPr>
            </w:pPr>
            <w:r>
              <w:rPr>
                <w:sz w:val="20"/>
              </w:rPr>
              <w:t>Panel</w:t>
            </w:r>
          </w:p>
        </w:tc>
        <w:tc>
          <w:tcPr>
            <w:tcW w:w="2810" w:type="dxa"/>
            <w:tcBorders>
              <w:top w:val="single" w:sz="4" w:space="0" w:color="7E7E7E"/>
              <w:bottom w:val="single" w:sz="4" w:space="0" w:color="7E7E7E"/>
            </w:tcBorders>
          </w:tcPr>
          <w:p>
            <w:pPr>
              <w:pStyle w:val="TableParagraph"/>
              <w:spacing w:line="228" w:lineRule="exact"/>
              <w:ind w:left="120"/>
              <w:rPr>
                <w:sz w:val="20"/>
              </w:rPr>
            </w:pPr>
            <w:r>
              <w:rPr>
                <w:sz w:val="20"/>
              </w:rPr>
              <w:t>Maksimum olabilirlik yöntemi</w:t>
            </w:r>
          </w:p>
        </w:tc>
      </w:tr>
      <w:tr>
        <w:trPr>
          <w:trHeight w:val="685" w:hRule="atLeast"/>
        </w:trPr>
        <w:tc>
          <w:tcPr>
            <w:tcW w:w="522" w:type="dxa"/>
            <w:tcBorders>
              <w:top w:val="single" w:sz="4" w:space="0" w:color="7E7E7E"/>
              <w:bottom w:val="single" w:sz="4" w:space="0" w:color="7E7E7E"/>
            </w:tcBorders>
          </w:tcPr>
          <w:p>
            <w:pPr>
              <w:pStyle w:val="TableParagraph"/>
              <w:spacing w:line="225" w:lineRule="exact"/>
              <w:ind w:left="122"/>
              <w:rPr>
                <w:sz w:val="20"/>
              </w:rPr>
            </w:pPr>
            <w:r>
              <w:rPr>
                <w:sz w:val="20"/>
              </w:rPr>
              <w:t>27</w:t>
            </w:r>
          </w:p>
        </w:tc>
        <w:tc>
          <w:tcPr>
            <w:tcW w:w="1559" w:type="dxa"/>
            <w:tcBorders>
              <w:top w:val="single" w:sz="4" w:space="0" w:color="7E7E7E"/>
              <w:bottom w:val="single" w:sz="4" w:space="0" w:color="7E7E7E"/>
            </w:tcBorders>
          </w:tcPr>
          <w:p>
            <w:pPr>
              <w:pStyle w:val="TableParagraph"/>
              <w:ind w:left="197"/>
              <w:rPr>
                <w:sz w:val="20"/>
              </w:rPr>
            </w:pPr>
            <w:r>
              <w:rPr>
                <w:sz w:val="20"/>
              </w:rPr>
              <w:t>Tamimi ve </w:t>
            </w:r>
            <w:r>
              <w:rPr>
                <w:w w:val="95"/>
                <w:sz w:val="20"/>
              </w:rPr>
              <w:t>Sebastianelli</w:t>
            </w:r>
          </w:p>
          <w:p>
            <w:pPr>
              <w:pStyle w:val="TableParagraph"/>
              <w:spacing w:line="210" w:lineRule="exact"/>
              <w:ind w:left="197"/>
              <w:rPr>
                <w:sz w:val="20"/>
              </w:rPr>
            </w:pPr>
            <w:r>
              <w:rPr>
                <w:sz w:val="20"/>
              </w:rPr>
              <w:t>(2015)</w:t>
            </w:r>
          </w:p>
        </w:tc>
        <w:tc>
          <w:tcPr>
            <w:tcW w:w="1894" w:type="dxa"/>
            <w:tcBorders>
              <w:top w:val="single" w:sz="4" w:space="0" w:color="7E7E7E"/>
              <w:bottom w:val="single" w:sz="4" w:space="0" w:color="7E7E7E"/>
            </w:tcBorders>
          </w:tcPr>
          <w:p>
            <w:pPr>
              <w:pStyle w:val="TableParagraph"/>
              <w:spacing w:line="225" w:lineRule="exact"/>
              <w:ind w:left="110"/>
              <w:rPr>
                <w:sz w:val="20"/>
              </w:rPr>
            </w:pPr>
            <w:r>
              <w:rPr>
                <w:sz w:val="20"/>
              </w:rPr>
              <w:t>Ipod ve saat</w:t>
            </w:r>
          </w:p>
        </w:tc>
        <w:tc>
          <w:tcPr>
            <w:tcW w:w="984" w:type="dxa"/>
            <w:tcBorders>
              <w:top w:val="single" w:sz="4" w:space="0" w:color="7E7E7E"/>
              <w:bottom w:val="single" w:sz="4" w:space="0" w:color="7E7E7E"/>
            </w:tcBorders>
          </w:tcPr>
          <w:p>
            <w:pPr>
              <w:pStyle w:val="TableParagraph"/>
              <w:spacing w:line="225" w:lineRule="exact"/>
              <w:ind w:left="129"/>
              <w:rPr>
                <w:sz w:val="20"/>
              </w:rPr>
            </w:pPr>
            <w:r>
              <w:rPr>
                <w:sz w:val="20"/>
              </w:rPr>
              <w:t>Bireysel</w:t>
            </w:r>
          </w:p>
        </w:tc>
        <w:tc>
          <w:tcPr>
            <w:tcW w:w="1234" w:type="dxa"/>
            <w:tcBorders>
              <w:top w:val="single" w:sz="4" w:space="0" w:color="7E7E7E"/>
              <w:bottom w:val="single" w:sz="4" w:space="0" w:color="7E7E7E"/>
            </w:tcBorders>
          </w:tcPr>
          <w:p>
            <w:pPr>
              <w:pStyle w:val="TableParagraph"/>
              <w:spacing w:line="225" w:lineRule="exact"/>
              <w:ind w:left="173"/>
              <w:rPr>
                <w:sz w:val="20"/>
              </w:rPr>
            </w:pPr>
            <w:r>
              <w:rPr>
                <w:sz w:val="20"/>
              </w:rPr>
              <w:t>Tekli Kesit</w:t>
            </w:r>
          </w:p>
        </w:tc>
        <w:tc>
          <w:tcPr>
            <w:tcW w:w="2810" w:type="dxa"/>
            <w:tcBorders>
              <w:top w:val="single" w:sz="4" w:space="0" w:color="7E7E7E"/>
              <w:bottom w:val="single" w:sz="4" w:space="0" w:color="7E7E7E"/>
            </w:tcBorders>
          </w:tcPr>
          <w:p>
            <w:pPr>
              <w:pStyle w:val="TableParagraph"/>
              <w:spacing w:line="225" w:lineRule="exact"/>
              <w:ind w:left="120"/>
              <w:rPr>
                <w:sz w:val="20"/>
              </w:rPr>
            </w:pPr>
            <w:r>
              <w:rPr>
                <w:sz w:val="20"/>
              </w:rPr>
              <w:t>Konjoint, regresyon</w:t>
            </w:r>
          </w:p>
        </w:tc>
      </w:tr>
      <w:tr>
        <w:trPr>
          <w:trHeight w:val="688" w:hRule="atLeast"/>
        </w:trPr>
        <w:tc>
          <w:tcPr>
            <w:tcW w:w="522" w:type="dxa"/>
            <w:tcBorders>
              <w:top w:val="single" w:sz="4" w:space="0" w:color="7E7E7E"/>
              <w:bottom w:val="single" w:sz="4" w:space="0" w:color="7E7E7E"/>
            </w:tcBorders>
          </w:tcPr>
          <w:p>
            <w:pPr>
              <w:pStyle w:val="TableParagraph"/>
              <w:ind w:left="122"/>
              <w:rPr>
                <w:sz w:val="20"/>
              </w:rPr>
            </w:pPr>
            <w:r>
              <w:rPr>
                <w:sz w:val="20"/>
              </w:rPr>
              <w:t>28</w:t>
            </w:r>
          </w:p>
        </w:tc>
        <w:tc>
          <w:tcPr>
            <w:tcW w:w="1559" w:type="dxa"/>
            <w:tcBorders>
              <w:top w:val="single" w:sz="4" w:space="0" w:color="7E7E7E"/>
              <w:bottom w:val="single" w:sz="4" w:space="0" w:color="7E7E7E"/>
            </w:tcBorders>
          </w:tcPr>
          <w:p>
            <w:pPr>
              <w:pStyle w:val="TableParagraph"/>
              <w:ind w:left="197"/>
              <w:rPr>
                <w:sz w:val="20"/>
              </w:rPr>
            </w:pPr>
            <w:r>
              <w:rPr>
                <w:sz w:val="20"/>
              </w:rPr>
              <w:t>Wan (2015)</w:t>
            </w:r>
          </w:p>
        </w:tc>
        <w:tc>
          <w:tcPr>
            <w:tcW w:w="1894" w:type="dxa"/>
            <w:tcBorders>
              <w:top w:val="single" w:sz="4" w:space="0" w:color="7E7E7E"/>
              <w:bottom w:val="single" w:sz="4" w:space="0" w:color="7E7E7E"/>
            </w:tcBorders>
          </w:tcPr>
          <w:p>
            <w:pPr>
              <w:pStyle w:val="TableParagraph"/>
              <w:ind w:left="110"/>
              <w:rPr>
                <w:sz w:val="20"/>
              </w:rPr>
            </w:pPr>
            <w:r>
              <w:rPr>
                <w:sz w:val="20"/>
              </w:rPr>
              <w:t>Yazıcı, müzik CD,</w:t>
            </w:r>
          </w:p>
          <w:p>
            <w:pPr>
              <w:pStyle w:val="TableParagraph"/>
              <w:spacing w:line="228" w:lineRule="exact" w:before="5"/>
              <w:ind w:left="110" w:right="519"/>
              <w:rPr>
                <w:sz w:val="20"/>
              </w:rPr>
            </w:pPr>
            <w:r>
              <w:rPr>
                <w:sz w:val="20"/>
              </w:rPr>
              <w:t>vitamin ve gıda takviyesi</w:t>
            </w:r>
          </w:p>
        </w:tc>
        <w:tc>
          <w:tcPr>
            <w:tcW w:w="984" w:type="dxa"/>
            <w:tcBorders>
              <w:top w:val="single" w:sz="4" w:space="0" w:color="7E7E7E"/>
              <w:bottom w:val="single" w:sz="4" w:space="0" w:color="7E7E7E"/>
            </w:tcBorders>
          </w:tcPr>
          <w:p>
            <w:pPr>
              <w:pStyle w:val="TableParagraph"/>
              <w:ind w:left="129"/>
              <w:rPr>
                <w:sz w:val="20"/>
              </w:rPr>
            </w:pPr>
            <w:r>
              <w:rPr>
                <w:sz w:val="20"/>
              </w:rPr>
              <w:t>Bireysel</w:t>
            </w:r>
          </w:p>
        </w:tc>
        <w:tc>
          <w:tcPr>
            <w:tcW w:w="1234" w:type="dxa"/>
            <w:tcBorders>
              <w:top w:val="single" w:sz="4" w:space="0" w:color="7E7E7E"/>
              <w:bottom w:val="single" w:sz="4" w:space="0" w:color="7E7E7E"/>
            </w:tcBorders>
          </w:tcPr>
          <w:p>
            <w:pPr>
              <w:pStyle w:val="TableParagraph"/>
              <w:ind w:left="173"/>
              <w:rPr>
                <w:sz w:val="20"/>
              </w:rPr>
            </w:pPr>
            <w:r>
              <w:rPr>
                <w:sz w:val="20"/>
              </w:rPr>
              <w:t>Panel</w:t>
            </w:r>
          </w:p>
        </w:tc>
        <w:tc>
          <w:tcPr>
            <w:tcW w:w="2810" w:type="dxa"/>
            <w:tcBorders>
              <w:top w:val="single" w:sz="4" w:space="0" w:color="7E7E7E"/>
              <w:bottom w:val="single" w:sz="4" w:space="0" w:color="7E7E7E"/>
            </w:tcBorders>
          </w:tcPr>
          <w:p>
            <w:pPr>
              <w:pStyle w:val="TableParagraph"/>
              <w:ind w:left="120" w:right="731"/>
              <w:rPr>
                <w:sz w:val="20"/>
              </w:rPr>
            </w:pPr>
            <w:r>
              <w:rPr>
                <w:sz w:val="20"/>
              </w:rPr>
              <w:t>Frekans analizi, pearson korelasyon analizi</w:t>
            </w:r>
          </w:p>
        </w:tc>
      </w:tr>
      <w:tr>
        <w:trPr>
          <w:trHeight w:val="687"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29</w:t>
            </w:r>
          </w:p>
        </w:tc>
        <w:tc>
          <w:tcPr>
            <w:tcW w:w="1559" w:type="dxa"/>
            <w:tcBorders>
              <w:top w:val="single" w:sz="4" w:space="0" w:color="7E7E7E"/>
              <w:bottom w:val="single" w:sz="4" w:space="0" w:color="7E7E7E"/>
            </w:tcBorders>
          </w:tcPr>
          <w:p>
            <w:pPr>
              <w:pStyle w:val="TableParagraph"/>
              <w:ind w:left="197" w:right="286"/>
              <w:rPr>
                <w:sz w:val="20"/>
              </w:rPr>
            </w:pPr>
            <w:r>
              <w:rPr>
                <w:sz w:val="20"/>
              </w:rPr>
              <w:t>Weathers vd. (2015)</w:t>
            </w:r>
          </w:p>
        </w:tc>
        <w:tc>
          <w:tcPr>
            <w:tcW w:w="1894" w:type="dxa"/>
            <w:tcBorders>
              <w:top w:val="single" w:sz="4" w:space="0" w:color="7E7E7E"/>
              <w:bottom w:val="single" w:sz="4" w:space="0" w:color="7E7E7E"/>
            </w:tcBorders>
          </w:tcPr>
          <w:p>
            <w:pPr>
              <w:pStyle w:val="TableParagraph"/>
              <w:spacing w:line="230" w:lineRule="exact"/>
              <w:ind w:left="110" w:right="281"/>
              <w:rPr>
                <w:sz w:val="20"/>
              </w:rPr>
            </w:pPr>
            <w:r>
              <w:rPr>
                <w:sz w:val="20"/>
              </w:rPr>
              <w:t>Araştırma ürünleri ve deneyim ürünleri*</w:t>
            </w:r>
          </w:p>
        </w:tc>
        <w:tc>
          <w:tcPr>
            <w:tcW w:w="984" w:type="dxa"/>
            <w:tcBorders>
              <w:top w:val="single" w:sz="4" w:space="0" w:color="7E7E7E"/>
              <w:bottom w:val="single" w:sz="4" w:space="0" w:color="7E7E7E"/>
            </w:tcBorders>
          </w:tcPr>
          <w:p>
            <w:pPr>
              <w:pStyle w:val="TableParagraph"/>
              <w:spacing w:line="228" w:lineRule="exact"/>
              <w:ind w:left="129"/>
              <w:rPr>
                <w:sz w:val="20"/>
              </w:rPr>
            </w:pPr>
            <w:r>
              <w:rPr>
                <w:sz w:val="20"/>
              </w:rPr>
              <w:t>Bireysel</w:t>
            </w:r>
          </w:p>
        </w:tc>
        <w:tc>
          <w:tcPr>
            <w:tcW w:w="1234" w:type="dxa"/>
            <w:tcBorders>
              <w:top w:val="single" w:sz="4" w:space="0" w:color="7E7E7E"/>
              <w:bottom w:val="single" w:sz="4" w:space="0" w:color="7E7E7E"/>
            </w:tcBorders>
          </w:tcPr>
          <w:p>
            <w:pPr>
              <w:pStyle w:val="TableParagraph"/>
              <w:spacing w:line="228" w:lineRule="exact"/>
              <w:ind w:left="173"/>
              <w:rPr>
                <w:sz w:val="20"/>
              </w:rPr>
            </w:pPr>
            <w:r>
              <w:rPr>
                <w:sz w:val="20"/>
              </w:rPr>
              <w:t>Tekli Kesit</w:t>
            </w:r>
          </w:p>
        </w:tc>
        <w:tc>
          <w:tcPr>
            <w:tcW w:w="2810" w:type="dxa"/>
            <w:tcBorders>
              <w:top w:val="single" w:sz="4" w:space="0" w:color="7E7E7E"/>
              <w:bottom w:val="single" w:sz="4" w:space="0" w:color="7E7E7E"/>
            </w:tcBorders>
          </w:tcPr>
          <w:p>
            <w:pPr>
              <w:pStyle w:val="TableParagraph"/>
              <w:ind w:left="120" w:right="148"/>
              <w:rPr>
                <w:sz w:val="20"/>
              </w:rPr>
            </w:pPr>
            <w:r>
              <w:rPr>
                <w:sz w:val="20"/>
              </w:rPr>
              <w:t>Çok boyutlu ölçekleme, lojistik regresyon</w:t>
            </w:r>
          </w:p>
        </w:tc>
      </w:tr>
    </w:tbl>
    <w:p>
      <w:pPr>
        <w:spacing w:after="0"/>
        <w:rPr>
          <w:sz w:val="20"/>
        </w:rPr>
        <w:sectPr>
          <w:pgSz w:w="12240" w:h="15840"/>
          <w:pgMar w:header="718" w:footer="0" w:top="1300" w:bottom="280" w:left="1720" w:right="820"/>
        </w:sectPr>
      </w:pPr>
    </w:p>
    <w:p>
      <w:pPr>
        <w:pStyle w:val="BodyText"/>
        <w:spacing w:before="9"/>
        <w:ind w:left="0"/>
        <w:jc w:val="left"/>
        <w:rPr>
          <w:sz w:val="8"/>
        </w:rPr>
      </w:pP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
        <w:gridCol w:w="1559"/>
        <w:gridCol w:w="1900"/>
        <w:gridCol w:w="968"/>
        <w:gridCol w:w="1218"/>
        <w:gridCol w:w="2834"/>
      </w:tblGrid>
      <w:tr>
        <w:trPr>
          <w:trHeight w:val="460" w:hRule="atLeast"/>
        </w:trPr>
        <w:tc>
          <w:tcPr>
            <w:tcW w:w="522" w:type="dxa"/>
            <w:tcBorders>
              <w:top w:val="single" w:sz="4" w:space="0" w:color="7E7E7E"/>
              <w:bottom w:val="single" w:sz="4" w:space="0" w:color="7E7E7E"/>
            </w:tcBorders>
          </w:tcPr>
          <w:p>
            <w:pPr>
              <w:pStyle w:val="TableParagraph"/>
              <w:ind w:left="122"/>
              <w:rPr>
                <w:sz w:val="20"/>
              </w:rPr>
            </w:pPr>
            <w:r>
              <w:rPr>
                <w:sz w:val="20"/>
              </w:rPr>
              <w:t>30</w:t>
            </w:r>
          </w:p>
        </w:tc>
        <w:tc>
          <w:tcPr>
            <w:tcW w:w="1559" w:type="dxa"/>
            <w:tcBorders>
              <w:top w:val="single" w:sz="4" w:space="0" w:color="7E7E7E"/>
              <w:bottom w:val="single" w:sz="4" w:space="0" w:color="7E7E7E"/>
            </w:tcBorders>
          </w:tcPr>
          <w:p>
            <w:pPr>
              <w:pStyle w:val="TableParagraph"/>
              <w:spacing w:line="230" w:lineRule="exact" w:before="3"/>
              <w:ind w:left="197" w:right="197"/>
              <w:rPr>
                <w:sz w:val="20"/>
              </w:rPr>
            </w:pPr>
            <w:r>
              <w:rPr>
                <w:sz w:val="20"/>
              </w:rPr>
              <w:t>Zhou ve Duan (2015)</w:t>
            </w:r>
          </w:p>
        </w:tc>
        <w:tc>
          <w:tcPr>
            <w:tcW w:w="1900" w:type="dxa"/>
            <w:tcBorders>
              <w:top w:val="single" w:sz="4" w:space="0" w:color="7E7E7E"/>
              <w:bottom w:val="single" w:sz="4" w:space="0" w:color="7E7E7E"/>
            </w:tcBorders>
          </w:tcPr>
          <w:p>
            <w:pPr>
              <w:pStyle w:val="TableParagraph"/>
              <w:ind w:left="110"/>
              <w:rPr>
                <w:sz w:val="20"/>
              </w:rPr>
            </w:pPr>
            <w:r>
              <w:rPr>
                <w:sz w:val="20"/>
              </w:rPr>
              <w:t>Yazılım</w:t>
            </w:r>
          </w:p>
        </w:tc>
        <w:tc>
          <w:tcPr>
            <w:tcW w:w="968" w:type="dxa"/>
            <w:tcBorders>
              <w:top w:val="single" w:sz="4" w:space="0" w:color="7E7E7E"/>
              <w:bottom w:val="single" w:sz="4" w:space="0" w:color="7E7E7E"/>
            </w:tcBorders>
          </w:tcPr>
          <w:p>
            <w:pPr>
              <w:pStyle w:val="TableParagraph"/>
              <w:ind w:left="123"/>
              <w:rPr>
                <w:sz w:val="20"/>
              </w:rPr>
            </w:pPr>
            <w:r>
              <w:rPr>
                <w:sz w:val="20"/>
              </w:rPr>
              <w:t>Pazar</w:t>
            </w:r>
          </w:p>
        </w:tc>
        <w:tc>
          <w:tcPr>
            <w:tcW w:w="1218" w:type="dxa"/>
            <w:tcBorders>
              <w:top w:val="single" w:sz="4" w:space="0" w:color="7E7E7E"/>
              <w:bottom w:val="single" w:sz="4" w:space="0" w:color="7E7E7E"/>
            </w:tcBorders>
          </w:tcPr>
          <w:p>
            <w:pPr>
              <w:pStyle w:val="TableParagraph"/>
              <w:ind w:left="183"/>
              <w:rPr>
                <w:sz w:val="20"/>
              </w:rPr>
            </w:pPr>
            <w:r>
              <w:rPr>
                <w:sz w:val="20"/>
              </w:rPr>
              <w:t>Panel</w:t>
            </w:r>
          </w:p>
        </w:tc>
        <w:tc>
          <w:tcPr>
            <w:tcW w:w="2834" w:type="dxa"/>
            <w:tcBorders>
              <w:top w:val="single" w:sz="4" w:space="0" w:color="7E7E7E"/>
              <w:bottom w:val="single" w:sz="4" w:space="0" w:color="7E7E7E"/>
            </w:tcBorders>
          </w:tcPr>
          <w:p>
            <w:pPr>
              <w:pStyle w:val="TableParagraph"/>
              <w:spacing w:line="230" w:lineRule="exact" w:before="3"/>
              <w:ind w:left="146" w:right="374"/>
              <w:rPr>
                <w:sz w:val="20"/>
              </w:rPr>
            </w:pPr>
            <w:r>
              <w:rPr>
                <w:sz w:val="20"/>
              </w:rPr>
              <w:t>Markov Zinciri Monte Carlo (MCMC) yöntemi</w:t>
            </w:r>
          </w:p>
        </w:tc>
      </w:tr>
      <w:tr>
        <w:trPr>
          <w:trHeight w:val="455"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31</w:t>
            </w:r>
          </w:p>
        </w:tc>
        <w:tc>
          <w:tcPr>
            <w:tcW w:w="1559" w:type="dxa"/>
            <w:tcBorders>
              <w:top w:val="single" w:sz="4" w:space="0" w:color="7E7E7E"/>
              <w:bottom w:val="single" w:sz="4" w:space="0" w:color="7E7E7E"/>
            </w:tcBorders>
          </w:tcPr>
          <w:p>
            <w:pPr>
              <w:pStyle w:val="TableParagraph"/>
              <w:spacing w:line="228" w:lineRule="exact" w:before="2"/>
              <w:ind w:left="197" w:right="208"/>
              <w:rPr>
                <w:sz w:val="20"/>
              </w:rPr>
            </w:pPr>
            <w:r>
              <w:rPr>
                <w:sz w:val="20"/>
              </w:rPr>
              <w:t>Bao ve Chang (2016)</w:t>
            </w:r>
          </w:p>
        </w:tc>
        <w:tc>
          <w:tcPr>
            <w:tcW w:w="1900" w:type="dxa"/>
            <w:tcBorders>
              <w:top w:val="single" w:sz="4" w:space="0" w:color="7E7E7E"/>
              <w:bottom w:val="single" w:sz="4" w:space="0" w:color="7E7E7E"/>
            </w:tcBorders>
          </w:tcPr>
          <w:p>
            <w:pPr>
              <w:pStyle w:val="TableParagraph"/>
              <w:spacing w:line="228" w:lineRule="exact" w:before="2"/>
              <w:ind w:left="110" w:right="181"/>
              <w:rPr>
                <w:sz w:val="20"/>
              </w:rPr>
            </w:pPr>
            <w:r>
              <w:rPr>
                <w:sz w:val="20"/>
              </w:rPr>
              <w:t>Kitap, müzik, video ve DVD</w:t>
            </w:r>
          </w:p>
        </w:tc>
        <w:tc>
          <w:tcPr>
            <w:tcW w:w="968" w:type="dxa"/>
            <w:tcBorders>
              <w:top w:val="single" w:sz="4" w:space="0" w:color="7E7E7E"/>
              <w:bottom w:val="single" w:sz="4" w:space="0" w:color="7E7E7E"/>
            </w:tcBorders>
          </w:tcPr>
          <w:p>
            <w:pPr>
              <w:pStyle w:val="TableParagraph"/>
              <w:spacing w:line="228" w:lineRule="exact"/>
              <w:ind w:left="123"/>
              <w:rPr>
                <w:sz w:val="20"/>
              </w:rPr>
            </w:pPr>
            <w:r>
              <w:rPr>
                <w:sz w:val="20"/>
              </w:rPr>
              <w:t>Pazar</w:t>
            </w:r>
          </w:p>
        </w:tc>
        <w:tc>
          <w:tcPr>
            <w:tcW w:w="1218" w:type="dxa"/>
            <w:tcBorders>
              <w:top w:val="single" w:sz="4" w:space="0" w:color="7E7E7E"/>
              <w:bottom w:val="single" w:sz="4" w:space="0" w:color="7E7E7E"/>
            </w:tcBorders>
          </w:tcPr>
          <w:p>
            <w:pPr>
              <w:pStyle w:val="TableParagraph"/>
              <w:spacing w:line="228" w:lineRule="exact"/>
              <w:ind w:left="183"/>
              <w:rPr>
                <w:sz w:val="20"/>
              </w:rPr>
            </w:pPr>
            <w:r>
              <w:rPr>
                <w:sz w:val="20"/>
              </w:rPr>
              <w:t>Tekli Kesit</w:t>
            </w:r>
          </w:p>
        </w:tc>
        <w:tc>
          <w:tcPr>
            <w:tcW w:w="2834" w:type="dxa"/>
            <w:tcBorders>
              <w:top w:val="single" w:sz="4" w:space="0" w:color="7E7E7E"/>
              <w:bottom w:val="single" w:sz="4" w:space="0" w:color="7E7E7E"/>
            </w:tcBorders>
          </w:tcPr>
          <w:p>
            <w:pPr>
              <w:pStyle w:val="TableParagraph"/>
              <w:spacing w:line="228" w:lineRule="exact"/>
              <w:ind w:left="146"/>
              <w:rPr>
                <w:sz w:val="20"/>
              </w:rPr>
            </w:pPr>
            <w:r>
              <w:rPr>
                <w:sz w:val="20"/>
              </w:rPr>
              <w:t>Logaritmik regresyon</w:t>
            </w:r>
          </w:p>
        </w:tc>
      </w:tr>
      <w:tr>
        <w:trPr>
          <w:trHeight w:val="458"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32</w:t>
            </w:r>
          </w:p>
        </w:tc>
        <w:tc>
          <w:tcPr>
            <w:tcW w:w="1559" w:type="dxa"/>
            <w:tcBorders>
              <w:top w:val="single" w:sz="4" w:space="0" w:color="7E7E7E"/>
              <w:bottom w:val="single" w:sz="4" w:space="0" w:color="7E7E7E"/>
            </w:tcBorders>
          </w:tcPr>
          <w:p>
            <w:pPr>
              <w:pStyle w:val="TableParagraph"/>
              <w:spacing w:line="230" w:lineRule="exact" w:before="1"/>
              <w:ind w:left="197" w:right="508"/>
              <w:rPr>
                <w:sz w:val="20"/>
              </w:rPr>
            </w:pPr>
            <w:r>
              <w:rPr>
                <w:sz w:val="20"/>
              </w:rPr>
              <w:t>Chong vd. (2016)</w:t>
            </w:r>
          </w:p>
        </w:tc>
        <w:tc>
          <w:tcPr>
            <w:tcW w:w="1900" w:type="dxa"/>
            <w:tcBorders>
              <w:top w:val="single" w:sz="4" w:space="0" w:color="7E7E7E"/>
              <w:bottom w:val="single" w:sz="4" w:space="0" w:color="7E7E7E"/>
            </w:tcBorders>
          </w:tcPr>
          <w:p>
            <w:pPr>
              <w:pStyle w:val="TableParagraph"/>
              <w:spacing w:line="228" w:lineRule="exact"/>
              <w:ind w:left="110"/>
              <w:rPr>
                <w:sz w:val="20"/>
              </w:rPr>
            </w:pPr>
            <w:r>
              <w:rPr>
                <w:sz w:val="20"/>
              </w:rPr>
              <w:t>Elektronik</w:t>
            </w:r>
          </w:p>
        </w:tc>
        <w:tc>
          <w:tcPr>
            <w:tcW w:w="968" w:type="dxa"/>
            <w:tcBorders>
              <w:top w:val="single" w:sz="4" w:space="0" w:color="7E7E7E"/>
              <w:bottom w:val="single" w:sz="4" w:space="0" w:color="7E7E7E"/>
            </w:tcBorders>
          </w:tcPr>
          <w:p>
            <w:pPr>
              <w:pStyle w:val="TableParagraph"/>
              <w:spacing w:line="228" w:lineRule="exact"/>
              <w:ind w:left="123"/>
              <w:rPr>
                <w:sz w:val="20"/>
              </w:rPr>
            </w:pPr>
            <w:r>
              <w:rPr>
                <w:sz w:val="20"/>
              </w:rPr>
              <w:t>Pazar</w:t>
            </w:r>
          </w:p>
        </w:tc>
        <w:tc>
          <w:tcPr>
            <w:tcW w:w="1218" w:type="dxa"/>
            <w:tcBorders>
              <w:top w:val="single" w:sz="4" w:space="0" w:color="7E7E7E"/>
              <w:bottom w:val="single" w:sz="4" w:space="0" w:color="7E7E7E"/>
            </w:tcBorders>
          </w:tcPr>
          <w:p>
            <w:pPr>
              <w:pStyle w:val="TableParagraph"/>
              <w:spacing w:line="228" w:lineRule="exact"/>
              <w:ind w:left="183"/>
              <w:rPr>
                <w:sz w:val="20"/>
              </w:rPr>
            </w:pPr>
            <w:r>
              <w:rPr>
                <w:sz w:val="20"/>
              </w:rPr>
              <w:t>Tekli Kesit</w:t>
            </w:r>
          </w:p>
        </w:tc>
        <w:tc>
          <w:tcPr>
            <w:tcW w:w="2834" w:type="dxa"/>
            <w:tcBorders>
              <w:top w:val="single" w:sz="4" w:space="0" w:color="7E7E7E"/>
              <w:bottom w:val="single" w:sz="4" w:space="0" w:color="7E7E7E"/>
            </w:tcBorders>
          </w:tcPr>
          <w:p>
            <w:pPr>
              <w:pStyle w:val="TableParagraph"/>
              <w:spacing w:line="228" w:lineRule="exact"/>
              <w:ind w:left="146"/>
              <w:rPr>
                <w:sz w:val="20"/>
              </w:rPr>
            </w:pPr>
            <w:r>
              <w:rPr>
                <w:sz w:val="20"/>
              </w:rPr>
              <w:t>Sinir ağları analizi</w:t>
            </w:r>
          </w:p>
        </w:tc>
      </w:tr>
      <w:tr>
        <w:trPr>
          <w:trHeight w:val="457" w:hRule="atLeast"/>
        </w:trPr>
        <w:tc>
          <w:tcPr>
            <w:tcW w:w="522" w:type="dxa"/>
            <w:tcBorders>
              <w:top w:val="single" w:sz="4" w:space="0" w:color="7E7E7E"/>
              <w:bottom w:val="single" w:sz="4" w:space="0" w:color="7E7E7E"/>
            </w:tcBorders>
          </w:tcPr>
          <w:p>
            <w:pPr>
              <w:pStyle w:val="TableParagraph"/>
              <w:spacing w:line="227" w:lineRule="exact"/>
              <w:ind w:left="122"/>
              <w:rPr>
                <w:sz w:val="20"/>
              </w:rPr>
            </w:pPr>
            <w:r>
              <w:rPr>
                <w:sz w:val="20"/>
              </w:rPr>
              <w:t>33</w:t>
            </w:r>
          </w:p>
        </w:tc>
        <w:tc>
          <w:tcPr>
            <w:tcW w:w="1559" w:type="dxa"/>
            <w:tcBorders>
              <w:top w:val="single" w:sz="4" w:space="0" w:color="7E7E7E"/>
              <w:bottom w:val="single" w:sz="4" w:space="0" w:color="7E7E7E"/>
            </w:tcBorders>
          </w:tcPr>
          <w:p>
            <w:pPr>
              <w:pStyle w:val="TableParagraph"/>
              <w:spacing w:line="230" w:lineRule="exact"/>
              <w:ind w:left="197" w:right="225"/>
              <w:rPr>
                <w:sz w:val="20"/>
              </w:rPr>
            </w:pPr>
            <w:r>
              <w:rPr>
                <w:sz w:val="20"/>
              </w:rPr>
              <w:t>Koçaş ve Akkan (2016)</w:t>
            </w:r>
          </w:p>
        </w:tc>
        <w:tc>
          <w:tcPr>
            <w:tcW w:w="1900" w:type="dxa"/>
            <w:tcBorders>
              <w:top w:val="single" w:sz="4" w:space="0" w:color="7E7E7E"/>
              <w:bottom w:val="single" w:sz="4" w:space="0" w:color="7E7E7E"/>
            </w:tcBorders>
          </w:tcPr>
          <w:p>
            <w:pPr>
              <w:pStyle w:val="TableParagraph"/>
              <w:spacing w:line="227" w:lineRule="exact"/>
              <w:ind w:left="110"/>
              <w:rPr>
                <w:sz w:val="20"/>
              </w:rPr>
            </w:pPr>
            <w:r>
              <w:rPr>
                <w:sz w:val="20"/>
              </w:rPr>
              <w:t>Kitap</w:t>
            </w:r>
          </w:p>
        </w:tc>
        <w:tc>
          <w:tcPr>
            <w:tcW w:w="968" w:type="dxa"/>
            <w:tcBorders>
              <w:top w:val="single" w:sz="4" w:space="0" w:color="7E7E7E"/>
              <w:bottom w:val="single" w:sz="4" w:space="0" w:color="7E7E7E"/>
            </w:tcBorders>
          </w:tcPr>
          <w:p>
            <w:pPr>
              <w:pStyle w:val="TableParagraph"/>
              <w:spacing w:line="227" w:lineRule="exact"/>
              <w:ind w:left="123"/>
              <w:rPr>
                <w:sz w:val="20"/>
              </w:rPr>
            </w:pPr>
            <w:r>
              <w:rPr>
                <w:sz w:val="20"/>
              </w:rPr>
              <w:t>Pazar</w:t>
            </w:r>
          </w:p>
        </w:tc>
        <w:tc>
          <w:tcPr>
            <w:tcW w:w="1218" w:type="dxa"/>
            <w:tcBorders>
              <w:top w:val="single" w:sz="4" w:space="0" w:color="7E7E7E"/>
              <w:bottom w:val="single" w:sz="4" w:space="0" w:color="7E7E7E"/>
            </w:tcBorders>
          </w:tcPr>
          <w:p>
            <w:pPr>
              <w:pStyle w:val="TableParagraph"/>
              <w:spacing w:line="227" w:lineRule="exact"/>
              <w:ind w:left="183"/>
              <w:rPr>
                <w:sz w:val="20"/>
              </w:rPr>
            </w:pPr>
            <w:r>
              <w:rPr>
                <w:sz w:val="20"/>
              </w:rPr>
              <w:t>Panel</w:t>
            </w:r>
          </w:p>
        </w:tc>
        <w:tc>
          <w:tcPr>
            <w:tcW w:w="2834" w:type="dxa"/>
            <w:tcBorders>
              <w:top w:val="single" w:sz="4" w:space="0" w:color="7E7E7E"/>
              <w:bottom w:val="single" w:sz="4" w:space="0" w:color="7E7E7E"/>
            </w:tcBorders>
          </w:tcPr>
          <w:p>
            <w:pPr>
              <w:pStyle w:val="TableParagraph"/>
              <w:spacing w:line="230" w:lineRule="exact"/>
              <w:ind w:left="146" w:right="618"/>
              <w:rPr>
                <w:sz w:val="20"/>
              </w:rPr>
            </w:pPr>
            <w:r>
              <w:rPr>
                <w:sz w:val="20"/>
              </w:rPr>
              <w:t>Logaritmik regresyon, iki aşamalı EKK</w:t>
            </w:r>
          </w:p>
        </w:tc>
      </w:tr>
      <w:tr>
        <w:trPr>
          <w:trHeight w:val="458"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34</w:t>
            </w:r>
          </w:p>
        </w:tc>
        <w:tc>
          <w:tcPr>
            <w:tcW w:w="1559" w:type="dxa"/>
            <w:tcBorders>
              <w:top w:val="single" w:sz="4" w:space="0" w:color="7E7E7E"/>
              <w:bottom w:val="single" w:sz="4" w:space="0" w:color="7E7E7E"/>
            </w:tcBorders>
          </w:tcPr>
          <w:p>
            <w:pPr>
              <w:pStyle w:val="TableParagraph"/>
              <w:spacing w:line="228" w:lineRule="exact"/>
              <w:ind w:left="132" w:right="112"/>
              <w:jc w:val="center"/>
              <w:rPr>
                <w:sz w:val="20"/>
              </w:rPr>
            </w:pPr>
            <w:r>
              <w:rPr>
                <w:sz w:val="20"/>
              </w:rPr>
              <w:t>Lee vd. (2016)</w:t>
            </w:r>
          </w:p>
        </w:tc>
        <w:tc>
          <w:tcPr>
            <w:tcW w:w="1900" w:type="dxa"/>
            <w:tcBorders>
              <w:top w:val="single" w:sz="4" w:space="0" w:color="7E7E7E"/>
              <w:bottom w:val="single" w:sz="4" w:space="0" w:color="7E7E7E"/>
            </w:tcBorders>
          </w:tcPr>
          <w:p>
            <w:pPr>
              <w:pStyle w:val="TableParagraph"/>
              <w:spacing w:line="228" w:lineRule="exact"/>
              <w:ind w:left="110"/>
              <w:rPr>
                <w:sz w:val="20"/>
              </w:rPr>
            </w:pPr>
            <w:r>
              <w:rPr>
                <w:sz w:val="20"/>
              </w:rPr>
              <w:t>Kindle</w:t>
            </w:r>
          </w:p>
        </w:tc>
        <w:tc>
          <w:tcPr>
            <w:tcW w:w="968" w:type="dxa"/>
            <w:tcBorders>
              <w:top w:val="single" w:sz="4" w:space="0" w:color="7E7E7E"/>
              <w:bottom w:val="single" w:sz="4" w:space="0" w:color="7E7E7E"/>
            </w:tcBorders>
          </w:tcPr>
          <w:p>
            <w:pPr>
              <w:pStyle w:val="TableParagraph"/>
              <w:spacing w:line="228" w:lineRule="exact"/>
              <w:ind w:left="123"/>
              <w:rPr>
                <w:sz w:val="20"/>
              </w:rPr>
            </w:pPr>
            <w:r>
              <w:rPr>
                <w:sz w:val="20"/>
              </w:rPr>
              <w:t>Bireysel</w:t>
            </w:r>
          </w:p>
        </w:tc>
        <w:tc>
          <w:tcPr>
            <w:tcW w:w="1218" w:type="dxa"/>
            <w:tcBorders>
              <w:top w:val="single" w:sz="4" w:space="0" w:color="7E7E7E"/>
              <w:bottom w:val="single" w:sz="4" w:space="0" w:color="7E7E7E"/>
            </w:tcBorders>
          </w:tcPr>
          <w:p>
            <w:pPr>
              <w:pStyle w:val="TableParagraph"/>
              <w:spacing w:line="228" w:lineRule="exact"/>
              <w:ind w:left="183"/>
              <w:rPr>
                <w:sz w:val="20"/>
              </w:rPr>
            </w:pPr>
            <w:r>
              <w:rPr>
                <w:sz w:val="20"/>
              </w:rPr>
              <w:t>Panel</w:t>
            </w:r>
          </w:p>
        </w:tc>
        <w:tc>
          <w:tcPr>
            <w:tcW w:w="2834" w:type="dxa"/>
            <w:tcBorders>
              <w:top w:val="single" w:sz="4" w:space="0" w:color="7E7E7E"/>
              <w:bottom w:val="single" w:sz="4" w:space="0" w:color="7E7E7E"/>
            </w:tcBorders>
          </w:tcPr>
          <w:p>
            <w:pPr>
              <w:pStyle w:val="TableParagraph"/>
              <w:spacing w:line="230" w:lineRule="exact"/>
              <w:ind w:left="146" w:right="651"/>
              <w:rPr>
                <w:sz w:val="20"/>
              </w:rPr>
            </w:pPr>
            <w:r>
              <w:rPr>
                <w:sz w:val="20"/>
              </w:rPr>
              <w:t>ANOVA, Duncan testi, bağımsız örneklem t testi</w:t>
            </w:r>
          </w:p>
        </w:tc>
      </w:tr>
      <w:tr>
        <w:trPr>
          <w:trHeight w:val="688"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35</w:t>
            </w:r>
          </w:p>
        </w:tc>
        <w:tc>
          <w:tcPr>
            <w:tcW w:w="1559" w:type="dxa"/>
            <w:tcBorders>
              <w:top w:val="single" w:sz="4" w:space="0" w:color="7E7E7E"/>
              <w:bottom w:val="single" w:sz="4" w:space="0" w:color="7E7E7E"/>
            </w:tcBorders>
          </w:tcPr>
          <w:p>
            <w:pPr>
              <w:pStyle w:val="TableParagraph"/>
              <w:spacing w:line="228" w:lineRule="exact"/>
              <w:ind w:left="13" w:right="112"/>
              <w:jc w:val="center"/>
              <w:rPr>
                <w:sz w:val="20"/>
              </w:rPr>
            </w:pPr>
            <w:r>
              <w:rPr>
                <w:sz w:val="20"/>
              </w:rPr>
              <w:t>Li vd. (2016)</w:t>
            </w:r>
          </w:p>
        </w:tc>
        <w:tc>
          <w:tcPr>
            <w:tcW w:w="1900" w:type="dxa"/>
            <w:tcBorders>
              <w:top w:val="single" w:sz="4" w:space="0" w:color="7E7E7E"/>
              <w:bottom w:val="single" w:sz="4" w:space="0" w:color="7E7E7E"/>
            </w:tcBorders>
          </w:tcPr>
          <w:p>
            <w:pPr>
              <w:pStyle w:val="TableParagraph"/>
              <w:spacing w:line="230" w:lineRule="exact" w:before="1"/>
              <w:ind w:left="110" w:right="287"/>
              <w:rPr>
                <w:sz w:val="20"/>
              </w:rPr>
            </w:pPr>
            <w:r>
              <w:rPr>
                <w:sz w:val="20"/>
              </w:rPr>
              <w:t>Araştırma ürünleri ve deneyim ürünleri*</w:t>
            </w:r>
          </w:p>
        </w:tc>
        <w:tc>
          <w:tcPr>
            <w:tcW w:w="968" w:type="dxa"/>
            <w:tcBorders>
              <w:top w:val="single" w:sz="4" w:space="0" w:color="7E7E7E"/>
              <w:bottom w:val="single" w:sz="4" w:space="0" w:color="7E7E7E"/>
            </w:tcBorders>
          </w:tcPr>
          <w:p>
            <w:pPr>
              <w:pStyle w:val="TableParagraph"/>
              <w:spacing w:line="228" w:lineRule="exact"/>
              <w:ind w:left="123"/>
              <w:rPr>
                <w:sz w:val="20"/>
              </w:rPr>
            </w:pPr>
            <w:r>
              <w:rPr>
                <w:sz w:val="20"/>
              </w:rPr>
              <w:t>Pazar</w:t>
            </w:r>
          </w:p>
        </w:tc>
        <w:tc>
          <w:tcPr>
            <w:tcW w:w="1218" w:type="dxa"/>
            <w:tcBorders>
              <w:top w:val="single" w:sz="4" w:space="0" w:color="7E7E7E"/>
              <w:bottom w:val="single" w:sz="4" w:space="0" w:color="7E7E7E"/>
            </w:tcBorders>
          </w:tcPr>
          <w:p>
            <w:pPr>
              <w:pStyle w:val="TableParagraph"/>
              <w:spacing w:line="228" w:lineRule="exact"/>
              <w:ind w:left="183"/>
              <w:rPr>
                <w:sz w:val="20"/>
              </w:rPr>
            </w:pPr>
            <w:r>
              <w:rPr>
                <w:sz w:val="20"/>
              </w:rPr>
              <w:t>Tekli Kesit</w:t>
            </w:r>
          </w:p>
        </w:tc>
        <w:tc>
          <w:tcPr>
            <w:tcW w:w="2834" w:type="dxa"/>
            <w:tcBorders>
              <w:top w:val="single" w:sz="4" w:space="0" w:color="7E7E7E"/>
              <w:bottom w:val="single" w:sz="4" w:space="0" w:color="7E7E7E"/>
            </w:tcBorders>
          </w:tcPr>
          <w:p>
            <w:pPr>
              <w:pStyle w:val="TableParagraph"/>
              <w:spacing w:line="228" w:lineRule="exact"/>
              <w:ind w:left="146"/>
              <w:rPr>
                <w:sz w:val="20"/>
              </w:rPr>
            </w:pPr>
            <w:r>
              <w:rPr>
                <w:sz w:val="20"/>
              </w:rPr>
              <w:t>Hiyerarşik çoklu regresyon</w:t>
            </w:r>
          </w:p>
        </w:tc>
      </w:tr>
      <w:tr>
        <w:trPr>
          <w:trHeight w:val="686"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36</w:t>
            </w:r>
          </w:p>
        </w:tc>
        <w:tc>
          <w:tcPr>
            <w:tcW w:w="1559" w:type="dxa"/>
            <w:tcBorders>
              <w:top w:val="single" w:sz="4" w:space="0" w:color="7E7E7E"/>
              <w:bottom w:val="single" w:sz="4" w:space="0" w:color="7E7E7E"/>
            </w:tcBorders>
          </w:tcPr>
          <w:p>
            <w:pPr>
              <w:pStyle w:val="TableParagraph"/>
              <w:ind w:left="197" w:right="497"/>
              <w:rPr>
                <w:sz w:val="20"/>
              </w:rPr>
            </w:pPr>
            <w:r>
              <w:rPr>
                <w:sz w:val="20"/>
              </w:rPr>
              <w:t>Meiseberg</w:t>
            </w:r>
            <w:r>
              <w:rPr>
                <w:w w:val="99"/>
                <w:sz w:val="20"/>
              </w:rPr>
              <w:t> </w:t>
            </w:r>
            <w:r>
              <w:rPr>
                <w:sz w:val="20"/>
              </w:rPr>
              <w:t>(2016)</w:t>
            </w:r>
          </w:p>
        </w:tc>
        <w:tc>
          <w:tcPr>
            <w:tcW w:w="1900" w:type="dxa"/>
            <w:tcBorders>
              <w:top w:val="single" w:sz="4" w:space="0" w:color="7E7E7E"/>
              <w:bottom w:val="single" w:sz="4" w:space="0" w:color="7E7E7E"/>
            </w:tcBorders>
          </w:tcPr>
          <w:p>
            <w:pPr>
              <w:pStyle w:val="TableParagraph"/>
              <w:spacing w:line="228" w:lineRule="exact"/>
              <w:ind w:left="110"/>
              <w:rPr>
                <w:sz w:val="20"/>
              </w:rPr>
            </w:pPr>
            <w:r>
              <w:rPr>
                <w:sz w:val="20"/>
              </w:rPr>
              <w:t>Kitap</w:t>
            </w:r>
          </w:p>
        </w:tc>
        <w:tc>
          <w:tcPr>
            <w:tcW w:w="968" w:type="dxa"/>
            <w:tcBorders>
              <w:top w:val="single" w:sz="4" w:space="0" w:color="7E7E7E"/>
              <w:bottom w:val="single" w:sz="4" w:space="0" w:color="7E7E7E"/>
            </w:tcBorders>
          </w:tcPr>
          <w:p>
            <w:pPr>
              <w:pStyle w:val="TableParagraph"/>
              <w:spacing w:line="228" w:lineRule="exact"/>
              <w:ind w:left="123"/>
              <w:rPr>
                <w:sz w:val="20"/>
              </w:rPr>
            </w:pPr>
            <w:r>
              <w:rPr>
                <w:sz w:val="20"/>
              </w:rPr>
              <w:t>Pazar</w:t>
            </w:r>
          </w:p>
        </w:tc>
        <w:tc>
          <w:tcPr>
            <w:tcW w:w="1218" w:type="dxa"/>
            <w:tcBorders>
              <w:top w:val="single" w:sz="4" w:space="0" w:color="7E7E7E"/>
              <w:bottom w:val="single" w:sz="4" w:space="0" w:color="7E7E7E"/>
            </w:tcBorders>
          </w:tcPr>
          <w:p>
            <w:pPr>
              <w:pStyle w:val="TableParagraph"/>
              <w:spacing w:line="228" w:lineRule="exact"/>
              <w:ind w:left="183"/>
              <w:rPr>
                <w:sz w:val="20"/>
              </w:rPr>
            </w:pPr>
            <w:r>
              <w:rPr>
                <w:sz w:val="20"/>
              </w:rPr>
              <w:t>Tekli Kesit</w:t>
            </w:r>
          </w:p>
        </w:tc>
        <w:tc>
          <w:tcPr>
            <w:tcW w:w="2834" w:type="dxa"/>
            <w:tcBorders>
              <w:top w:val="single" w:sz="4" w:space="0" w:color="7E7E7E"/>
              <w:bottom w:val="single" w:sz="4" w:space="0" w:color="7E7E7E"/>
            </w:tcBorders>
          </w:tcPr>
          <w:p>
            <w:pPr>
              <w:pStyle w:val="TableParagraph"/>
              <w:ind w:left="146" w:right="429"/>
              <w:rPr>
                <w:sz w:val="20"/>
              </w:rPr>
            </w:pPr>
            <w:r>
              <w:rPr>
                <w:sz w:val="20"/>
              </w:rPr>
              <w:t>Koşulsuz kuantil regresyon, Birinci dereceden farklar</w:t>
            </w:r>
          </w:p>
          <w:p>
            <w:pPr>
              <w:pStyle w:val="TableParagraph"/>
              <w:spacing w:line="208" w:lineRule="exact"/>
              <w:ind w:left="146"/>
              <w:rPr>
                <w:sz w:val="20"/>
              </w:rPr>
            </w:pPr>
            <w:r>
              <w:rPr>
                <w:sz w:val="20"/>
              </w:rPr>
              <w:t>yöntemi</w:t>
            </w:r>
          </w:p>
        </w:tc>
      </w:tr>
      <w:tr>
        <w:trPr>
          <w:trHeight w:val="290" w:hRule="atLeast"/>
        </w:trPr>
        <w:tc>
          <w:tcPr>
            <w:tcW w:w="522" w:type="dxa"/>
            <w:tcBorders>
              <w:top w:val="single" w:sz="4" w:space="0" w:color="7E7E7E"/>
              <w:bottom w:val="single" w:sz="4" w:space="0" w:color="7E7E7E"/>
            </w:tcBorders>
          </w:tcPr>
          <w:p>
            <w:pPr>
              <w:pStyle w:val="TableParagraph"/>
              <w:spacing w:before="1"/>
              <w:ind w:left="122"/>
              <w:rPr>
                <w:sz w:val="20"/>
              </w:rPr>
            </w:pPr>
            <w:r>
              <w:rPr>
                <w:sz w:val="20"/>
              </w:rPr>
              <w:t>37</w:t>
            </w:r>
          </w:p>
        </w:tc>
        <w:tc>
          <w:tcPr>
            <w:tcW w:w="1559" w:type="dxa"/>
            <w:tcBorders>
              <w:top w:val="single" w:sz="4" w:space="0" w:color="7E7E7E"/>
              <w:bottom w:val="single" w:sz="4" w:space="0" w:color="7E7E7E"/>
            </w:tcBorders>
          </w:tcPr>
          <w:p>
            <w:pPr>
              <w:pStyle w:val="TableParagraph"/>
              <w:spacing w:before="1"/>
              <w:ind w:left="178" w:right="90"/>
              <w:jc w:val="center"/>
              <w:rPr>
                <w:sz w:val="20"/>
              </w:rPr>
            </w:pPr>
            <w:r>
              <w:rPr>
                <w:sz w:val="20"/>
              </w:rPr>
              <w:t>Shin vd. (2016)</w:t>
            </w:r>
          </w:p>
        </w:tc>
        <w:tc>
          <w:tcPr>
            <w:tcW w:w="1900" w:type="dxa"/>
            <w:tcBorders>
              <w:top w:val="single" w:sz="4" w:space="0" w:color="7E7E7E"/>
              <w:bottom w:val="single" w:sz="4" w:space="0" w:color="7E7E7E"/>
            </w:tcBorders>
          </w:tcPr>
          <w:p>
            <w:pPr>
              <w:pStyle w:val="TableParagraph"/>
              <w:spacing w:before="1"/>
              <w:ind w:left="110"/>
              <w:rPr>
                <w:sz w:val="20"/>
              </w:rPr>
            </w:pPr>
            <w:r>
              <w:rPr>
                <w:sz w:val="20"/>
              </w:rPr>
              <w:t>MP3 çalar</w:t>
            </w:r>
          </w:p>
        </w:tc>
        <w:tc>
          <w:tcPr>
            <w:tcW w:w="968" w:type="dxa"/>
            <w:tcBorders>
              <w:top w:val="single" w:sz="4" w:space="0" w:color="7E7E7E"/>
              <w:bottom w:val="single" w:sz="4" w:space="0" w:color="7E7E7E"/>
            </w:tcBorders>
          </w:tcPr>
          <w:p>
            <w:pPr>
              <w:pStyle w:val="TableParagraph"/>
              <w:spacing w:before="1"/>
              <w:ind w:left="123"/>
              <w:rPr>
                <w:sz w:val="20"/>
              </w:rPr>
            </w:pPr>
            <w:r>
              <w:rPr>
                <w:sz w:val="20"/>
              </w:rPr>
              <w:t>Pazar</w:t>
            </w:r>
          </w:p>
        </w:tc>
        <w:tc>
          <w:tcPr>
            <w:tcW w:w="1218" w:type="dxa"/>
            <w:tcBorders>
              <w:top w:val="single" w:sz="4" w:space="0" w:color="7E7E7E"/>
              <w:bottom w:val="single" w:sz="4" w:space="0" w:color="7E7E7E"/>
            </w:tcBorders>
          </w:tcPr>
          <w:p>
            <w:pPr>
              <w:pStyle w:val="TableParagraph"/>
              <w:spacing w:before="1"/>
              <w:ind w:left="183"/>
              <w:rPr>
                <w:sz w:val="20"/>
              </w:rPr>
            </w:pPr>
            <w:r>
              <w:rPr>
                <w:sz w:val="20"/>
              </w:rPr>
              <w:t>Panel</w:t>
            </w:r>
          </w:p>
        </w:tc>
        <w:tc>
          <w:tcPr>
            <w:tcW w:w="2834" w:type="dxa"/>
            <w:tcBorders>
              <w:top w:val="single" w:sz="4" w:space="0" w:color="7E7E7E"/>
              <w:bottom w:val="single" w:sz="4" w:space="0" w:color="7E7E7E"/>
            </w:tcBorders>
          </w:tcPr>
          <w:p>
            <w:pPr>
              <w:pStyle w:val="TableParagraph"/>
              <w:spacing w:before="1"/>
              <w:ind w:left="146"/>
              <w:rPr>
                <w:sz w:val="20"/>
              </w:rPr>
            </w:pPr>
            <w:r>
              <w:rPr>
                <w:sz w:val="20"/>
              </w:rPr>
              <w:t>GMM</w:t>
            </w:r>
          </w:p>
        </w:tc>
      </w:tr>
      <w:tr>
        <w:trPr>
          <w:trHeight w:val="690" w:hRule="atLeast"/>
        </w:trPr>
        <w:tc>
          <w:tcPr>
            <w:tcW w:w="522" w:type="dxa"/>
            <w:tcBorders>
              <w:top w:val="single" w:sz="4" w:space="0" w:color="7E7E7E"/>
              <w:bottom w:val="single" w:sz="4" w:space="0" w:color="7E7E7E"/>
            </w:tcBorders>
          </w:tcPr>
          <w:p>
            <w:pPr>
              <w:pStyle w:val="TableParagraph"/>
              <w:ind w:left="122"/>
              <w:rPr>
                <w:sz w:val="20"/>
              </w:rPr>
            </w:pPr>
            <w:r>
              <w:rPr>
                <w:sz w:val="20"/>
              </w:rPr>
              <w:t>38</w:t>
            </w:r>
          </w:p>
        </w:tc>
        <w:tc>
          <w:tcPr>
            <w:tcW w:w="1559" w:type="dxa"/>
            <w:tcBorders>
              <w:top w:val="single" w:sz="4" w:space="0" w:color="7E7E7E"/>
              <w:bottom w:val="single" w:sz="4" w:space="0" w:color="7E7E7E"/>
            </w:tcBorders>
          </w:tcPr>
          <w:p>
            <w:pPr>
              <w:pStyle w:val="TableParagraph"/>
              <w:ind w:left="197" w:right="619"/>
              <w:rPr>
                <w:sz w:val="20"/>
              </w:rPr>
            </w:pPr>
            <w:r>
              <w:rPr>
                <w:sz w:val="20"/>
              </w:rPr>
              <w:t>Zhou vd. (2016)</w:t>
            </w:r>
          </w:p>
        </w:tc>
        <w:tc>
          <w:tcPr>
            <w:tcW w:w="1900" w:type="dxa"/>
            <w:tcBorders>
              <w:top w:val="single" w:sz="4" w:space="0" w:color="7E7E7E"/>
              <w:bottom w:val="single" w:sz="4" w:space="0" w:color="7E7E7E"/>
            </w:tcBorders>
          </w:tcPr>
          <w:p>
            <w:pPr>
              <w:pStyle w:val="TableParagraph"/>
              <w:spacing w:line="230" w:lineRule="atLeast"/>
              <w:ind w:left="110" w:right="109"/>
              <w:rPr>
                <w:sz w:val="20"/>
              </w:rPr>
            </w:pPr>
            <w:r>
              <w:rPr>
                <w:sz w:val="20"/>
              </w:rPr>
              <w:t>Dijital kamera, akıllı telefon ve tablet bilgisayar</w:t>
            </w:r>
          </w:p>
        </w:tc>
        <w:tc>
          <w:tcPr>
            <w:tcW w:w="968" w:type="dxa"/>
            <w:tcBorders>
              <w:top w:val="single" w:sz="4" w:space="0" w:color="7E7E7E"/>
              <w:bottom w:val="single" w:sz="4" w:space="0" w:color="7E7E7E"/>
            </w:tcBorders>
          </w:tcPr>
          <w:p>
            <w:pPr>
              <w:pStyle w:val="TableParagraph"/>
              <w:ind w:left="123"/>
              <w:rPr>
                <w:sz w:val="20"/>
              </w:rPr>
            </w:pPr>
            <w:r>
              <w:rPr>
                <w:sz w:val="20"/>
              </w:rPr>
              <w:t>Bireysel</w:t>
            </w:r>
          </w:p>
        </w:tc>
        <w:tc>
          <w:tcPr>
            <w:tcW w:w="1218" w:type="dxa"/>
            <w:tcBorders>
              <w:top w:val="single" w:sz="4" w:space="0" w:color="7E7E7E"/>
              <w:bottom w:val="single" w:sz="4" w:space="0" w:color="7E7E7E"/>
            </w:tcBorders>
          </w:tcPr>
          <w:p>
            <w:pPr>
              <w:pStyle w:val="TableParagraph"/>
              <w:ind w:left="183"/>
              <w:rPr>
                <w:sz w:val="20"/>
              </w:rPr>
            </w:pPr>
            <w:r>
              <w:rPr>
                <w:sz w:val="20"/>
              </w:rPr>
              <w:t>Tekli Kesit</w:t>
            </w:r>
          </w:p>
        </w:tc>
        <w:tc>
          <w:tcPr>
            <w:tcW w:w="2834" w:type="dxa"/>
            <w:tcBorders>
              <w:top w:val="single" w:sz="4" w:space="0" w:color="7E7E7E"/>
              <w:bottom w:val="single" w:sz="4" w:space="0" w:color="7E7E7E"/>
            </w:tcBorders>
          </w:tcPr>
          <w:p>
            <w:pPr>
              <w:pStyle w:val="TableParagraph"/>
              <w:ind w:left="146"/>
              <w:rPr>
                <w:sz w:val="20"/>
              </w:rPr>
            </w:pPr>
            <w:r>
              <w:rPr>
                <w:sz w:val="20"/>
              </w:rPr>
              <w:t>Entropy</w:t>
            </w:r>
          </w:p>
        </w:tc>
      </w:tr>
      <w:tr>
        <w:trPr>
          <w:trHeight w:val="460" w:hRule="atLeast"/>
        </w:trPr>
        <w:tc>
          <w:tcPr>
            <w:tcW w:w="522" w:type="dxa"/>
            <w:tcBorders>
              <w:top w:val="single" w:sz="4" w:space="0" w:color="7E7E7E"/>
              <w:bottom w:val="single" w:sz="4" w:space="0" w:color="7E7E7E"/>
            </w:tcBorders>
          </w:tcPr>
          <w:p>
            <w:pPr>
              <w:pStyle w:val="TableParagraph"/>
              <w:ind w:left="122"/>
              <w:rPr>
                <w:sz w:val="20"/>
              </w:rPr>
            </w:pPr>
            <w:r>
              <w:rPr>
                <w:sz w:val="20"/>
              </w:rPr>
              <w:t>39</w:t>
            </w:r>
          </w:p>
        </w:tc>
        <w:tc>
          <w:tcPr>
            <w:tcW w:w="1559" w:type="dxa"/>
            <w:tcBorders>
              <w:top w:val="single" w:sz="4" w:space="0" w:color="7E7E7E"/>
              <w:bottom w:val="single" w:sz="4" w:space="0" w:color="7E7E7E"/>
            </w:tcBorders>
          </w:tcPr>
          <w:p>
            <w:pPr>
              <w:pStyle w:val="TableParagraph"/>
              <w:spacing w:line="230" w:lineRule="atLeast"/>
              <w:ind w:left="197" w:right="103"/>
              <w:rPr>
                <w:sz w:val="20"/>
              </w:rPr>
            </w:pPr>
            <w:r>
              <w:rPr>
                <w:sz w:val="20"/>
              </w:rPr>
              <w:t>Ahmad ve Laroche (2017)</w:t>
            </w:r>
          </w:p>
        </w:tc>
        <w:tc>
          <w:tcPr>
            <w:tcW w:w="1900" w:type="dxa"/>
            <w:tcBorders>
              <w:top w:val="single" w:sz="4" w:space="0" w:color="7E7E7E"/>
              <w:bottom w:val="single" w:sz="4" w:space="0" w:color="7E7E7E"/>
            </w:tcBorders>
          </w:tcPr>
          <w:p>
            <w:pPr>
              <w:pStyle w:val="TableParagraph"/>
              <w:ind w:left="110"/>
              <w:rPr>
                <w:sz w:val="20"/>
              </w:rPr>
            </w:pPr>
            <w:r>
              <w:rPr>
                <w:sz w:val="20"/>
              </w:rPr>
              <w:t>Mutfak aletleri</w:t>
            </w:r>
          </w:p>
        </w:tc>
        <w:tc>
          <w:tcPr>
            <w:tcW w:w="968" w:type="dxa"/>
            <w:tcBorders>
              <w:top w:val="single" w:sz="4" w:space="0" w:color="7E7E7E"/>
              <w:bottom w:val="single" w:sz="4" w:space="0" w:color="7E7E7E"/>
            </w:tcBorders>
          </w:tcPr>
          <w:p>
            <w:pPr>
              <w:pStyle w:val="TableParagraph"/>
              <w:ind w:left="123"/>
              <w:rPr>
                <w:sz w:val="20"/>
              </w:rPr>
            </w:pPr>
            <w:r>
              <w:rPr>
                <w:sz w:val="20"/>
              </w:rPr>
              <w:t>Bireysel</w:t>
            </w:r>
          </w:p>
        </w:tc>
        <w:tc>
          <w:tcPr>
            <w:tcW w:w="1218" w:type="dxa"/>
            <w:tcBorders>
              <w:top w:val="single" w:sz="4" w:space="0" w:color="7E7E7E"/>
              <w:bottom w:val="single" w:sz="4" w:space="0" w:color="7E7E7E"/>
            </w:tcBorders>
          </w:tcPr>
          <w:p>
            <w:pPr>
              <w:pStyle w:val="TableParagraph"/>
              <w:ind w:left="183"/>
              <w:rPr>
                <w:sz w:val="20"/>
              </w:rPr>
            </w:pPr>
            <w:r>
              <w:rPr>
                <w:sz w:val="20"/>
              </w:rPr>
              <w:t>Tekli Kesit</w:t>
            </w:r>
          </w:p>
        </w:tc>
        <w:tc>
          <w:tcPr>
            <w:tcW w:w="2834" w:type="dxa"/>
            <w:tcBorders>
              <w:top w:val="single" w:sz="4" w:space="0" w:color="7E7E7E"/>
              <w:bottom w:val="single" w:sz="4" w:space="0" w:color="7E7E7E"/>
            </w:tcBorders>
          </w:tcPr>
          <w:p>
            <w:pPr>
              <w:pStyle w:val="TableParagraph"/>
              <w:spacing w:line="230" w:lineRule="atLeast"/>
              <w:ind w:left="146" w:right="446"/>
              <w:rPr>
                <w:sz w:val="20"/>
              </w:rPr>
            </w:pPr>
            <w:r>
              <w:rPr>
                <w:sz w:val="20"/>
              </w:rPr>
              <w:t>Örtülü anlam analizi, faktor analizi, regresyon analizi</w:t>
            </w:r>
          </w:p>
        </w:tc>
      </w:tr>
      <w:tr>
        <w:trPr>
          <w:trHeight w:val="457" w:hRule="atLeast"/>
        </w:trPr>
        <w:tc>
          <w:tcPr>
            <w:tcW w:w="522" w:type="dxa"/>
            <w:tcBorders>
              <w:top w:val="single" w:sz="4" w:space="0" w:color="7E7E7E"/>
              <w:bottom w:val="single" w:sz="4" w:space="0" w:color="7E7E7E"/>
            </w:tcBorders>
          </w:tcPr>
          <w:p>
            <w:pPr>
              <w:pStyle w:val="TableParagraph"/>
              <w:ind w:left="122"/>
              <w:rPr>
                <w:sz w:val="20"/>
              </w:rPr>
            </w:pPr>
            <w:r>
              <w:rPr>
                <w:sz w:val="20"/>
              </w:rPr>
              <w:t>40</w:t>
            </w:r>
          </w:p>
        </w:tc>
        <w:tc>
          <w:tcPr>
            <w:tcW w:w="1559" w:type="dxa"/>
            <w:tcBorders>
              <w:top w:val="single" w:sz="4" w:space="0" w:color="7E7E7E"/>
              <w:bottom w:val="single" w:sz="4" w:space="0" w:color="7E7E7E"/>
            </w:tcBorders>
          </w:tcPr>
          <w:p>
            <w:pPr>
              <w:pStyle w:val="TableParagraph"/>
              <w:spacing w:line="228" w:lineRule="exact" w:before="4"/>
              <w:ind w:left="197" w:right="619"/>
              <w:rPr>
                <w:sz w:val="20"/>
              </w:rPr>
            </w:pPr>
            <w:r>
              <w:rPr>
                <w:sz w:val="20"/>
              </w:rPr>
              <w:t>Chen vd. (2017)</w:t>
            </w:r>
          </w:p>
        </w:tc>
        <w:tc>
          <w:tcPr>
            <w:tcW w:w="1900" w:type="dxa"/>
            <w:tcBorders>
              <w:top w:val="single" w:sz="4" w:space="0" w:color="7E7E7E"/>
              <w:bottom w:val="single" w:sz="4" w:space="0" w:color="7E7E7E"/>
            </w:tcBorders>
          </w:tcPr>
          <w:p>
            <w:pPr>
              <w:pStyle w:val="TableParagraph"/>
              <w:spacing w:line="228" w:lineRule="exact" w:before="4"/>
              <w:ind w:left="110" w:right="248"/>
              <w:rPr>
                <w:sz w:val="20"/>
              </w:rPr>
            </w:pPr>
            <w:r>
              <w:rPr>
                <w:sz w:val="20"/>
              </w:rPr>
              <w:t>Şarj aleti, kulaklık, saat ve GPS</w:t>
            </w:r>
          </w:p>
        </w:tc>
        <w:tc>
          <w:tcPr>
            <w:tcW w:w="968" w:type="dxa"/>
            <w:tcBorders>
              <w:top w:val="single" w:sz="4" w:space="0" w:color="7E7E7E"/>
              <w:bottom w:val="single" w:sz="4" w:space="0" w:color="7E7E7E"/>
            </w:tcBorders>
          </w:tcPr>
          <w:p>
            <w:pPr>
              <w:pStyle w:val="TableParagraph"/>
              <w:ind w:left="123"/>
              <w:rPr>
                <w:sz w:val="20"/>
              </w:rPr>
            </w:pPr>
            <w:r>
              <w:rPr>
                <w:sz w:val="20"/>
              </w:rPr>
              <w:t>Pazar</w:t>
            </w:r>
          </w:p>
        </w:tc>
        <w:tc>
          <w:tcPr>
            <w:tcW w:w="1218" w:type="dxa"/>
            <w:tcBorders>
              <w:top w:val="single" w:sz="4" w:space="0" w:color="7E7E7E"/>
              <w:bottom w:val="single" w:sz="4" w:space="0" w:color="7E7E7E"/>
            </w:tcBorders>
          </w:tcPr>
          <w:p>
            <w:pPr>
              <w:pStyle w:val="TableParagraph"/>
              <w:ind w:left="183"/>
              <w:rPr>
                <w:sz w:val="20"/>
              </w:rPr>
            </w:pPr>
            <w:r>
              <w:rPr>
                <w:sz w:val="20"/>
              </w:rPr>
              <w:t>Panel</w:t>
            </w:r>
          </w:p>
        </w:tc>
        <w:tc>
          <w:tcPr>
            <w:tcW w:w="2834" w:type="dxa"/>
            <w:tcBorders>
              <w:top w:val="single" w:sz="4" w:space="0" w:color="7E7E7E"/>
              <w:bottom w:val="single" w:sz="4" w:space="0" w:color="7E7E7E"/>
            </w:tcBorders>
          </w:tcPr>
          <w:p>
            <w:pPr>
              <w:pStyle w:val="TableParagraph"/>
              <w:ind w:left="146"/>
              <w:rPr>
                <w:sz w:val="20"/>
              </w:rPr>
            </w:pPr>
            <w:r>
              <w:rPr>
                <w:sz w:val="20"/>
              </w:rPr>
              <w:t>Logaritmik regresyon</w:t>
            </w:r>
          </w:p>
        </w:tc>
      </w:tr>
      <w:tr>
        <w:trPr>
          <w:trHeight w:val="458"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41</w:t>
            </w:r>
          </w:p>
        </w:tc>
        <w:tc>
          <w:tcPr>
            <w:tcW w:w="1559" w:type="dxa"/>
            <w:tcBorders>
              <w:top w:val="single" w:sz="4" w:space="0" w:color="7E7E7E"/>
              <w:bottom w:val="single" w:sz="4" w:space="0" w:color="7E7E7E"/>
            </w:tcBorders>
          </w:tcPr>
          <w:p>
            <w:pPr>
              <w:pStyle w:val="TableParagraph"/>
              <w:spacing w:line="230" w:lineRule="exact" w:before="1"/>
              <w:ind w:left="197" w:right="619"/>
              <w:rPr>
                <w:sz w:val="20"/>
              </w:rPr>
            </w:pPr>
            <w:r>
              <w:rPr>
                <w:sz w:val="20"/>
              </w:rPr>
              <w:t>Chen vd. (2017)</w:t>
            </w:r>
          </w:p>
        </w:tc>
        <w:tc>
          <w:tcPr>
            <w:tcW w:w="1900" w:type="dxa"/>
            <w:tcBorders>
              <w:top w:val="single" w:sz="4" w:space="0" w:color="7E7E7E"/>
              <w:bottom w:val="single" w:sz="4" w:space="0" w:color="7E7E7E"/>
            </w:tcBorders>
          </w:tcPr>
          <w:p>
            <w:pPr>
              <w:pStyle w:val="TableParagraph"/>
              <w:spacing w:line="228" w:lineRule="exact"/>
              <w:ind w:left="110"/>
              <w:rPr>
                <w:sz w:val="20"/>
              </w:rPr>
            </w:pPr>
            <w:r>
              <w:rPr>
                <w:sz w:val="20"/>
              </w:rPr>
              <w:t>Yazılım</w:t>
            </w:r>
          </w:p>
        </w:tc>
        <w:tc>
          <w:tcPr>
            <w:tcW w:w="968" w:type="dxa"/>
            <w:tcBorders>
              <w:top w:val="single" w:sz="4" w:space="0" w:color="7E7E7E"/>
              <w:bottom w:val="single" w:sz="4" w:space="0" w:color="7E7E7E"/>
            </w:tcBorders>
          </w:tcPr>
          <w:p>
            <w:pPr>
              <w:pStyle w:val="TableParagraph"/>
              <w:spacing w:line="228" w:lineRule="exact"/>
              <w:ind w:left="123"/>
              <w:rPr>
                <w:sz w:val="20"/>
              </w:rPr>
            </w:pPr>
            <w:r>
              <w:rPr>
                <w:sz w:val="20"/>
              </w:rPr>
              <w:t>Pazar</w:t>
            </w:r>
          </w:p>
        </w:tc>
        <w:tc>
          <w:tcPr>
            <w:tcW w:w="1218" w:type="dxa"/>
            <w:tcBorders>
              <w:top w:val="single" w:sz="4" w:space="0" w:color="7E7E7E"/>
              <w:bottom w:val="single" w:sz="4" w:space="0" w:color="7E7E7E"/>
            </w:tcBorders>
          </w:tcPr>
          <w:p>
            <w:pPr>
              <w:pStyle w:val="TableParagraph"/>
              <w:spacing w:line="228" w:lineRule="exact"/>
              <w:ind w:left="183"/>
              <w:rPr>
                <w:sz w:val="20"/>
              </w:rPr>
            </w:pPr>
            <w:r>
              <w:rPr>
                <w:sz w:val="20"/>
              </w:rPr>
              <w:t>Panel</w:t>
            </w:r>
          </w:p>
        </w:tc>
        <w:tc>
          <w:tcPr>
            <w:tcW w:w="2834" w:type="dxa"/>
            <w:tcBorders>
              <w:top w:val="single" w:sz="4" w:space="0" w:color="7E7E7E"/>
              <w:bottom w:val="single" w:sz="4" w:space="0" w:color="7E7E7E"/>
            </w:tcBorders>
          </w:tcPr>
          <w:p>
            <w:pPr>
              <w:pStyle w:val="TableParagraph"/>
              <w:spacing w:line="230" w:lineRule="exact" w:before="1"/>
              <w:ind w:left="146" w:right="374"/>
              <w:rPr>
                <w:sz w:val="20"/>
              </w:rPr>
            </w:pPr>
            <w:r>
              <w:rPr>
                <w:sz w:val="20"/>
              </w:rPr>
              <w:t>Markov Zinciri Monte Carlo (MCMC) yöntemi</w:t>
            </w:r>
          </w:p>
        </w:tc>
      </w:tr>
      <w:tr>
        <w:trPr>
          <w:trHeight w:val="287"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42</w:t>
            </w:r>
          </w:p>
        </w:tc>
        <w:tc>
          <w:tcPr>
            <w:tcW w:w="1559" w:type="dxa"/>
            <w:tcBorders>
              <w:top w:val="single" w:sz="4" w:space="0" w:color="7E7E7E"/>
              <w:bottom w:val="single" w:sz="4" w:space="0" w:color="7E7E7E"/>
            </w:tcBorders>
          </w:tcPr>
          <w:p>
            <w:pPr>
              <w:pStyle w:val="TableParagraph"/>
              <w:spacing w:line="228" w:lineRule="exact"/>
              <w:ind w:left="178" w:right="112"/>
              <w:jc w:val="center"/>
              <w:rPr>
                <w:sz w:val="20"/>
              </w:rPr>
            </w:pPr>
            <w:r>
              <w:rPr>
                <w:sz w:val="20"/>
              </w:rPr>
              <w:t>Hou vd. (2017)</w:t>
            </w:r>
          </w:p>
        </w:tc>
        <w:tc>
          <w:tcPr>
            <w:tcW w:w="1900" w:type="dxa"/>
            <w:tcBorders>
              <w:top w:val="single" w:sz="4" w:space="0" w:color="7E7E7E"/>
              <w:bottom w:val="single" w:sz="4" w:space="0" w:color="7E7E7E"/>
            </w:tcBorders>
          </w:tcPr>
          <w:p>
            <w:pPr>
              <w:pStyle w:val="TableParagraph"/>
              <w:spacing w:line="228" w:lineRule="exact"/>
              <w:ind w:left="110"/>
              <w:rPr>
                <w:sz w:val="20"/>
              </w:rPr>
            </w:pPr>
            <w:r>
              <w:rPr>
                <w:sz w:val="20"/>
              </w:rPr>
              <w:t>Elektronik</w:t>
            </w:r>
          </w:p>
        </w:tc>
        <w:tc>
          <w:tcPr>
            <w:tcW w:w="968" w:type="dxa"/>
            <w:tcBorders>
              <w:top w:val="single" w:sz="4" w:space="0" w:color="7E7E7E"/>
              <w:bottom w:val="single" w:sz="4" w:space="0" w:color="7E7E7E"/>
            </w:tcBorders>
          </w:tcPr>
          <w:p>
            <w:pPr>
              <w:pStyle w:val="TableParagraph"/>
              <w:spacing w:line="228" w:lineRule="exact"/>
              <w:ind w:left="123"/>
              <w:rPr>
                <w:sz w:val="20"/>
              </w:rPr>
            </w:pPr>
            <w:r>
              <w:rPr>
                <w:sz w:val="20"/>
              </w:rPr>
              <w:t>Pazar</w:t>
            </w:r>
          </w:p>
        </w:tc>
        <w:tc>
          <w:tcPr>
            <w:tcW w:w="1218" w:type="dxa"/>
            <w:tcBorders>
              <w:top w:val="single" w:sz="4" w:space="0" w:color="7E7E7E"/>
              <w:bottom w:val="single" w:sz="4" w:space="0" w:color="7E7E7E"/>
            </w:tcBorders>
          </w:tcPr>
          <w:p>
            <w:pPr>
              <w:pStyle w:val="TableParagraph"/>
              <w:spacing w:line="228" w:lineRule="exact"/>
              <w:ind w:left="183"/>
              <w:rPr>
                <w:sz w:val="20"/>
              </w:rPr>
            </w:pPr>
            <w:r>
              <w:rPr>
                <w:sz w:val="20"/>
              </w:rPr>
              <w:t>Tekli Kesit</w:t>
            </w:r>
          </w:p>
        </w:tc>
        <w:tc>
          <w:tcPr>
            <w:tcW w:w="2834" w:type="dxa"/>
            <w:tcBorders>
              <w:top w:val="single" w:sz="4" w:space="0" w:color="7E7E7E"/>
              <w:bottom w:val="single" w:sz="4" w:space="0" w:color="7E7E7E"/>
            </w:tcBorders>
          </w:tcPr>
          <w:p>
            <w:pPr>
              <w:pStyle w:val="TableParagraph"/>
              <w:spacing w:line="228" w:lineRule="exact"/>
              <w:ind w:left="146"/>
              <w:rPr>
                <w:sz w:val="20"/>
              </w:rPr>
            </w:pPr>
            <w:r>
              <w:rPr>
                <w:sz w:val="20"/>
              </w:rPr>
              <w:t>Sinir ağları analizi, regresyon</w:t>
            </w:r>
          </w:p>
        </w:tc>
      </w:tr>
      <w:tr>
        <w:trPr>
          <w:trHeight w:val="460" w:hRule="atLeast"/>
        </w:trPr>
        <w:tc>
          <w:tcPr>
            <w:tcW w:w="522" w:type="dxa"/>
            <w:tcBorders>
              <w:top w:val="single" w:sz="4" w:space="0" w:color="7E7E7E"/>
              <w:bottom w:val="single" w:sz="4" w:space="0" w:color="7E7E7E"/>
            </w:tcBorders>
          </w:tcPr>
          <w:p>
            <w:pPr>
              <w:pStyle w:val="TableParagraph"/>
              <w:ind w:left="122"/>
              <w:rPr>
                <w:sz w:val="20"/>
              </w:rPr>
            </w:pPr>
            <w:r>
              <w:rPr>
                <w:sz w:val="20"/>
              </w:rPr>
              <w:t>43</w:t>
            </w:r>
          </w:p>
        </w:tc>
        <w:tc>
          <w:tcPr>
            <w:tcW w:w="1559" w:type="dxa"/>
            <w:tcBorders>
              <w:top w:val="single" w:sz="4" w:space="0" w:color="7E7E7E"/>
              <w:bottom w:val="single" w:sz="4" w:space="0" w:color="7E7E7E"/>
            </w:tcBorders>
          </w:tcPr>
          <w:p>
            <w:pPr>
              <w:pStyle w:val="TableParagraph"/>
              <w:spacing w:line="230" w:lineRule="atLeast"/>
              <w:ind w:left="197" w:right="575"/>
              <w:rPr>
                <w:sz w:val="20"/>
              </w:rPr>
            </w:pPr>
            <w:r>
              <w:rPr>
                <w:sz w:val="20"/>
              </w:rPr>
              <w:t>Moen vd. (2017)</w:t>
            </w:r>
          </w:p>
        </w:tc>
        <w:tc>
          <w:tcPr>
            <w:tcW w:w="1900" w:type="dxa"/>
            <w:tcBorders>
              <w:top w:val="single" w:sz="4" w:space="0" w:color="7E7E7E"/>
              <w:bottom w:val="single" w:sz="4" w:space="0" w:color="7E7E7E"/>
            </w:tcBorders>
          </w:tcPr>
          <w:p>
            <w:pPr>
              <w:pStyle w:val="TableParagraph"/>
              <w:ind w:left="110"/>
              <w:rPr>
                <w:sz w:val="20"/>
              </w:rPr>
            </w:pPr>
            <w:r>
              <w:rPr>
                <w:sz w:val="20"/>
              </w:rPr>
              <w:t>30 ürün kategorisi</w:t>
            </w:r>
          </w:p>
        </w:tc>
        <w:tc>
          <w:tcPr>
            <w:tcW w:w="968" w:type="dxa"/>
            <w:tcBorders>
              <w:top w:val="single" w:sz="4" w:space="0" w:color="7E7E7E"/>
              <w:bottom w:val="single" w:sz="4" w:space="0" w:color="7E7E7E"/>
            </w:tcBorders>
          </w:tcPr>
          <w:p>
            <w:pPr>
              <w:pStyle w:val="TableParagraph"/>
              <w:ind w:left="123"/>
              <w:rPr>
                <w:sz w:val="20"/>
              </w:rPr>
            </w:pPr>
            <w:r>
              <w:rPr>
                <w:sz w:val="20"/>
              </w:rPr>
              <w:t>Pazar</w:t>
            </w:r>
          </w:p>
        </w:tc>
        <w:tc>
          <w:tcPr>
            <w:tcW w:w="1218" w:type="dxa"/>
            <w:tcBorders>
              <w:top w:val="single" w:sz="4" w:space="0" w:color="7E7E7E"/>
              <w:bottom w:val="single" w:sz="4" w:space="0" w:color="7E7E7E"/>
            </w:tcBorders>
          </w:tcPr>
          <w:p>
            <w:pPr>
              <w:pStyle w:val="TableParagraph"/>
              <w:ind w:left="183"/>
              <w:rPr>
                <w:sz w:val="20"/>
              </w:rPr>
            </w:pPr>
            <w:r>
              <w:rPr>
                <w:sz w:val="20"/>
              </w:rPr>
              <w:t>Panel</w:t>
            </w:r>
          </w:p>
        </w:tc>
        <w:tc>
          <w:tcPr>
            <w:tcW w:w="2834" w:type="dxa"/>
            <w:tcBorders>
              <w:top w:val="single" w:sz="4" w:space="0" w:color="7E7E7E"/>
              <w:bottom w:val="single" w:sz="4" w:space="0" w:color="7E7E7E"/>
            </w:tcBorders>
          </w:tcPr>
          <w:p>
            <w:pPr>
              <w:pStyle w:val="TableParagraph"/>
              <w:spacing w:line="230" w:lineRule="atLeast"/>
              <w:ind w:left="146" w:right="274"/>
              <w:rPr>
                <w:sz w:val="20"/>
              </w:rPr>
            </w:pPr>
            <w:r>
              <w:rPr>
                <w:sz w:val="20"/>
              </w:rPr>
              <w:t>Logaritmik regresyon, Birinci dereceden farklar yöntemi</w:t>
            </w:r>
          </w:p>
        </w:tc>
      </w:tr>
      <w:tr>
        <w:trPr>
          <w:trHeight w:val="460" w:hRule="atLeast"/>
        </w:trPr>
        <w:tc>
          <w:tcPr>
            <w:tcW w:w="522" w:type="dxa"/>
            <w:tcBorders>
              <w:top w:val="single" w:sz="4" w:space="0" w:color="7E7E7E"/>
              <w:bottom w:val="single" w:sz="4" w:space="0" w:color="7E7E7E"/>
            </w:tcBorders>
          </w:tcPr>
          <w:p>
            <w:pPr>
              <w:pStyle w:val="TableParagraph"/>
              <w:ind w:left="122"/>
              <w:rPr>
                <w:sz w:val="20"/>
              </w:rPr>
            </w:pPr>
            <w:r>
              <w:rPr>
                <w:sz w:val="20"/>
              </w:rPr>
              <w:t>44</w:t>
            </w:r>
          </w:p>
        </w:tc>
        <w:tc>
          <w:tcPr>
            <w:tcW w:w="1559" w:type="dxa"/>
            <w:tcBorders>
              <w:top w:val="single" w:sz="4" w:space="0" w:color="7E7E7E"/>
              <w:bottom w:val="single" w:sz="4" w:space="0" w:color="7E7E7E"/>
            </w:tcBorders>
          </w:tcPr>
          <w:p>
            <w:pPr>
              <w:pStyle w:val="TableParagraph"/>
              <w:ind w:left="166" w:right="112"/>
              <w:jc w:val="center"/>
              <w:rPr>
                <w:sz w:val="20"/>
              </w:rPr>
            </w:pPr>
            <w:r>
              <w:rPr>
                <w:sz w:val="20"/>
              </w:rPr>
              <w:t>Nan vd. (2017)</w:t>
            </w:r>
          </w:p>
        </w:tc>
        <w:tc>
          <w:tcPr>
            <w:tcW w:w="1900" w:type="dxa"/>
            <w:tcBorders>
              <w:top w:val="single" w:sz="4" w:space="0" w:color="7E7E7E"/>
              <w:bottom w:val="single" w:sz="4" w:space="0" w:color="7E7E7E"/>
            </w:tcBorders>
          </w:tcPr>
          <w:p>
            <w:pPr>
              <w:pStyle w:val="TableParagraph"/>
              <w:spacing w:line="230" w:lineRule="exact" w:before="3"/>
              <w:ind w:left="110" w:right="253"/>
              <w:rPr>
                <w:sz w:val="20"/>
              </w:rPr>
            </w:pPr>
            <w:r>
              <w:rPr>
                <w:sz w:val="20"/>
              </w:rPr>
              <w:t>Dijital kamera ve mobil uygulamalar</w:t>
            </w:r>
          </w:p>
        </w:tc>
        <w:tc>
          <w:tcPr>
            <w:tcW w:w="968" w:type="dxa"/>
            <w:tcBorders>
              <w:top w:val="single" w:sz="4" w:space="0" w:color="7E7E7E"/>
              <w:bottom w:val="single" w:sz="4" w:space="0" w:color="7E7E7E"/>
            </w:tcBorders>
          </w:tcPr>
          <w:p>
            <w:pPr>
              <w:pStyle w:val="TableParagraph"/>
              <w:ind w:left="123"/>
              <w:rPr>
                <w:sz w:val="20"/>
              </w:rPr>
            </w:pPr>
            <w:r>
              <w:rPr>
                <w:sz w:val="20"/>
              </w:rPr>
              <w:t>Bireysel</w:t>
            </w:r>
          </w:p>
        </w:tc>
        <w:tc>
          <w:tcPr>
            <w:tcW w:w="1218" w:type="dxa"/>
            <w:tcBorders>
              <w:top w:val="single" w:sz="4" w:space="0" w:color="7E7E7E"/>
              <w:bottom w:val="single" w:sz="4" w:space="0" w:color="7E7E7E"/>
            </w:tcBorders>
          </w:tcPr>
          <w:p>
            <w:pPr>
              <w:pStyle w:val="TableParagraph"/>
              <w:ind w:left="183"/>
              <w:rPr>
                <w:sz w:val="20"/>
              </w:rPr>
            </w:pPr>
            <w:r>
              <w:rPr>
                <w:sz w:val="20"/>
              </w:rPr>
              <w:t>Panel</w:t>
            </w:r>
          </w:p>
        </w:tc>
        <w:tc>
          <w:tcPr>
            <w:tcW w:w="2834" w:type="dxa"/>
            <w:tcBorders>
              <w:top w:val="single" w:sz="4" w:space="0" w:color="7E7E7E"/>
              <w:bottom w:val="single" w:sz="4" w:space="0" w:color="7E7E7E"/>
            </w:tcBorders>
          </w:tcPr>
          <w:p>
            <w:pPr>
              <w:pStyle w:val="TableParagraph"/>
              <w:ind w:left="146"/>
              <w:rPr>
                <w:sz w:val="20"/>
              </w:rPr>
            </w:pPr>
            <w:r>
              <w:rPr>
                <w:sz w:val="20"/>
              </w:rPr>
              <w:t>Shannon entropy, regresyon</w:t>
            </w:r>
          </w:p>
        </w:tc>
      </w:tr>
      <w:tr>
        <w:trPr>
          <w:trHeight w:val="688"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45</w:t>
            </w:r>
          </w:p>
        </w:tc>
        <w:tc>
          <w:tcPr>
            <w:tcW w:w="1559" w:type="dxa"/>
            <w:tcBorders>
              <w:top w:val="single" w:sz="4" w:space="0" w:color="7E7E7E"/>
              <w:bottom w:val="single" w:sz="4" w:space="0" w:color="7E7E7E"/>
            </w:tcBorders>
          </w:tcPr>
          <w:p>
            <w:pPr>
              <w:pStyle w:val="TableParagraph"/>
              <w:ind w:left="197" w:right="575"/>
              <w:rPr>
                <w:sz w:val="20"/>
              </w:rPr>
            </w:pPr>
            <w:r>
              <w:rPr>
                <w:sz w:val="20"/>
              </w:rPr>
              <w:t>Singh vd. (2017)</w:t>
            </w:r>
          </w:p>
        </w:tc>
        <w:tc>
          <w:tcPr>
            <w:tcW w:w="1900" w:type="dxa"/>
            <w:tcBorders>
              <w:top w:val="single" w:sz="4" w:space="0" w:color="7E7E7E"/>
              <w:bottom w:val="single" w:sz="4" w:space="0" w:color="7E7E7E"/>
            </w:tcBorders>
          </w:tcPr>
          <w:p>
            <w:pPr>
              <w:pStyle w:val="TableParagraph"/>
              <w:spacing w:line="230" w:lineRule="exact" w:before="1"/>
              <w:ind w:left="110" w:right="331"/>
              <w:rPr>
                <w:sz w:val="20"/>
              </w:rPr>
            </w:pPr>
            <w:r>
              <w:rPr>
                <w:sz w:val="20"/>
              </w:rPr>
              <w:t>Kitap, bebek ürünleri ve elektronik ürünler</w:t>
            </w:r>
          </w:p>
        </w:tc>
        <w:tc>
          <w:tcPr>
            <w:tcW w:w="968" w:type="dxa"/>
            <w:tcBorders>
              <w:top w:val="single" w:sz="4" w:space="0" w:color="7E7E7E"/>
              <w:bottom w:val="single" w:sz="4" w:space="0" w:color="7E7E7E"/>
            </w:tcBorders>
          </w:tcPr>
          <w:p>
            <w:pPr>
              <w:pStyle w:val="TableParagraph"/>
              <w:spacing w:line="228" w:lineRule="exact"/>
              <w:ind w:left="123"/>
              <w:rPr>
                <w:sz w:val="20"/>
              </w:rPr>
            </w:pPr>
            <w:r>
              <w:rPr>
                <w:sz w:val="20"/>
              </w:rPr>
              <w:t>Bireysel</w:t>
            </w:r>
          </w:p>
        </w:tc>
        <w:tc>
          <w:tcPr>
            <w:tcW w:w="1218" w:type="dxa"/>
            <w:tcBorders>
              <w:top w:val="single" w:sz="4" w:space="0" w:color="7E7E7E"/>
              <w:bottom w:val="single" w:sz="4" w:space="0" w:color="7E7E7E"/>
            </w:tcBorders>
          </w:tcPr>
          <w:p>
            <w:pPr>
              <w:pStyle w:val="TableParagraph"/>
              <w:spacing w:line="228" w:lineRule="exact"/>
              <w:ind w:left="183"/>
              <w:rPr>
                <w:sz w:val="20"/>
              </w:rPr>
            </w:pPr>
            <w:r>
              <w:rPr>
                <w:sz w:val="20"/>
              </w:rPr>
              <w:t>Tekli Kesit</w:t>
            </w:r>
          </w:p>
        </w:tc>
        <w:tc>
          <w:tcPr>
            <w:tcW w:w="2834" w:type="dxa"/>
            <w:tcBorders>
              <w:top w:val="single" w:sz="4" w:space="0" w:color="7E7E7E"/>
              <w:bottom w:val="single" w:sz="4" w:space="0" w:color="7E7E7E"/>
            </w:tcBorders>
          </w:tcPr>
          <w:p>
            <w:pPr>
              <w:pStyle w:val="TableParagraph"/>
              <w:ind w:left="146" w:right="507"/>
              <w:rPr>
                <w:sz w:val="20"/>
              </w:rPr>
            </w:pPr>
            <w:r>
              <w:rPr>
                <w:sz w:val="20"/>
              </w:rPr>
              <w:t>Entropy, topluluk öğrenme tekniği</w:t>
            </w:r>
          </w:p>
        </w:tc>
      </w:tr>
      <w:tr>
        <w:trPr>
          <w:trHeight w:val="686"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46</w:t>
            </w:r>
          </w:p>
        </w:tc>
        <w:tc>
          <w:tcPr>
            <w:tcW w:w="1559" w:type="dxa"/>
            <w:tcBorders>
              <w:top w:val="single" w:sz="4" w:space="0" w:color="7E7E7E"/>
              <w:bottom w:val="single" w:sz="4" w:space="0" w:color="7E7E7E"/>
            </w:tcBorders>
          </w:tcPr>
          <w:p>
            <w:pPr>
              <w:pStyle w:val="TableParagraph"/>
              <w:spacing w:line="237" w:lineRule="auto"/>
              <w:ind w:left="197" w:right="375"/>
              <w:rPr>
                <w:sz w:val="20"/>
              </w:rPr>
            </w:pPr>
            <w:r>
              <w:rPr>
                <w:sz w:val="20"/>
              </w:rPr>
              <w:t>Villarroel Ordenes vd.</w:t>
            </w:r>
          </w:p>
          <w:p>
            <w:pPr>
              <w:pStyle w:val="TableParagraph"/>
              <w:spacing w:line="210" w:lineRule="exact" w:before="1"/>
              <w:ind w:left="197"/>
              <w:rPr>
                <w:sz w:val="20"/>
              </w:rPr>
            </w:pPr>
            <w:r>
              <w:rPr>
                <w:sz w:val="20"/>
              </w:rPr>
              <w:t>(2017)</w:t>
            </w:r>
          </w:p>
        </w:tc>
        <w:tc>
          <w:tcPr>
            <w:tcW w:w="1900" w:type="dxa"/>
            <w:tcBorders>
              <w:top w:val="single" w:sz="4" w:space="0" w:color="7E7E7E"/>
              <w:bottom w:val="single" w:sz="4" w:space="0" w:color="7E7E7E"/>
            </w:tcBorders>
          </w:tcPr>
          <w:p>
            <w:pPr>
              <w:pStyle w:val="TableParagraph"/>
              <w:spacing w:line="228" w:lineRule="exact"/>
              <w:ind w:left="110"/>
              <w:rPr>
                <w:sz w:val="20"/>
              </w:rPr>
            </w:pPr>
            <w:r>
              <w:rPr>
                <w:sz w:val="20"/>
              </w:rPr>
              <w:t>Kitap</w:t>
            </w:r>
          </w:p>
        </w:tc>
        <w:tc>
          <w:tcPr>
            <w:tcW w:w="968" w:type="dxa"/>
            <w:tcBorders>
              <w:top w:val="single" w:sz="4" w:space="0" w:color="7E7E7E"/>
              <w:bottom w:val="single" w:sz="4" w:space="0" w:color="7E7E7E"/>
            </w:tcBorders>
          </w:tcPr>
          <w:p>
            <w:pPr>
              <w:pStyle w:val="TableParagraph"/>
              <w:spacing w:line="228" w:lineRule="exact"/>
              <w:ind w:left="123"/>
              <w:rPr>
                <w:sz w:val="20"/>
              </w:rPr>
            </w:pPr>
            <w:r>
              <w:rPr>
                <w:sz w:val="20"/>
              </w:rPr>
              <w:t>Bireysel</w:t>
            </w:r>
          </w:p>
        </w:tc>
        <w:tc>
          <w:tcPr>
            <w:tcW w:w="1218" w:type="dxa"/>
            <w:tcBorders>
              <w:top w:val="single" w:sz="4" w:space="0" w:color="7E7E7E"/>
              <w:bottom w:val="single" w:sz="4" w:space="0" w:color="7E7E7E"/>
            </w:tcBorders>
          </w:tcPr>
          <w:p>
            <w:pPr>
              <w:pStyle w:val="TableParagraph"/>
              <w:spacing w:line="228" w:lineRule="exact"/>
              <w:ind w:left="183"/>
              <w:rPr>
                <w:sz w:val="20"/>
              </w:rPr>
            </w:pPr>
            <w:r>
              <w:rPr>
                <w:sz w:val="20"/>
              </w:rPr>
              <w:t>Tekli Kesit</w:t>
            </w:r>
          </w:p>
        </w:tc>
        <w:tc>
          <w:tcPr>
            <w:tcW w:w="2834" w:type="dxa"/>
            <w:tcBorders>
              <w:top w:val="single" w:sz="4" w:space="0" w:color="7E7E7E"/>
              <w:bottom w:val="single" w:sz="4" w:space="0" w:color="7E7E7E"/>
            </w:tcBorders>
          </w:tcPr>
          <w:p>
            <w:pPr>
              <w:pStyle w:val="TableParagraph"/>
              <w:spacing w:line="228" w:lineRule="exact"/>
              <w:ind w:left="146"/>
              <w:rPr>
                <w:sz w:val="20"/>
              </w:rPr>
            </w:pPr>
            <w:r>
              <w:rPr>
                <w:sz w:val="20"/>
              </w:rPr>
              <w:t>Sıralı logit modeli</w:t>
            </w:r>
          </w:p>
        </w:tc>
      </w:tr>
      <w:tr>
        <w:trPr>
          <w:trHeight w:val="289" w:hRule="atLeast"/>
        </w:trPr>
        <w:tc>
          <w:tcPr>
            <w:tcW w:w="522" w:type="dxa"/>
            <w:tcBorders>
              <w:top w:val="single" w:sz="4" w:space="0" w:color="7E7E7E"/>
              <w:bottom w:val="single" w:sz="4" w:space="0" w:color="7E7E7E"/>
            </w:tcBorders>
          </w:tcPr>
          <w:p>
            <w:pPr>
              <w:pStyle w:val="TableParagraph"/>
              <w:ind w:left="122"/>
              <w:rPr>
                <w:sz w:val="20"/>
              </w:rPr>
            </w:pPr>
            <w:r>
              <w:rPr>
                <w:sz w:val="20"/>
              </w:rPr>
              <w:t>47</w:t>
            </w:r>
          </w:p>
        </w:tc>
        <w:tc>
          <w:tcPr>
            <w:tcW w:w="1559" w:type="dxa"/>
            <w:tcBorders>
              <w:top w:val="single" w:sz="4" w:space="0" w:color="7E7E7E"/>
              <w:bottom w:val="single" w:sz="4" w:space="0" w:color="7E7E7E"/>
            </w:tcBorders>
          </w:tcPr>
          <w:p>
            <w:pPr>
              <w:pStyle w:val="TableParagraph"/>
              <w:ind w:left="178" w:right="90"/>
              <w:jc w:val="center"/>
              <w:rPr>
                <w:sz w:val="20"/>
              </w:rPr>
            </w:pPr>
            <w:r>
              <w:rPr>
                <w:sz w:val="20"/>
              </w:rPr>
              <w:t>Fink vd. (2018)</w:t>
            </w:r>
          </w:p>
        </w:tc>
        <w:tc>
          <w:tcPr>
            <w:tcW w:w="1900" w:type="dxa"/>
            <w:tcBorders>
              <w:top w:val="single" w:sz="4" w:space="0" w:color="7E7E7E"/>
              <w:bottom w:val="single" w:sz="4" w:space="0" w:color="7E7E7E"/>
            </w:tcBorders>
          </w:tcPr>
          <w:p>
            <w:pPr>
              <w:pStyle w:val="TableParagraph"/>
              <w:ind w:left="110"/>
              <w:rPr>
                <w:sz w:val="20"/>
              </w:rPr>
            </w:pPr>
            <w:r>
              <w:rPr>
                <w:sz w:val="20"/>
              </w:rPr>
              <w:t>Mobil uygulama</w:t>
            </w:r>
          </w:p>
        </w:tc>
        <w:tc>
          <w:tcPr>
            <w:tcW w:w="968" w:type="dxa"/>
            <w:tcBorders>
              <w:top w:val="single" w:sz="4" w:space="0" w:color="7E7E7E"/>
              <w:bottom w:val="single" w:sz="4" w:space="0" w:color="7E7E7E"/>
            </w:tcBorders>
          </w:tcPr>
          <w:p>
            <w:pPr>
              <w:pStyle w:val="TableParagraph"/>
              <w:ind w:left="123"/>
              <w:rPr>
                <w:sz w:val="20"/>
              </w:rPr>
            </w:pPr>
            <w:r>
              <w:rPr>
                <w:sz w:val="20"/>
              </w:rPr>
              <w:t>Pazar</w:t>
            </w:r>
          </w:p>
        </w:tc>
        <w:tc>
          <w:tcPr>
            <w:tcW w:w="1218" w:type="dxa"/>
            <w:tcBorders>
              <w:top w:val="single" w:sz="4" w:space="0" w:color="7E7E7E"/>
              <w:bottom w:val="single" w:sz="4" w:space="0" w:color="7E7E7E"/>
            </w:tcBorders>
          </w:tcPr>
          <w:p>
            <w:pPr>
              <w:pStyle w:val="TableParagraph"/>
              <w:ind w:left="183"/>
              <w:rPr>
                <w:sz w:val="20"/>
              </w:rPr>
            </w:pPr>
            <w:r>
              <w:rPr>
                <w:sz w:val="20"/>
              </w:rPr>
              <w:t>Tekli Kesit</w:t>
            </w:r>
          </w:p>
        </w:tc>
        <w:tc>
          <w:tcPr>
            <w:tcW w:w="2834" w:type="dxa"/>
            <w:tcBorders>
              <w:top w:val="single" w:sz="4" w:space="0" w:color="7E7E7E"/>
              <w:bottom w:val="single" w:sz="4" w:space="0" w:color="7E7E7E"/>
            </w:tcBorders>
          </w:tcPr>
          <w:p>
            <w:pPr>
              <w:pStyle w:val="TableParagraph"/>
              <w:ind w:left="146"/>
              <w:rPr>
                <w:sz w:val="20"/>
              </w:rPr>
            </w:pPr>
            <w:r>
              <w:rPr>
                <w:sz w:val="20"/>
              </w:rPr>
              <w:t>Logaritmik regresyon</w:t>
            </w:r>
          </w:p>
        </w:tc>
      </w:tr>
      <w:tr>
        <w:trPr>
          <w:trHeight w:val="690" w:hRule="atLeast"/>
        </w:trPr>
        <w:tc>
          <w:tcPr>
            <w:tcW w:w="522" w:type="dxa"/>
            <w:tcBorders>
              <w:top w:val="single" w:sz="4" w:space="0" w:color="7E7E7E"/>
              <w:bottom w:val="single" w:sz="4" w:space="0" w:color="7E7E7E"/>
            </w:tcBorders>
          </w:tcPr>
          <w:p>
            <w:pPr>
              <w:pStyle w:val="TableParagraph"/>
              <w:ind w:left="122"/>
              <w:rPr>
                <w:sz w:val="20"/>
              </w:rPr>
            </w:pPr>
            <w:r>
              <w:rPr>
                <w:sz w:val="20"/>
              </w:rPr>
              <w:t>48</w:t>
            </w:r>
          </w:p>
        </w:tc>
        <w:tc>
          <w:tcPr>
            <w:tcW w:w="1559" w:type="dxa"/>
            <w:tcBorders>
              <w:top w:val="single" w:sz="4" w:space="0" w:color="7E7E7E"/>
              <w:bottom w:val="single" w:sz="4" w:space="0" w:color="7E7E7E"/>
            </w:tcBorders>
          </w:tcPr>
          <w:p>
            <w:pPr>
              <w:pStyle w:val="TableParagraph"/>
              <w:spacing w:line="230" w:lineRule="atLeast"/>
              <w:ind w:left="197" w:right="347"/>
              <w:rPr>
                <w:sz w:val="20"/>
              </w:rPr>
            </w:pPr>
            <w:r>
              <w:rPr>
                <w:sz w:val="20"/>
              </w:rPr>
              <w:t>Goldberg ve Abrahams (2018)</w:t>
            </w:r>
          </w:p>
        </w:tc>
        <w:tc>
          <w:tcPr>
            <w:tcW w:w="1900" w:type="dxa"/>
            <w:tcBorders>
              <w:top w:val="single" w:sz="4" w:space="0" w:color="7E7E7E"/>
              <w:bottom w:val="single" w:sz="4" w:space="0" w:color="7E7E7E"/>
            </w:tcBorders>
          </w:tcPr>
          <w:p>
            <w:pPr>
              <w:pStyle w:val="TableParagraph"/>
              <w:spacing w:line="230" w:lineRule="atLeast"/>
              <w:ind w:left="110" w:right="264"/>
              <w:rPr>
                <w:sz w:val="20"/>
              </w:rPr>
            </w:pPr>
            <w:r>
              <w:rPr>
                <w:sz w:val="20"/>
              </w:rPr>
              <w:t>Set üstü ürünler ve reçetesiz satılan ilaçlar</w:t>
            </w:r>
          </w:p>
        </w:tc>
        <w:tc>
          <w:tcPr>
            <w:tcW w:w="968" w:type="dxa"/>
            <w:tcBorders>
              <w:top w:val="single" w:sz="4" w:space="0" w:color="7E7E7E"/>
              <w:bottom w:val="single" w:sz="4" w:space="0" w:color="7E7E7E"/>
            </w:tcBorders>
          </w:tcPr>
          <w:p>
            <w:pPr>
              <w:pStyle w:val="TableParagraph"/>
              <w:ind w:left="123"/>
              <w:rPr>
                <w:sz w:val="20"/>
              </w:rPr>
            </w:pPr>
            <w:r>
              <w:rPr>
                <w:sz w:val="20"/>
              </w:rPr>
              <w:t>Bireysel</w:t>
            </w:r>
          </w:p>
        </w:tc>
        <w:tc>
          <w:tcPr>
            <w:tcW w:w="1218" w:type="dxa"/>
            <w:tcBorders>
              <w:top w:val="single" w:sz="4" w:space="0" w:color="7E7E7E"/>
              <w:bottom w:val="single" w:sz="4" w:space="0" w:color="7E7E7E"/>
            </w:tcBorders>
          </w:tcPr>
          <w:p>
            <w:pPr>
              <w:pStyle w:val="TableParagraph"/>
              <w:ind w:left="183"/>
              <w:rPr>
                <w:sz w:val="20"/>
              </w:rPr>
            </w:pPr>
            <w:r>
              <w:rPr>
                <w:sz w:val="20"/>
              </w:rPr>
              <w:t>Tekli Kesit</w:t>
            </w:r>
          </w:p>
        </w:tc>
        <w:tc>
          <w:tcPr>
            <w:tcW w:w="2834" w:type="dxa"/>
            <w:tcBorders>
              <w:top w:val="single" w:sz="4" w:space="0" w:color="7E7E7E"/>
              <w:bottom w:val="single" w:sz="4" w:space="0" w:color="7E7E7E"/>
            </w:tcBorders>
          </w:tcPr>
          <w:p>
            <w:pPr>
              <w:pStyle w:val="TableParagraph"/>
              <w:ind w:left="146" w:right="313"/>
              <w:rPr>
                <w:sz w:val="20"/>
              </w:rPr>
            </w:pPr>
            <w:r>
              <w:rPr>
                <w:sz w:val="20"/>
              </w:rPr>
              <w:t>Maksimizasyon (Tabu search heuristic)</w:t>
            </w:r>
          </w:p>
        </w:tc>
      </w:tr>
      <w:tr>
        <w:trPr>
          <w:trHeight w:val="688" w:hRule="atLeast"/>
        </w:trPr>
        <w:tc>
          <w:tcPr>
            <w:tcW w:w="522" w:type="dxa"/>
            <w:tcBorders>
              <w:top w:val="single" w:sz="4" w:space="0" w:color="7E7E7E"/>
              <w:bottom w:val="single" w:sz="4" w:space="0" w:color="7E7E7E"/>
            </w:tcBorders>
          </w:tcPr>
          <w:p>
            <w:pPr>
              <w:pStyle w:val="TableParagraph"/>
              <w:ind w:left="122"/>
              <w:rPr>
                <w:sz w:val="20"/>
              </w:rPr>
            </w:pPr>
            <w:r>
              <w:rPr>
                <w:sz w:val="20"/>
              </w:rPr>
              <w:t>49</w:t>
            </w:r>
          </w:p>
        </w:tc>
        <w:tc>
          <w:tcPr>
            <w:tcW w:w="1559" w:type="dxa"/>
            <w:tcBorders>
              <w:top w:val="single" w:sz="4" w:space="0" w:color="7E7E7E"/>
              <w:bottom w:val="single" w:sz="4" w:space="0" w:color="7E7E7E"/>
            </w:tcBorders>
          </w:tcPr>
          <w:p>
            <w:pPr>
              <w:pStyle w:val="TableParagraph"/>
              <w:ind w:left="80" w:right="112"/>
              <w:jc w:val="center"/>
              <w:rPr>
                <w:sz w:val="20"/>
              </w:rPr>
            </w:pPr>
            <w:r>
              <w:rPr>
                <w:sz w:val="20"/>
              </w:rPr>
              <w:t>Hu vd. (2018)</w:t>
            </w:r>
          </w:p>
        </w:tc>
        <w:tc>
          <w:tcPr>
            <w:tcW w:w="1900" w:type="dxa"/>
            <w:tcBorders>
              <w:top w:val="single" w:sz="4" w:space="0" w:color="7E7E7E"/>
              <w:bottom w:val="single" w:sz="4" w:space="0" w:color="7E7E7E"/>
            </w:tcBorders>
          </w:tcPr>
          <w:p>
            <w:pPr>
              <w:pStyle w:val="TableParagraph"/>
              <w:ind w:left="110"/>
              <w:rPr>
                <w:sz w:val="20"/>
              </w:rPr>
            </w:pPr>
            <w:r>
              <w:rPr>
                <w:sz w:val="20"/>
              </w:rPr>
              <w:t>Kitap ve DVD</w:t>
            </w:r>
          </w:p>
        </w:tc>
        <w:tc>
          <w:tcPr>
            <w:tcW w:w="968" w:type="dxa"/>
            <w:tcBorders>
              <w:top w:val="single" w:sz="4" w:space="0" w:color="7E7E7E"/>
              <w:bottom w:val="single" w:sz="4" w:space="0" w:color="7E7E7E"/>
            </w:tcBorders>
          </w:tcPr>
          <w:p>
            <w:pPr>
              <w:pStyle w:val="TableParagraph"/>
              <w:ind w:left="123"/>
              <w:rPr>
                <w:sz w:val="20"/>
              </w:rPr>
            </w:pPr>
            <w:r>
              <w:rPr>
                <w:sz w:val="20"/>
              </w:rPr>
              <w:t>Pazar</w:t>
            </w:r>
          </w:p>
        </w:tc>
        <w:tc>
          <w:tcPr>
            <w:tcW w:w="1218" w:type="dxa"/>
            <w:tcBorders>
              <w:top w:val="single" w:sz="4" w:space="0" w:color="7E7E7E"/>
              <w:bottom w:val="single" w:sz="4" w:space="0" w:color="7E7E7E"/>
            </w:tcBorders>
          </w:tcPr>
          <w:p>
            <w:pPr>
              <w:pStyle w:val="TableParagraph"/>
              <w:ind w:left="183"/>
              <w:rPr>
                <w:sz w:val="20"/>
              </w:rPr>
            </w:pPr>
            <w:r>
              <w:rPr>
                <w:sz w:val="20"/>
              </w:rPr>
              <w:t>Panel</w:t>
            </w:r>
          </w:p>
        </w:tc>
        <w:tc>
          <w:tcPr>
            <w:tcW w:w="2834" w:type="dxa"/>
            <w:tcBorders>
              <w:top w:val="single" w:sz="4" w:space="0" w:color="7E7E7E"/>
              <w:bottom w:val="single" w:sz="4" w:space="0" w:color="7E7E7E"/>
            </w:tcBorders>
          </w:tcPr>
          <w:p>
            <w:pPr>
              <w:pStyle w:val="TableParagraph"/>
              <w:ind w:left="146"/>
              <w:rPr>
                <w:sz w:val="20"/>
              </w:rPr>
            </w:pPr>
            <w:r>
              <w:rPr>
                <w:sz w:val="20"/>
              </w:rPr>
              <w:t>Logaritmik regresyon, Sınırlı</w:t>
            </w:r>
          </w:p>
          <w:p>
            <w:pPr>
              <w:pStyle w:val="TableParagraph"/>
              <w:spacing w:line="228" w:lineRule="exact" w:before="5"/>
              <w:ind w:left="146" w:right="374"/>
              <w:rPr>
                <w:sz w:val="20"/>
              </w:rPr>
            </w:pPr>
            <w:r>
              <w:rPr>
                <w:sz w:val="20"/>
              </w:rPr>
              <w:t>Bilgi Maksimum Olabilirlik Tahmin Yöntemi (LIML)</w:t>
            </w:r>
          </w:p>
        </w:tc>
      </w:tr>
      <w:tr>
        <w:trPr>
          <w:trHeight w:val="458"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50</w:t>
            </w:r>
          </w:p>
        </w:tc>
        <w:tc>
          <w:tcPr>
            <w:tcW w:w="1559" w:type="dxa"/>
            <w:tcBorders>
              <w:top w:val="single" w:sz="4" w:space="0" w:color="7E7E7E"/>
              <w:bottom w:val="single" w:sz="4" w:space="0" w:color="7E7E7E"/>
            </w:tcBorders>
          </w:tcPr>
          <w:p>
            <w:pPr>
              <w:pStyle w:val="TableParagraph"/>
              <w:spacing w:line="230" w:lineRule="exact" w:before="1"/>
              <w:ind w:left="197" w:right="208"/>
              <w:rPr>
                <w:sz w:val="20"/>
              </w:rPr>
            </w:pPr>
            <w:r>
              <w:rPr>
                <w:sz w:val="20"/>
              </w:rPr>
              <w:t>Li ve Shimizu (2018)</w:t>
            </w:r>
          </w:p>
        </w:tc>
        <w:tc>
          <w:tcPr>
            <w:tcW w:w="1900" w:type="dxa"/>
            <w:tcBorders>
              <w:top w:val="single" w:sz="4" w:space="0" w:color="7E7E7E"/>
              <w:bottom w:val="single" w:sz="4" w:space="0" w:color="7E7E7E"/>
            </w:tcBorders>
          </w:tcPr>
          <w:p>
            <w:pPr>
              <w:pStyle w:val="TableParagraph"/>
              <w:spacing w:line="230" w:lineRule="exact" w:before="1"/>
              <w:ind w:left="110" w:right="103"/>
              <w:rPr>
                <w:sz w:val="20"/>
              </w:rPr>
            </w:pPr>
            <w:r>
              <w:rPr>
                <w:sz w:val="20"/>
              </w:rPr>
              <w:t>Taşınabilir şarj aleti, kulaklık ve ayakkabı</w:t>
            </w:r>
          </w:p>
        </w:tc>
        <w:tc>
          <w:tcPr>
            <w:tcW w:w="968" w:type="dxa"/>
            <w:tcBorders>
              <w:top w:val="single" w:sz="4" w:space="0" w:color="7E7E7E"/>
              <w:bottom w:val="single" w:sz="4" w:space="0" w:color="7E7E7E"/>
            </w:tcBorders>
          </w:tcPr>
          <w:p>
            <w:pPr>
              <w:pStyle w:val="TableParagraph"/>
              <w:spacing w:line="228" w:lineRule="exact"/>
              <w:ind w:left="123"/>
              <w:rPr>
                <w:sz w:val="20"/>
              </w:rPr>
            </w:pPr>
            <w:r>
              <w:rPr>
                <w:sz w:val="20"/>
              </w:rPr>
              <w:t>Pazar</w:t>
            </w:r>
          </w:p>
        </w:tc>
        <w:tc>
          <w:tcPr>
            <w:tcW w:w="1218" w:type="dxa"/>
            <w:tcBorders>
              <w:top w:val="single" w:sz="4" w:space="0" w:color="7E7E7E"/>
              <w:bottom w:val="single" w:sz="4" w:space="0" w:color="7E7E7E"/>
            </w:tcBorders>
          </w:tcPr>
          <w:p>
            <w:pPr>
              <w:pStyle w:val="TableParagraph"/>
              <w:spacing w:line="228" w:lineRule="exact"/>
              <w:ind w:left="183"/>
              <w:rPr>
                <w:sz w:val="20"/>
              </w:rPr>
            </w:pPr>
            <w:r>
              <w:rPr>
                <w:sz w:val="20"/>
              </w:rPr>
              <w:t>Boylamsal</w:t>
            </w:r>
          </w:p>
        </w:tc>
        <w:tc>
          <w:tcPr>
            <w:tcW w:w="2834" w:type="dxa"/>
            <w:tcBorders>
              <w:top w:val="single" w:sz="4" w:space="0" w:color="7E7E7E"/>
              <w:bottom w:val="single" w:sz="4" w:space="0" w:color="7E7E7E"/>
            </w:tcBorders>
          </w:tcPr>
          <w:p>
            <w:pPr>
              <w:pStyle w:val="TableParagraph"/>
              <w:spacing w:line="230" w:lineRule="exact" w:before="1"/>
              <w:ind w:left="146" w:right="107"/>
              <w:rPr>
                <w:sz w:val="20"/>
              </w:rPr>
            </w:pPr>
            <w:r>
              <w:rPr>
                <w:sz w:val="20"/>
              </w:rPr>
              <w:t>Lineer regresyon, kuatratik regresyon, logaritmik regresyon</w:t>
            </w:r>
          </w:p>
        </w:tc>
      </w:tr>
      <w:tr>
        <w:trPr>
          <w:trHeight w:val="457"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51</w:t>
            </w:r>
          </w:p>
        </w:tc>
        <w:tc>
          <w:tcPr>
            <w:tcW w:w="1559" w:type="dxa"/>
            <w:tcBorders>
              <w:top w:val="single" w:sz="4" w:space="0" w:color="7E7E7E"/>
              <w:bottom w:val="single" w:sz="4" w:space="0" w:color="7E7E7E"/>
            </w:tcBorders>
          </w:tcPr>
          <w:p>
            <w:pPr>
              <w:pStyle w:val="TableParagraph"/>
              <w:spacing w:line="228" w:lineRule="exact"/>
              <w:ind w:left="59" w:right="112"/>
              <w:jc w:val="center"/>
              <w:rPr>
                <w:sz w:val="20"/>
              </w:rPr>
            </w:pPr>
            <w:r>
              <w:rPr>
                <w:sz w:val="20"/>
              </w:rPr>
              <w:t>Lu vd. (2018)</w:t>
            </w:r>
          </w:p>
        </w:tc>
        <w:tc>
          <w:tcPr>
            <w:tcW w:w="1900" w:type="dxa"/>
            <w:tcBorders>
              <w:top w:val="single" w:sz="4" w:space="0" w:color="7E7E7E"/>
              <w:bottom w:val="single" w:sz="4" w:space="0" w:color="7E7E7E"/>
            </w:tcBorders>
          </w:tcPr>
          <w:p>
            <w:pPr>
              <w:pStyle w:val="TableParagraph"/>
              <w:spacing w:line="228" w:lineRule="exact"/>
              <w:ind w:left="110"/>
              <w:rPr>
                <w:sz w:val="20"/>
              </w:rPr>
            </w:pPr>
            <w:r>
              <w:rPr>
                <w:sz w:val="20"/>
              </w:rPr>
              <w:t>Kindle</w:t>
            </w:r>
          </w:p>
        </w:tc>
        <w:tc>
          <w:tcPr>
            <w:tcW w:w="968" w:type="dxa"/>
            <w:tcBorders>
              <w:top w:val="single" w:sz="4" w:space="0" w:color="7E7E7E"/>
              <w:bottom w:val="single" w:sz="4" w:space="0" w:color="7E7E7E"/>
            </w:tcBorders>
          </w:tcPr>
          <w:p>
            <w:pPr>
              <w:pStyle w:val="TableParagraph"/>
              <w:spacing w:line="228" w:lineRule="exact"/>
              <w:ind w:left="123"/>
              <w:rPr>
                <w:sz w:val="20"/>
              </w:rPr>
            </w:pPr>
            <w:r>
              <w:rPr>
                <w:sz w:val="20"/>
              </w:rPr>
              <w:t>Bireysel</w:t>
            </w:r>
          </w:p>
        </w:tc>
        <w:tc>
          <w:tcPr>
            <w:tcW w:w="1218" w:type="dxa"/>
            <w:tcBorders>
              <w:top w:val="single" w:sz="4" w:space="0" w:color="7E7E7E"/>
              <w:bottom w:val="single" w:sz="4" w:space="0" w:color="7E7E7E"/>
            </w:tcBorders>
          </w:tcPr>
          <w:p>
            <w:pPr>
              <w:pStyle w:val="TableParagraph"/>
              <w:spacing w:line="228" w:lineRule="exact"/>
              <w:ind w:left="183"/>
              <w:rPr>
                <w:sz w:val="20"/>
              </w:rPr>
            </w:pPr>
            <w:r>
              <w:rPr>
                <w:sz w:val="20"/>
              </w:rPr>
              <w:t>Panel</w:t>
            </w:r>
          </w:p>
        </w:tc>
        <w:tc>
          <w:tcPr>
            <w:tcW w:w="2834" w:type="dxa"/>
            <w:tcBorders>
              <w:top w:val="single" w:sz="4" w:space="0" w:color="7E7E7E"/>
              <w:bottom w:val="single" w:sz="4" w:space="0" w:color="7E7E7E"/>
            </w:tcBorders>
          </w:tcPr>
          <w:p>
            <w:pPr>
              <w:pStyle w:val="TableParagraph"/>
              <w:spacing w:line="230" w:lineRule="exact"/>
              <w:ind w:left="146" w:right="568"/>
              <w:rPr>
                <w:sz w:val="20"/>
              </w:rPr>
            </w:pPr>
            <w:r>
              <w:rPr>
                <w:sz w:val="20"/>
              </w:rPr>
              <w:t>Panel vektör otoregresyon (PVAR), Tobit model</w:t>
            </w:r>
          </w:p>
        </w:tc>
      </w:tr>
      <w:tr>
        <w:trPr>
          <w:trHeight w:val="688"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52</w:t>
            </w:r>
          </w:p>
        </w:tc>
        <w:tc>
          <w:tcPr>
            <w:tcW w:w="1559" w:type="dxa"/>
            <w:tcBorders>
              <w:top w:val="single" w:sz="4" w:space="0" w:color="7E7E7E"/>
              <w:bottom w:val="single" w:sz="4" w:space="0" w:color="7E7E7E"/>
            </w:tcBorders>
          </w:tcPr>
          <w:p>
            <w:pPr>
              <w:pStyle w:val="TableParagraph"/>
              <w:ind w:left="197" w:right="403"/>
              <w:rPr>
                <w:sz w:val="20"/>
              </w:rPr>
            </w:pPr>
            <w:r>
              <w:rPr>
                <w:sz w:val="20"/>
              </w:rPr>
              <w:t>Suryadi ve Kim (2018)</w:t>
            </w:r>
          </w:p>
        </w:tc>
        <w:tc>
          <w:tcPr>
            <w:tcW w:w="1900" w:type="dxa"/>
            <w:tcBorders>
              <w:top w:val="single" w:sz="4" w:space="0" w:color="7E7E7E"/>
              <w:bottom w:val="single" w:sz="4" w:space="0" w:color="7E7E7E"/>
            </w:tcBorders>
          </w:tcPr>
          <w:p>
            <w:pPr>
              <w:pStyle w:val="TableParagraph"/>
              <w:spacing w:line="230" w:lineRule="exact" w:before="1"/>
              <w:ind w:left="110" w:right="175"/>
              <w:rPr>
                <w:sz w:val="20"/>
              </w:rPr>
            </w:pPr>
            <w:r>
              <w:rPr>
                <w:sz w:val="20"/>
              </w:rPr>
              <w:t>Giyilebilir teknoloji ürünleri ve dizüstü bilgisayar</w:t>
            </w:r>
          </w:p>
        </w:tc>
        <w:tc>
          <w:tcPr>
            <w:tcW w:w="968" w:type="dxa"/>
            <w:tcBorders>
              <w:top w:val="single" w:sz="4" w:space="0" w:color="7E7E7E"/>
              <w:bottom w:val="single" w:sz="4" w:space="0" w:color="7E7E7E"/>
            </w:tcBorders>
          </w:tcPr>
          <w:p>
            <w:pPr>
              <w:pStyle w:val="TableParagraph"/>
              <w:spacing w:line="228" w:lineRule="exact"/>
              <w:ind w:left="123"/>
              <w:rPr>
                <w:sz w:val="20"/>
              </w:rPr>
            </w:pPr>
            <w:r>
              <w:rPr>
                <w:sz w:val="20"/>
              </w:rPr>
              <w:t>Pazar</w:t>
            </w:r>
          </w:p>
        </w:tc>
        <w:tc>
          <w:tcPr>
            <w:tcW w:w="1218" w:type="dxa"/>
            <w:tcBorders>
              <w:top w:val="single" w:sz="4" w:space="0" w:color="7E7E7E"/>
              <w:bottom w:val="single" w:sz="4" w:space="0" w:color="7E7E7E"/>
            </w:tcBorders>
          </w:tcPr>
          <w:p>
            <w:pPr>
              <w:pStyle w:val="TableParagraph"/>
              <w:spacing w:line="228" w:lineRule="exact"/>
              <w:ind w:left="183"/>
              <w:rPr>
                <w:sz w:val="20"/>
              </w:rPr>
            </w:pPr>
            <w:r>
              <w:rPr>
                <w:sz w:val="20"/>
              </w:rPr>
              <w:t>Panel</w:t>
            </w:r>
          </w:p>
        </w:tc>
        <w:tc>
          <w:tcPr>
            <w:tcW w:w="2834" w:type="dxa"/>
            <w:tcBorders>
              <w:top w:val="single" w:sz="4" w:space="0" w:color="7E7E7E"/>
              <w:bottom w:val="single" w:sz="4" w:space="0" w:color="7E7E7E"/>
            </w:tcBorders>
          </w:tcPr>
          <w:p>
            <w:pPr>
              <w:pStyle w:val="TableParagraph"/>
              <w:spacing w:line="228" w:lineRule="exact"/>
              <w:ind w:left="146"/>
              <w:rPr>
                <w:sz w:val="20"/>
              </w:rPr>
            </w:pPr>
            <w:r>
              <w:rPr>
                <w:sz w:val="20"/>
              </w:rPr>
              <w:t>Logaritmik regresyon</w:t>
            </w:r>
          </w:p>
        </w:tc>
      </w:tr>
      <w:tr>
        <w:trPr>
          <w:trHeight w:val="458"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53</w:t>
            </w:r>
          </w:p>
        </w:tc>
        <w:tc>
          <w:tcPr>
            <w:tcW w:w="1559" w:type="dxa"/>
            <w:tcBorders>
              <w:top w:val="single" w:sz="4" w:space="0" w:color="7E7E7E"/>
              <w:bottom w:val="single" w:sz="4" w:space="0" w:color="7E7E7E"/>
            </w:tcBorders>
          </w:tcPr>
          <w:p>
            <w:pPr>
              <w:pStyle w:val="TableParagraph"/>
              <w:spacing w:line="230" w:lineRule="exact"/>
              <w:ind w:left="197" w:right="564"/>
              <w:rPr>
                <w:sz w:val="20"/>
              </w:rPr>
            </w:pPr>
            <w:r>
              <w:rPr>
                <w:sz w:val="20"/>
              </w:rPr>
              <w:t>Wang vd. (2018)</w:t>
            </w:r>
          </w:p>
        </w:tc>
        <w:tc>
          <w:tcPr>
            <w:tcW w:w="1900" w:type="dxa"/>
            <w:tcBorders>
              <w:top w:val="single" w:sz="4" w:space="0" w:color="7E7E7E"/>
              <w:bottom w:val="single" w:sz="4" w:space="0" w:color="7E7E7E"/>
            </w:tcBorders>
          </w:tcPr>
          <w:p>
            <w:pPr>
              <w:pStyle w:val="TableParagraph"/>
              <w:spacing w:line="228" w:lineRule="exact"/>
              <w:ind w:left="110"/>
              <w:rPr>
                <w:sz w:val="20"/>
              </w:rPr>
            </w:pPr>
            <w:r>
              <w:rPr>
                <w:sz w:val="20"/>
              </w:rPr>
              <w:t>Saç fırçası</w:t>
            </w:r>
          </w:p>
        </w:tc>
        <w:tc>
          <w:tcPr>
            <w:tcW w:w="968" w:type="dxa"/>
            <w:tcBorders>
              <w:top w:val="single" w:sz="4" w:space="0" w:color="7E7E7E"/>
              <w:bottom w:val="single" w:sz="4" w:space="0" w:color="7E7E7E"/>
            </w:tcBorders>
          </w:tcPr>
          <w:p>
            <w:pPr>
              <w:pStyle w:val="TableParagraph"/>
              <w:spacing w:line="228" w:lineRule="exact"/>
              <w:ind w:left="123"/>
              <w:rPr>
                <w:sz w:val="20"/>
              </w:rPr>
            </w:pPr>
            <w:r>
              <w:rPr>
                <w:sz w:val="20"/>
              </w:rPr>
              <w:t>Bireysel</w:t>
            </w:r>
          </w:p>
        </w:tc>
        <w:tc>
          <w:tcPr>
            <w:tcW w:w="1218" w:type="dxa"/>
            <w:tcBorders>
              <w:top w:val="single" w:sz="4" w:space="0" w:color="7E7E7E"/>
              <w:bottom w:val="single" w:sz="4" w:space="0" w:color="7E7E7E"/>
            </w:tcBorders>
          </w:tcPr>
          <w:p>
            <w:pPr>
              <w:pStyle w:val="TableParagraph"/>
              <w:spacing w:line="228" w:lineRule="exact"/>
              <w:ind w:left="183"/>
              <w:rPr>
                <w:sz w:val="20"/>
              </w:rPr>
            </w:pPr>
            <w:r>
              <w:rPr>
                <w:sz w:val="20"/>
              </w:rPr>
              <w:t>Tekli Kesit</w:t>
            </w:r>
          </w:p>
        </w:tc>
        <w:tc>
          <w:tcPr>
            <w:tcW w:w="2834" w:type="dxa"/>
            <w:tcBorders>
              <w:top w:val="single" w:sz="4" w:space="0" w:color="7E7E7E"/>
              <w:bottom w:val="single" w:sz="4" w:space="0" w:color="7E7E7E"/>
            </w:tcBorders>
          </w:tcPr>
          <w:p>
            <w:pPr>
              <w:pStyle w:val="TableParagraph"/>
              <w:spacing w:line="228" w:lineRule="exact"/>
              <w:ind w:left="146"/>
              <w:rPr>
                <w:sz w:val="20"/>
              </w:rPr>
            </w:pPr>
            <w:r>
              <w:rPr>
                <w:sz w:val="20"/>
              </w:rPr>
              <w:t>Sıralı logit modeli</w:t>
            </w:r>
          </w:p>
        </w:tc>
      </w:tr>
    </w:tbl>
    <w:p>
      <w:pPr>
        <w:spacing w:after="0" w:line="228" w:lineRule="exact"/>
        <w:rPr>
          <w:sz w:val="20"/>
        </w:rPr>
        <w:sectPr>
          <w:pgSz w:w="12240" w:h="15840"/>
          <w:pgMar w:header="718" w:footer="0" w:top="1300" w:bottom="280" w:left="1720" w:right="820"/>
        </w:sectPr>
      </w:pPr>
    </w:p>
    <w:p>
      <w:pPr>
        <w:pStyle w:val="BodyText"/>
        <w:spacing w:before="9"/>
        <w:ind w:left="0"/>
        <w:jc w:val="left"/>
        <w:rPr>
          <w:sz w:val="8"/>
        </w:rPr>
      </w:pP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
        <w:gridCol w:w="1537"/>
        <w:gridCol w:w="1933"/>
        <w:gridCol w:w="959"/>
        <w:gridCol w:w="1219"/>
        <w:gridCol w:w="2835"/>
      </w:tblGrid>
      <w:tr>
        <w:trPr>
          <w:trHeight w:val="460" w:hRule="atLeast"/>
        </w:trPr>
        <w:tc>
          <w:tcPr>
            <w:tcW w:w="522" w:type="dxa"/>
            <w:tcBorders>
              <w:top w:val="single" w:sz="4" w:space="0" w:color="7E7E7E"/>
              <w:bottom w:val="single" w:sz="4" w:space="0" w:color="7E7E7E"/>
            </w:tcBorders>
          </w:tcPr>
          <w:p>
            <w:pPr>
              <w:pStyle w:val="TableParagraph"/>
              <w:ind w:left="122"/>
              <w:rPr>
                <w:sz w:val="20"/>
              </w:rPr>
            </w:pPr>
            <w:r>
              <w:rPr>
                <w:sz w:val="20"/>
              </w:rPr>
              <w:t>54</w:t>
            </w:r>
          </w:p>
        </w:tc>
        <w:tc>
          <w:tcPr>
            <w:tcW w:w="1537" w:type="dxa"/>
            <w:tcBorders>
              <w:top w:val="single" w:sz="4" w:space="0" w:color="7E7E7E"/>
              <w:bottom w:val="single" w:sz="4" w:space="0" w:color="7E7E7E"/>
            </w:tcBorders>
          </w:tcPr>
          <w:p>
            <w:pPr>
              <w:pStyle w:val="TableParagraph"/>
              <w:ind w:left="197"/>
              <w:rPr>
                <w:sz w:val="20"/>
              </w:rPr>
            </w:pPr>
            <w:r>
              <w:rPr>
                <w:sz w:val="20"/>
              </w:rPr>
              <w:t>Bao vd. (2019)</w:t>
            </w:r>
          </w:p>
        </w:tc>
        <w:tc>
          <w:tcPr>
            <w:tcW w:w="1933" w:type="dxa"/>
            <w:tcBorders>
              <w:top w:val="single" w:sz="4" w:space="0" w:color="7E7E7E"/>
              <w:bottom w:val="single" w:sz="4" w:space="0" w:color="7E7E7E"/>
            </w:tcBorders>
          </w:tcPr>
          <w:p>
            <w:pPr>
              <w:pStyle w:val="TableParagraph"/>
              <w:spacing w:line="230" w:lineRule="exact" w:before="3"/>
              <w:ind w:left="132" w:right="203"/>
              <w:rPr>
                <w:sz w:val="20"/>
              </w:rPr>
            </w:pPr>
            <w:r>
              <w:rPr>
                <w:sz w:val="20"/>
              </w:rPr>
              <w:t>Kitap, müzik, DVD ve VHS</w:t>
            </w:r>
          </w:p>
        </w:tc>
        <w:tc>
          <w:tcPr>
            <w:tcW w:w="959" w:type="dxa"/>
            <w:tcBorders>
              <w:top w:val="single" w:sz="4" w:space="0" w:color="7E7E7E"/>
              <w:bottom w:val="single" w:sz="4" w:space="0" w:color="7E7E7E"/>
            </w:tcBorders>
          </w:tcPr>
          <w:p>
            <w:pPr>
              <w:pStyle w:val="TableParagraph"/>
              <w:ind w:left="112"/>
              <w:rPr>
                <w:sz w:val="20"/>
              </w:rPr>
            </w:pPr>
            <w:r>
              <w:rPr>
                <w:sz w:val="20"/>
              </w:rPr>
              <w:t>Pazar</w:t>
            </w:r>
          </w:p>
        </w:tc>
        <w:tc>
          <w:tcPr>
            <w:tcW w:w="1219" w:type="dxa"/>
            <w:tcBorders>
              <w:top w:val="single" w:sz="4" w:space="0" w:color="7E7E7E"/>
              <w:bottom w:val="single" w:sz="4" w:space="0" w:color="7E7E7E"/>
            </w:tcBorders>
          </w:tcPr>
          <w:p>
            <w:pPr>
              <w:pStyle w:val="TableParagraph"/>
              <w:ind w:left="181"/>
              <w:rPr>
                <w:sz w:val="20"/>
              </w:rPr>
            </w:pPr>
            <w:r>
              <w:rPr>
                <w:sz w:val="20"/>
              </w:rPr>
              <w:t>Panel</w:t>
            </w:r>
          </w:p>
        </w:tc>
        <w:tc>
          <w:tcPr>
            <w:tcW w:w="2835" w:type="dxa"/>
            <w:tcBorders>
              <w:top w:val="single" w:sz="4" w:space="0" w:color="7E7E7E"/>
              <w:bottom w:val="single" w:sz="4" w:space="0" w:color="7E7E7E"/>
            </w:tcBorders>
          </w:tcPr>
          <w:p>
            <w:pPr>
              <w:pStyle w:val="TableParagraph"/>
              <w:spacing w:line="230" w:lineRule="exact" w:before="3"/>
              <w:ind w:left="143" w:right="883"/>
              <w:rPr>
                <w:sz w:val="20"/>
              </w:rPr>
            </w:pPr>
            <w:r>
              <w:rPr>
                <w:sz w:val="20"/>
              </w:rPr>
              <w:t>Logaritmik regresyon, regresyon</w:t>
            </w:r>
          </w:p>
        </w:tc>
      </w:tr>
      <w:tr>
        <w:trPr>
          <w:trHeight w:val="455"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55</w:t>
            </w:r>
          </w:p>
        </w:tc>
        <w:tc>
          <w:tcPr>
            <w:tcW w:w="1537" w:type="dxa"/>
            <w:tcBorders>
              <w:top w:val="single" w:sz="4" w:space="0" w:color="7E7E7E"/>
              <w:bottom w:val="single" w:sz="4" w:space="0" w:color="7E7E7E"/>
            </w:tcBorders>
          </w:tcPr>
          <w:p>
            <w:pPr>
              <w:pStyle w:val="TableParagraph"/>
              <w:spacing w:line="228" w:lineRule="exact" w:before="2"/>
              <w:ind w:left="197" w:right="531"/>
              <w:rPr>
                <w:sz w:val="20"/>
              </w:rPr>
            </w:pPr>
            <w:r>
              <w:rPr>
                <w:sz w:val="20"/>
              </w:rPr>
              <w:t>Bleier vd. (2019)</w:t>
            </w:r>
          </w:p>
        </w:tc>
        <w:tc>
          <w:tcPr>
            <w:tcW w:w="1933" w:type="dxa"/>
            <w:tcBorders>
              <w:top w:val="single" w:sz="4" w:space="0" w:color="7E7E7E"/>
              <w:bottom w:val="single" w:sz="4" w:space="0" w:color="7E7E7E"/>
            </w:tcBorders>
          </w:tcPr>
          <w:p>
            <w:pPr>
              <w:pStyle w:val="TableParagraph"/>
              <w:spacing w:line="228" w:lineRule="exact" w:before="2"/>
              <w:ind w:left="132" w:right="364"/>
              <w:rPr>
                <w:sz w:val="20"/>
              </w:rPr>
            </w:pPr>
            <w:r>
              <w:rPr>
                <w:sz w:val="20"/>
              </w:rPr>
              <w:t>Kablosuz internet yönlendiricileri</w:t>
            </w:r>
          </w:p>
        </w:tc>
        <w:tc>
          <w:tcPr>
            <w:tcW w:w="959" w:type="dxa"/>
            <w:tcBorders>
              <w:top w:val="single" w:sz="4" w:space="0" w:color="7E7E7E"/>
              <w:bottom w:val="single" w:sz="4" w:space="0" w:color="7E7E7E"/>
            </w:tcBorders>
          </w:tcPr>
          <w:p>
            <w:pPr>
              <w:pStyle w:val="TableParagraph"/>
              <w:spacing w:line="228" w:lineRule="exact"/>
              <w:ind w:left="112"/>
              <w:rPr>
                <w:sz w:val="20"/>
              </w:rPr>
            </w:pPr>
            <w:r>
              <w:rPr>
                <w:sz w:val="20"/>
              </w:rPr>
              <w:t>Pazar</w:t>
            </w:r>
          </w:p>
        </w:tc>
        <w:tc>
          <w:tcPr>
            <w:tcW w:w="1219" w:type="dxa"/>
            <w:tcBorders>
              <w:top w:val="single" w:sz="4" w:space="0" w:color="7E7E7E"/>
              <w:bottom w:val="single" w:sz="4" w:space="0" w:color="7E7E7E"/>
            </w:tcBorders>
          </w:tcPr>
          <w:p>
            <w:pPr>
              <w:pStyle w:val="TableParagraph"/>
              <w:spacing w:line="228" w:lineRule="exact"/>
              <w:ind w:left="181"/>
              <w:rPr>
                <w:sz w:val="20"/>
              </w:rPr>
            </w:pPr>
            <w:r>
              <w:rPr>
                <w:sz w:val="20"/>
              </w:rPr>
              <w:t>Panel</w:t>
            </w:r>
          </w:p>
        </w:tc>
        <w:tc>
          <w:tcPr>
            <w:tcW w:w="2835" w:type="dxa"/>
            <w:tcBorders>
              <w:top w:val="single" w:sz="4" w:space="0" w:color="7E7E7E"/>
              <w:bottom w:val="single" w:sz="4" w:space="0" w:color="7E7E7E"/>
            </w:tcBorders>
          </w:tcPr>
          <w:p>
            <w:pPr>
              <w:pStyle w:val="TableParagraph"/>
              <w:spacing w:line="228" w:lineRule="exact"/>
              <w:ind w:left="143"/>
              <w:rPr>
                <w:sz w:val="20"/>
              </w:rPr>
            </w:pPr>
            <w:r>
              <w:rPr>
                <w:sz w:val="20"/>
              </w:rPr>
              <w:t>Deney, regresyon</w:t>
            </w:r>
          </w:p>
        </w:tc>
      </w:tr>
      <w:tr>
        <w:trPr>
          <w:trHeight w:val="458"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56</w:t>
            </w:r>
          </w:p>
        </w:tc>
        <w:tc>
          <w:tcPr>
            <w:tcW w:w="1537" w:type="dxa"/>
            <w:tcBorders>
              <w:top w:val="single" w:sz="4" w:space="0" w:color="7E7E7E"/>
              <w:bottom w:val="single" w:sz="4" w:space="0" w:color="7E7E7E"/>
            </w:tcBorders>
          </w:tcPr>
          <w:p>
            <w:pPr>
              <w:pStyle w:val="TableParagraph"/>
              <w:spacing w:line="230" w:lineRule="exact" w:before="1"/>
              <w:ind w:left="197" w:right="397"/>
              <w:rPr>
                <w:sz w:val="20"/>
              </w:rPr>
            </w:pPr>
            <w:r>
              <w:rPr>
                <w:sz w:val="20"/>
              </w:rPr>
              <w:t>Hashim vd. (2019)</w:t>
            </w:r>
          </w:p>
        </w:tc>
        <w:tc>
          <w:tcPr>
            <w:tcW w:w="1933" w:type="dxa"/>
            <w:tcBorders>
              <w:top w:val="single" w:sz="4" w:space="0" w:color="7E7E7E"/>
              <w:bottom w:val="single" w:sz="4" w:space="0" w:color="7E7E7E"/>
            </w:tcBorders>
          </w:tcPr>
          <w:p>
            <w:pPr>
              <w:pStyle w:val="TableParagraph"/>
              <w:spacing w:line="228" w:lineRule="exact"/>
              <w:ind w:left="132"/>
              <w:rPr>
                <w:sz w:val="20"/>
              </w:rPr>
            </w:pPr>
            <w:r>
              <w:rPr>
                <w:sz w:val="20"/>
              </w:rPr>
              <w:t>DVD ve dijital film</w:t>
            </w:r>
          </w:p>
        </w:tc>
        <w:tc>
          <w:tcPr>
            <w:tcW w:w="959" w:type="dxa"/>
            <w:tcBorders>
              <w:top w:val="single" w:sz="4" w:space="0" w:color="7E7E7E"/>
              <w:bottom w:val="single" w:sz="4" w:space="0" w:color="7E7E7E"/>
            </w:tcBorders>
          </w:tcPr>
          <w:p>
            <w:pPr>
              <w:pStyle w:val="TableParagraph"/>
              <w:spacing w:line="228" w:lineRule="exact"/>
              <w:ind w:left="112"/>
              <w:rPr>
                <w:sz w:val="20"/>
              </w:rPr>
            </w:pPr>
            <w:r>
              <w:rPr>
                <w:sz w:val="20"/>
              </w:rPr>
              <w:t>Pazar</w:t>
            </w:r>
          </w:p>
        </w:tc>
        <w:tc>
          <w:tcPr>
            <w:tcW w:w="1219" w:type="dxa"/>
            <w:tcBorders>
              <w:top w:val="single" w:sz="4" w:space="0" w:color="7E7E7E"/>
              <w:bottom w:val="single" w:sz="4" w:space="0" w:color="7E7E7E"/>
            </w:tcBorders>
          </w:tcPr>
          <w:p>
            <w:pPr>
              <w:pStyle w:val="TableParagraph"/>
              <w:spacing w:line="228" w:lineRule="exact"/>
              <w:ind w:left="181"/>
              <w:rPr>
                <w:sz w:val="20"/>
              </w:rPr>
            </w:pPr>
            <w:r>
              <w:rPr>
                <w:sz w:val="20"/>
              </w:rPr>
              <w:t>Panel</w:t>
            </w:r>
          </w:p>
        </w:tc>
        <w:tc>
          <w:tcPr>
            <w:tcW w:w="2835" w:type="dxa"/>
            <w:tcBorders>
              <w:top w:val="single" w:sz="4" w:space="0" w:color="7E7E7E"/>
              <w:bottom w:val="single" w:sz="4" w:space="0" w:color="7E7E7E"/>
            </w:tcBorders>
          </w:tcPr>
          <w:p>
            <w:pPr>
              <w:pStyle w:val="TableParagraph"/>
              <w:spacing w:line="228" w:lineRule="exact"/>
              <w:ind w:left="143"/>
              <w:rPr>
                <w:sz w:val="20"/>
              </w:rPr>
            </w:pPr>
            <w:r>
              <w:rPr>
                <w:sz w:val="20"/>
              </w:rPr>
              <w:t>Logaritmik regresyon</w:t>
            </w:r>
          </w:p>
        </w:tc>
      </w:tr>
      <w:tr>
        <w:trPr>
          <w:trHeight w:val="918" w:hRule="atLeast"/>
        </w:trPr>
        <w:tc>
          <w:tcPr>
            <w:tcW w:w="522" w:type="dxa"/>
            <w:tcBorders>
              <w:top w:val="single" w:sz="4" w:space="0" w:color="7E7E7E"/>
              <w:bottom w:val="single" w:sz="4" w:space="0" w:color="7E7E7E"/>
            </w:tcBorders>
          </w:tcPr>
          <w:p>
            <w:pPr>
              <w:pStyle w:val="TableParagraph"/>
              <w:spacing w:line="227" w:lineRule="exact"/>
              <w:ind w:left="122"/>
              <w:rPr>
                <w:sz w:val="20"/>
              </w:rPr>
            </w:pPr>
            <w:r>
              <w:rPr>
                <w:sz w:val="20"/>
              </w:rPr>
              <w:t>57</w:t>
            </w:r>
          </w:p>
        </w:tc>
        <w:tc>
          <w:tcPr>
            <w:tcW w:w="1537" w:type="dxa"/>
            <w:tcBorders>
              <w:top w:val="single" w:sz="4" w:space="0" w:color="7E7E7E"/>
              <w:bottom w:val="single" w:sz="4" w:space="0" w:color="7E7E7E"/>
            </w:tcBorders>
          </w:tcPr>
          <w:p>
            <w:pPr>
              <w:pStyle w:val="TableParagraph"/>
              <w:ind w:left="197" w:right="264"/>
              <w:rPr>
                <w:sz w:val="20"/>
              </w:rPr>
            </w:pPr>
            <w:r>
              <w:rPr>
                <w:sz w:val="20"/>
              </w:rPr>
              <w:t>Ren ve Hong (2019)</w:t>
            </w:r>
          </w:p>
        </w:tc>
        <w:tc>
          <w:tcPr>
            <w:tcW w:w="1933" w:type="dxa"/>
            <w:tcBorders>
              <w:top w:val="single" w:sz="4" w:space="0" w:color="7E7E7E"/>
              <w:bottom w:val="single" w:sz="4" w:space="0" w:color="7E7E7E"/>
            </w:tcBorders>
          </w:tcPr>
          <w:p>
            <w:pPr>
              <w:pStyle w:val="TableParagraph"/>
              <w:spacing w:line="230" w:lineRule="exact"/>
              <w:ind w:left="132" w:right="448"/>
              <w:rPr>
                <w:sz w:val="20"/>
              </w:rPr>
            </w:pPr>
            <w:r>
              <w:rPr>
                <w:sz w:val="20"/>
              </w:rPr>
              <w:t>Cep telefonu, kamera, tablet, uygulama, video oyun ve kitap</w:t>
            </w:r>
          </w:p>
        </w:tc>
        <w:tc>
          <w:tcPr>
            <w:tcW w:w="959" w:type="dxa"/>
            <w:tcBorders>
              <w:top w:val="single" w:sz="4" w:space="0" w:color="7E7E7E"/>
              <w:bottom w:val="single" w:sz="4" w:space="0" w:color="7E7E7E"/>
            </w:tcBorders>
          </w:tcPr>
          <w:p>
            <w:pPr>
              <w:pStyle w:val="TableParagraph"/>
              <w:spacing w:line="227" w:lineRule="exact"/>
              <w:ind w:left="112"/>
              <w:rPr>
                <w:sz w:val="20"/>
              </w:rPr>
            </w:pPr>
            <w:r>
              <w:rPr>
                <w:sz w:val="20"/>
              </w:rPr>
              <w:t>Bireysel</w:t>
            </w:r>
          </w:p>
        </w:tc>
        <w:tc>
          <w:tcPr>
            <w:tcW w:w="1219" w:type="dxa"/>
            <w:tcBorders>
              <w:top w:val="single" w:sz="4" w:space="0" w:color="7E7E7E"/>
              <w:bottom w:val="single" w:sz="4" w:space="0" w:color="7E7E7E"/>
            </w:tcBorders>
          </w:tcPr>
          <w:p>
            <w:pPr>
              <w:pStyle w:val="TableParagraph"/>
              <w:spacing w:line="227" w:lineRule="exact"/>
              <w:ind w:left="181"/>
              <w:rPr>
                <w:sz w:val="20"/>
              </w:rPr>
            </w:pPr>
            <w:r>
              <w:rPr>
                <w:sz w:val="20"/>
              </w:rPr>
              <w:t>Tekli Kesit</w:t>
            </w:r>
          </w:p>
        </w:tc>
        <w:tc>
          <w:tcPr>
            <w:tcW w:w="2835" w:type="dxa"/>
            <w:tcBorders>
              <w:top w:val="single" w:sz="4" w:space="0" w:color="7E7E7E"/>
              <w:bottom w:val="single" w:sz="4" w:space="0" w:color="7E7E7E"/>
            </w:tcBorders>
          </w:tcPr>
          <w:p>
            <w:pPr>
              <w:pStyle w:val="TableParagraph"/>
              <w:spacing w:line="227" w:lineRule="exact"/>
              <w:ind w:left="143"/>
              <w:rPr>
                <w:sz w:val="20"/>
              </w:rPr>
            </w:pPr>
            <w:r>
              <w:rPr>
                <w:sz w:val="20"/>
              </w:rPr>
              <w:t>Tobit regresyon</w:t>
            </w:r>
          </w:p>
        </w:tc>
      </w:tr>
      <w:tr>
        <w:trPr>
          <w:trHeight w:val="458" w:hRule="atLeast"/>
        </w:trPr>
        <w:tc>
          <w:tcPr>
            <w:tcW w:w="522" w:type="dxa"/>
            <w:tcBorders>
              <w:top w:val="single" w:sz="4" w:space="0" w:color="7E7E7E"/>
              <w:bottom w:val="single" w:sz="4" w:space="0" w:color="7E7E7E"/>
            </w:tcBorders>
          </w:tcPr>
          <w:p>
            <w:pPr>
              <w:pStyle w:val="TableParagraph"/>
              <w:spacing w:line="229" w:lineRule="exact"/>
              <w:ind w:left="122"/>
              <w:rPr>
                <w:sz w:val="20"/>
              </w:rPr>
            </w:pPr>
            <w:r>
              <w:rPr>
                <w:sz w:val="20"/>
              </w:rPr>
              <w:t>58</w:t>
            </w:r>
          </w:p>
        </w:tc>
        <w:tc>
          <w:tcPr>
            <w:tcW w:w="1537" w:type="dxa"/>
            <w:tcBorders>
              <w:top w:val="single" w:sz="4" w:space="0" w:color="7E7E7E"/>
              <w:bottom w:val="single" w:sz="4" w:space="0" w:color="7E7E7E"/>
            </w:tcBorders>
          </w:tcPr>
          <w:p>
            <w:pPr>
              <w:pStyle w:val="TableParagraph"/>
              <w:spacing w:line="230" w:lineRule="exact" w:before="1"/>
              <w:ind w:left="197" w:right="242"/>
              <w:rPr>
                <w:sz w:val="20"/>
              </w:rPr>
            </w:pPr>
            <w:r>
              <w:rPr>
                <w:sz w:val="20"/>
              </w:rPr>
              <w:t>Rynarzewska (2019)</w:t>
            </w:r>
          </w:p>
        </w:tc>
        <w:tc>
          <w:tcPr>
            <w:tcW w:w="1933" w:type="dxa"/>
            <w:tcBorders>
              <w:top w:val="single" w:sz="4" w:space="0" w:color="7E7E7E"/>
              <w:bottom w:val="single" w:sz="4" w:space="0" w:color="7E7E7E"/>
            </w:tcBorders>
          </w:tcPr>
          <w:p>
            <w:pPr>
              <w:pStyle w:val="TableParagraph"/>
              <w:spacing w:line="229" w:lineRule="exact"/>
              <w:ind w:left="132"/>
              <w:rPr>
                <w:sz w:val="20"/>
              </w:rPr>
            </w:pPr>
            <w:r>
              <w:rPr>
                <w:sz w:val="20"/>
              </w:rPr>
              <w:t>Ayakkabı</w:t>
            </w:r>
          </w:p>
        </w:tc>
        <w:tc>
          <w:tcPr>
            <w:tcW w:w="959" w:type="dxa"/>
            <w:tcBorders>
              <w:top w:val="single" w:sz="4" w:space="0" w:color="7E7E7E"/>
              <w:bottom w:val="single" w:sz="4" w:space="0" w:color="7E7E7E"/>
            </w:tcBorders>
          </w:tcPr>
          <w:p>
            <w:pPr>
              <w:pStyle w:val="TableParagraph"/>
              <w:spacing w:line="229" w:lineRule="exact"/>
              <w:ind w:left="112"/>
              <w:rPr>
                <w:sz w:val="20"/>
              </w:rPr>
            </w:pPr>
            <w:r>
              <w:rPr>
                <w:sz w:val="20"/>
              </w:rPr>
              <w:t>Bireysel</w:t>
            </w:r>
          </w:p>
        </w:tc>
        <w:tc>
          <w:tcPr>
            <w:tcW w:w="1219" w:type="dxa"/>
            <w:tcBorders>
              <w:top w:val="single" w:sz="4" w:space="0" w:color="7E7E7E"/>
              <w:bottom w:val="single" w:sz="4" w:space="0" w:color="7E7E7E"/>
            </w:tcBorders>
          </w:tcPr>
          <w:p>
            <w:pPr>
              <w:pStyle w:val="TableParagraph"/>
              <w:spacing w:line="229" w:lineRule="exact"/>
              <w:ind w:left="181"/>
              <w:rPr>
                <w:sz w:val="20"/>
              </w:rPr>
            </w:pPr>
            <w:r>
              <w:rPr>
                <w:sz w:val="20"/>
              </w:rPr>
              <w:t>Panel</w:t>
            </w:r>
          </w:p>
        </w:tc>
        <w:tc>
          <w:tcPr>
            <w:tcW w:w="2835" w:type="dxa"/>
            <w:tcBorders>
              <w:top w:val="single" w:sz="4" w:space="0" w:color="7E7E7E"/>
              <w:bottom w:val="single" w:sz="4" w:space="0" w:color="7E7E7E"/>
            </w:tcBorders>
          </w:tcPr>
          <w:p>
            <w:pPr>
              <w:pStyle w:val="TableParagraph"/>
              <w:spacing w:line="230" w:lineRule="exact" w:before="1"/>
              <w:ind w:left="143" w:right="339"/>
              <w:rPr>
                <w:sz w:val="20"/>
              </w:rPr>
            </w:pPr>
            <w:r>
              <w:rPr>
                <w:sz w:val="20"/>
              </w:rPr>
              <w:t>Pearson Ki-kare testi, lojistik regresyon</w:t>
            </w:r>
          </w:p>
        </w:tc>
      </w:tr>
      <w:tr>
        <w:trPr>
          <w:trHeight w:val="455"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59</w:t>
            </w:r>
          </w:p>
        </w:tc>
        <w:tc>
          <w:tcPr>
            <w:tcW w:w="1537" w:type="dxa"/>
            <w:tcBorders>
              <w:top w:val="single" w:sz="4" w:space="0" w:color="7E7E7E"/>
              <w:bottom w:val="single" w:sz="4" w:space="0" w:color="7E7E7E"/>
            </w:tcBorders>
          </w:tcPr>
          <w:p>
            <w:pPr>
              <w:pStyle w:val="TableParagraph"/>
              <w:spacing w:line="228" w:lineRule="exact" w:before="2"/>
              <w:ind w:left="197" w:right="442"/>
              <w:rPr>
                <w:sz w:val="20"/>
              </w:rPr>
            </w:pPr>
            <w:r>
              <w:rPr>
                <w:sz w:val="20"/>
              </w:rPr>
              <w:t>Vinson vd. (2019)</w:t>
            </w:r>
          </w:p>
        </w:tc>
        <w:tc>
          <w:tcPr>
            <w:tcW w:w="1933" w:type="dxa"/>
            <w:tcBorders>
              <w:top w:val="single" w:sz="4" w:space="0" w:color="7E7E7E"/>
              <w:bottom w:val="single" w:sz="4" w:space="0" w:color="7E7E7E"/>
            </w:tcBorders>
          </w:tcPr>
          <w:p>
            <w:pPr>
              <w:pStyle w:val="TableParagraph"/>
              <w:spacing w:line="228" w:lineRule="exact"/>
              <w:ind w:left="132"/>
              <w:rPr>
                <w:sz w:val="20"/>
              </w:rPr>
            </w:pPr>
            <w:r>
              <w:rPr>
                <w:sz w:val="20"/>
              </w:rPr>
              <w:t>Film ve dizi</w:t>
            </w:r>
          </w:p>
        </w:tc>
        <w:tc>
          <w:tcPr>
            <w:tcW w:w="959" w:type="dxa"/>
            <w:tcBorders>
              <w:top w:val="single" w:sz="4" w:space="0" w:color="7E7E7E"/>
              <w:bottom w:val="single" w:sz="4" w:space="0" w:color="7E7E7E"/>
            </w:tcBorders>
          </w:tcPr>
          <w:p>
            <w:pPr>
              <w:pStyle w:val="TableParagraph"/>
              <w:spacing w:line="228" w:lineRule="exact"/>
              <w:ind w:left="112"/>
              <w:rPr>
                <w:sz w:val="20"/>
              </w:rPr>
            </w:pPr>
            <w:r>
              <w:rPr>
                <w:sz w:val="20"/>
              </w:rPr>
              <w:t>Bireysel</w:t>
            </w:r>
          </w:p>
        </w:tc>
        <w:tc>
          <w:tcPr>
            <w:tcW w:w="1219" w:type="dxa"/>
            <w:tcBorders>
              <w:top w:val="single" w:sz="4" w:space="0" w:color="7E7E7E"/>
              <w:bottom w:val="single" w:sz="4" w:space="0" w:color="7E7E7E"/>
            </w:tcBorders>
          </w:tcPr>
          <w:p>
            <w:pPr>
              <w:pStyle w:val="TableParagraph"/>
              <w:spacing w:line="228" w:lineRule="exact"/>
              <w:ind w:left="181"/>
              <w:rPr>
                <w:sz w:val="20"/>
              </w:rPr>
            </w:pPr>
            <w:r>
              <w:rPr>
                <w:sz w:val="20"/>
              </w:rPr>
              <w:t>Panel</w:t>
            </w:r>
          </w:p>
        </w:tc>
        <w:tc>
          <w:tcPr>
            <w:tcW w:w="2835" w:type="dxa"/>
            <w:tcBorders>
              <w:top w:val="single" w:sz="4" w:space="0" w:color="7E7E7E"/>
              <w:bottom w:val="single" w:sz="4" w:space="0" w:color="7E7E7E"/>
            </w:tcBorders>
          </w:tcPr>
          <w:p>
            <w:pPr>
              <w:pStyle w:val="TableParagraph"/>
              <w:spacing w:line="228" w:lineRule="exact"/>
              <w:ind w:left="143"/>
              <w:rPr>
                <w:sz w:val="20"/>
              </w:rPr>
            </w:pPr>
            <w:r>
              <w:rPr>
                <w:sz w:val="20"/>
              </w:rPr>
              <w:t>Regresyon</w:t>
            </w:r>
          </w:p>
        </w:tc>
      </w:tr>
      <w:tr>
        <w:trPr>
          <w:trHeight w:val="689" w:hRule="atLeast"/>
        </w:trPr>
        <w:tc>
          <w:tcPr>
            <w:tcW w:w="522" w:type="dxa"/>
            <w:tcBorders>
              <w:top w:val="single" w:sz="4" w:space="0" w:color="7E7E7E"/>
              <w:bottom w:val="single" w:sz="4" w:space="0" w:color="7E7E7E"/>
            </w:tcBorders>
          </w:tcPr>
          <w:p>
            <w:pPr>
              <w:pStyle w:val="TableParagraph"/>
              <w:spacing w:line="228" w:lineRule="exact"/>
              <w:ind w:left="122"/>
              <w:rPr>
                <w:sz w:val="20"/>
              </w:rPr>
            </w:pPr>
            <w:r>
              <w:rPr>
                <w:sz w:val="20"/>
              </w:rPr>
              <w:t>60</w:t>
            </w:r>
          </w:p>
        </w:tc>
        <w:tc>
          <w:tcPr>
            <w:tcW w:w="1537" w:type="dxa"/>
            <w:tcBorders>
              <w:top w:val="single" w:sz="4" w:space="0" w:color="7E7E7E"/>
              <w:bottom w:val="single" w:sz="4" w:space="0" w:color="7E7E7E"/>
            </w:tcBorders>
          </w:tcPr>
          <w:p>
            <w:pPr>
              <w:pStyle w:val="TableParagraph"/>
              <w:ind w:left="197" w:right="170"/>
              <w:rPr>
                <w:sz w:val="20"/>
              </w:rPr>
            </w:pPr>
            <w:r>
              <w:rPr>
                <w:sz w:val="20"/>
              </w:rPr>
              <w:t>Wang ve Karimi (2019)</w:t>
            </w:r>
          </w:p>
        </w:tc>
        <w:tc>
          <w:tcPr>
            <w:tcW w:w="1933" w:type="dxa"/>
            <w:tcBorders>
              <w:top w:val="single" w:sz="4" w:space="0" w:color="7E7E7E"/>
              <w:bottom w:val="single" w:sz="4" w:space="0" w:color="7E7E7E"/>
            </w:tcBorders>
          </w:tcPr>
          <w:p>
            <w:pPr>
              <w:pStyle w:val="TableParagraph"/>
              <w:ind w:left="132" w:right="253"/>
              <w:rPr>
                <w:sz w:val="20"/>
              </w:rPr>
            </w:pPr>
            <w:r>
              <w:rPr>
                <w:sz w:val="20"/>
              </w:rPr>
              <w:t>Televizyon, yazıcı, kitap ve müzik</w:t>
            </w:r>
          </w:p>
          <w:p>
            <w:pPr>
              <w:pStyle w:val="TableParagraph"/>
              <w:spacing w:line="210" w:lineRule="exact"/>
              <w:ind w:left="132"/>
              <w:rPr>
                <w:sz w:val="20"/>
              </w:rPr>
            </w:pPr>
            <w:r>
              <w:rPr>
                <w:sz w:val="20"/>
              </w:rPr>
              <w:t>albümü</w:t>
            </w:r>
          </w:p>
        </w:tc>
        <w:tc>
          <w:tcPr>
            <w:tcW w:w="959" w:type="dxa"/>
            <w:tcBorders>
              <w:top w:val="single" w:sz="4" w:space="0" w:color="7E7E7E"/>
              <w:bottom w:val="single" w:sz="4" w:space="0" w:color="7E7E7E"/>
            </w:tcBorders>
          </w:tcPr>
          <w:p>
            <w:pPr>
              <w:pStyle w:val="TableParagraph"/>
              <w:spacing w:line="228" w:lineRule="exact"/>
              <w:ind w:left="112"/>
              <w:rPr>
                <w:sz w:val="20"/>
              </w:rPr>
            </w:pPr>
            <w:r>
              <w:rPr>
                <w:sz w:val="20"/>
              </w:rPr>
              <w:t>Bireysel</w:t>
            </w:r>
          </w:p>
        </w:tc>
        <w:tc>
          <w:tcPr>
            <w:tcW w:w="1219" w:type="dxa"/>
            <w:tcBorders>
              <w:top w:val="single" w:sz="4" w:space="0" w:color="7E7E7E"/>
              <w:bottom w:val="single" w:sz="4" w:space="0" w:color="7E7E7E"/>
            </w:tcBorders>
          </w:tcPr>
          <w:p>
            <w:pPr>
              <w:pStyle w:val="TableParagraph"/>
              <w:spacing w:line="228" w:lineRule="exact"/>
              <w:ind w:left="181"/>
              <w:rPr>
                <w:sz w:val="20"/>
              </w:rPr>
            </w:pPr>
            <w:r>
              <w:rPr>
                <w:sz w:val="20"/>
              </w:rPr>
              <w:t>Tekli Kesit</w:t>
            </w:r>
          </w:p>
        </w:tc>
        <w:tc>
          <w:tcPr>
            <w:tcW w:w="2835" w:type="dxa"/>
            <w:tcBorders>
              <w:top w:val="single" w:sz="4" w:space="0" w:color="7E7E7E"/>
              <w:bottom w:val="single" w:sz="4" w:space="0" w:color="7E7E7E"/>
            </w:tcBorders>
          </w:tcPr>
          <w:p>
            <w:pPr>
              <w:pStyle w:val="TableParagraph"/>
              <w:spacing w:line="228" w:lineRule="exact"/>
              <w:ind w:left="143"/>
              <w:rPr>
                <w:sz w:val="20"/>
              </w:rPr>
            </w:pPr>
            <w:r>
              <w:rPr>
                <w:sz w:val="20"/>
              </w:rPr>
              <w:t>Tobit regresyon</w:t>
            </w:r>
          </w:p>
        </w:tc>
      </w:tr>
      <w:tr>
        <w:trPr>
          <w:trHeight w:val="1149" w:hRule="atLeast"/>
        </w:trPr>
        <w:tc>
          <w:tcPr>
            <w:tcW w:w="522" w:type="dxa"/>
            <w:tcBorders>
              <w:top w:val="single" w:sz="4" w:space="0" w:color="7E7E7E"/>
              <w:bottom w:val="single" w:sz="4" w:space="0" w:color="7E7E7E"/>
            </w:tcBorders>
          </w:tcPr>
          <w:p>
            <w:pPr>
              <w:pStyle w:val="TableParagraph"/>
              <w:ind w:left="122"/>
              <w:rPr>
                <w:sz w:val="20"/>
              </w:rPr>
            </w:pPr>
            <w:r>
              <w:rPr>
                <w:sz w:val="20"/>
              </w:rPr>
              <w:t>61</w:t>
            </w:r>
          </w:p>
        </w:tc>
        <w:tc>
          <w:tcPr>
            <w:tcW w:w="1537" w:type="dxa"/>
            <w:tcBorders>
              <w:top w:val="single" w:sz="4" w:space="0" w:color="7E7E7E"/>
              <w:bottom w:val="single" w:sz="4" w:space="0" w:color="7E7E7E"/>
            </w:tcBorders>
          </w:tcPr>
          <w:p>
            <w:pPr>
              <w:pStyle w:val="TableParagraph"/>
              <w:ind w:left="197" w:right="542"/>
              <w:rPr>
                <w:sz w:val="20"/>
              </w:rPr>
            </w:pPr>
            <w:r>
              <w:rPr>
                <w:sz w:val="20"/>
              </w:rPr>
              <w:t>Wang vd. (2019)</w:t>
            </w:r>
          </w:p>
        </w:tc>
        <w:tc>
          <w:tcPr>
            <w:tcW w:w="1933" w:type="dxa"/>
            <w:tcBorders>
              <w:top w:val="single" w:sz="4" w:space="0" w:color="7E7E7E"/>
              <w:bottom w:val="single" w:sz="4" w:space="0" w:color="7E7E7E"/>
            </w:tcBorders>
          </w:tcPr>
          <w:p>
            <w:pPr>
              <w:pStyle w:val="TableParagraph"/>
              <w:ind w:left="132" w:right="111"/>
              <w:rPr>
                <w:sz w:val="20"/>
              </w:rPr>
            </w:pPr>
            <w:r>
              <w:rPr>
                <w:sz w:val="20"/>
              </w:rPr>
              <w:t>Dijital Kamera, akıllı telefon, </w:t>
            </w:r>
            <w:r>
              <w:rPr>
                <w:spacing w:val="-4"/>
                <w:sz w:val="20"/>
              </w:rPr>
              <w:t>mouse, </w:t>
            </w:r>
            <w:r>
              <w:rPr>
                <w:sz w:val="20"/>
              </w:rPr>
              <w:t>parfume, akıllı saat, Kindle, ayakkabı</w:t>
            </w:r>
            <w:r>
              <w:rPr>
                <w:spacing w:val="-4"/>
                <w:sz w:val="20"/>
              </w:rPr>
              <w:t> </w:t>
            </w:r>
            <w:r>
              <w:rPr>
                <w:sz w:val="20"/>
              </w:rPr>
              <w:t>ve</w:t>
            </w:r>
          </w:p>
          <w:p>
            <w:pPr>
              <w:pStyle w:val="TableParagraph"/>
              <w:spacing w:line="209" w:lineRule="exact"/>
              <w:ind w:left="132"/>
              <w:rPr>
                <w:sz w:val="20"/>
              </w:rPr>
            </w:pPr>
            <w:r>
              <w:rPr>
                <w:sz w:val="20"/>
              </w:rPr>
              <w:t>çikolata</w:t>
            </w:r>
          </w:p>
        </w:tc>
        <w:tc>
          <w:tcPr>
            <w:tcW w:w="959" w:type="dxa"/>
            <w:tcBorders>
              <w:top w:val="single" w:sz="4" w:space="0" w:color="7E7E7E"/>
              <w:bottom w:val="single" w:sz="4" w:space="0" w:color="7E7E7E"/>
            </w:tcBorders>
          </w:tcPr>
          <w:p>
            <w:pPr>
              <w:pStyle w:val="TableParagraph"/>
              <w:ind w:left="112"/>
              <w:rPr>
                <w:sz w:val="20"/>
              </w:rPr>
            </w:pPr>
            <w:r>
              <w:rPr>
                <w:sz w:val="20"/>
              </w:rPr>
              <w:t>Bireysel</w:t>
            </w:r>
          </w:p>
        </w:tc>
        <w:tc>
          <w:tcPr>
            <w:tcW w:w="1219" w:type="dxa"/>
            <w:tcBorders>
              <w:top w:val="single" w:sz="4" w:space="0" w:color="7E7E7E"/>
              <w:bottom w:val="single" w:sz="4" w:space="0" w:color="7E7E7E"/>
            </w:tcBorders>
          </w:tcPr>
          <w:p>
            <w:pPr>
              <w:pStyle w:val="TableParagraph"/>
              <w:ind w:left="181"/>
              <w:rPr>
                <w:sz w:val="20"/>
              </w:rPr>
            </w:pPr>
            <w:r>
              <w:rPr>
                <w:sz w:val="20"/>
              </w:rPr>
              <w:t>Tekli Kesit</w:t>
            </w:r>
          </w:p>
        </w:tc>
        <w:tc>
          <w:tcPr>
            <w:tcW w:w="2835" w:type="dxa"/>
            <w:tcBorders>
              <w:top w:val="single" w:sz="4" w:space="0" w:color="7E7E7E"/>
              <w:bottom w:val="single" w:sz="4" w:space="0" w:color="7E7E7E"/>
            </w:tcBorders>
          </w:tcPr>
          <w:p>
            <w:pPr>
              <w:pStyle w:val="TableParagraph"/>
              <w:ind w:left="143"/>
              <w:rPr>
                <w:sz w:val="20"/>
              </w:rPr>
            </w:pPr>
            <w:r>
              <w:rPr>
                <w:sz w:val="20"/>
              </w:rPr>
              <w:t>Duygu analizi, T testi</w:t>
            </w:r>
          </w:p>
        </w:tc>
      </w:tr>
      <w:tr>
        <w:trPr>
          <w:trHeight w:val="290" w:hRule="atLeast"/>
        </w:trPr>
        <w:tc>
          <w:tcPr>
            <w:tcW w:w="9005" w:type="dxa"/>
            <w:gridSpan w:val="6"/>
            <w:tcBorders>
              <w:top w:val="single" w:sz="4" w:space="0" w:color="7E7E7E"/>
              <w:bottom w:val="single" w:sz="4" w:space="0" w:color="7E7E7E"/>
            </w:tcBorders>
          </w:tcPr>
          <w:p>
            <w:pPr>
              <w:pStyle w:val="TableParagraph"/>
              <w:spacing w:before="1"/>
              <w:ind w:left="122"/>
              <w:rPr>
                <w:sz w:val="16"/>
              </w:rPr>
            </w:pPr>
            <w:r>
              <w:rPr>
                <w:sz w:val="16"/>
              </w:rPr>
              <w:t>* Araştırmada, belirli ürün grupları belirtilmeden verinin araştırma ürünleri ve deneyim ürünlerinden oluştuğu ifade edilmektedir.</w:t>
            </w:r>
          </w:p>
        </w:tc>
      </w:tr>
    </w:tbl>
    <w:p>
      <w:pPr>
        <w:pStyle w:val="BodyText"/>
        <w:spacing w:before="2"/>
        <w:ind w:left="0"/>
        <w:jc w:val="left"/>
        <w:rPr>
          <w:sz w:val="28"/>
        </w:rPr>
      </w:pPr>
    </w:p>
    <w:p>
      <w:pPr>
        <w:pStyle w:val="BodyText"/>
        <w:spacing w:line="360" w:lineRule="auto" w:before="90"/>
        <w:ind w:right="308" w:firstLine="708"/>
      </w:pPr>
      <w:r>
        <w:rPr/>
        <w:t>Web of Science veri tabanında yapılan tarama sonucu ulaşılan </w:t>
      </w:r>
      <w:r>
        <w:rPr>
          <w:spacing w:val="3"/>
        </w:rPr>
        <w:t>bu </w:t>
      </w:r>
      <w:r>
        <w:rPr/>
        <w:t>çalışmalar, elektronik ağızdan ağıza iletişim etkisini pazar ve/veya bireysel düzeyde incelemektedir. Ulaşılan çalışmaların 33 tanesi pazar düzeyinde, 26 tanesi bireysel düzeyde ve 2 tanesi de hem bireysel hem de pazar düzeylerinde analiz yapan makalelerdir (bk. Tablo 4). Pazar düzeyi analizlerde, hacim ve değerlik gibi elektronik ağızdan ağıza iletişim parametreleri</w:t>
      </w:r>
      <w:r>
        <w:rPr>
          <w:spacing w:val="-25"/>
        </w:rPr>
        <w:t> </w:t>
      </w:r>
      <w:r>
        <w:rPr/>
        <w:t>ile satış, talep ve fiyat gibi pazar parametreleri arasındaki ilişkiler irdelenmektedir. Öte</w:t>
      </w:r>
      <w:r>
        <w:rPr>
          <w:spacing w:val="-36"/>
        </w:rPr>
        <w:t> </w:t>
      </w:r>
      <w:r>
        <w:rPr/>
        <w:t>yandan, bireysel düzey analizlerde ise, elektronik ağızdan ağıza iletişim kişisel etki süreci olarak ele alınmakta ve öznel kişisel faktörlere (örneğin kaynak güvenilirliği ve tüketici bilgisi) odaklanılmaktadır (Park vd., 2019). Tablo 4’teki makaleler içinde, Forman vd.’nin (2008) kimlik ifşasının yorum faydalılığı ve satışlar üzerine etkisini incelediği çalışması ve Hu vd.’nin (2011) manipülatif yorumların etkisini incelediği çalışması hem pazar hem de bireysel düzeyde analiz yapılmış</w:t>
      </w:r>
      <w:r>
        <w:rPr>
          <w:spacing w:val="-3"/>
        </w:rPr>
        <w:t> </w:t>
      </w:r>
      <w:r>
        <w:rPr/>
        <w:t>çalışmalardır.</w:t>
      </w:r>
    </w:p>
    <w:p>
      <w:pPr>
        <w:pStyle w:val="BodyText"/>
        <w:spacing w:line="360" w:lineRule="auto" w:before="1"/>
        <w:ind w:right="308" w:firstLine="708"/>
      </w:pPr>
      <w:r>
        <w:rPr/>
        <w:t>Tablo 4’te görüldüğü üzere, çalışma örneklemlerine dahil edilen ürün grupları çok çeşitlidir. Örneklemlere en çok dahil edilen ürün kategorisinin kitap olduğu görülmektedir. E-kitaplar da dahil olmak üzere, 25 çalışmanın örnekleminde kitap bulunmaktadır. Öte yandan, çalışmalardan 32 tanesinin örnekleminde sadece bir ürün kategorisi bulunurken, 29 tanesinde birden fazla ürün kategorisi yer almaktadır.</w:t>
      </w:r>
    </w:p>
    <w:p>
      <w:pPr>
        <w:spacing w:after="0" w:line="360" w:lineRule="auto"/>
        <w:sectPr>
          <w:pgSz w:w="12240" w:h="15840"/>
          <w:pgMar w:header="718" w:footer="0" w:top="1300" w:bottom="280" w:left="1720" w:right="820"/>
        </w:sectPr>
      </w:pPr>
    </w:p>
    <w:p>
      <w:pPr>
        <w:pStyle w:val="BodyText"/>
        <w:spacing w:line="360" w:lineRule="auto" w:before="100"/>
        <w:ind w:right="308" w:firstLine="708"/>
      </w:pPr>
      <w:r>
        <w:rPr/>
        <w:t>Tablo 4’te yer alan makalelerin büyük çoğunluğunda panel (35 tanesinde) ve tekli kesit (24 tanesinde) analiz kullanıldığı görülmektedir. Hu vd. (2011) çalışmasında panel ve tekli kesit analizi bir arada kullanmışlardır. Ayrıca, iki makalede </w:t>
      </w:r>
      <w:r>
        <w:rPr>
          <w:rFonts w:ascii="Carlito" w:hAnsi="Carlito"/>
          <w:sz w:val="22"/>
        </w:rPr>
        <w:t>(</w:t>
      </w:r>
      <w:r>
        <w:rPr/>
        <w:t>Chevalier ve Mayzlin, 2006; Sun, 2012) çoklu kesit ve bir makalede de (Li ve Shimizu, 2018) boylamsal analiz kullanılmıştır. Hem Chevalier ve Mayzlin </w:t>
      </w:r>
      <w:r>
        <w:rPr>
          <w:rFonts w:ascii="Carlito" w:hAnsi="Carlito"/>
          <w:sz w:val="22"/>
        </w:rPr>
        <w:t>(</w:t>
      </w:r>
      <w:r>
        <w:rPr/>
        <w:t>2006) hem de Sun (2012) çalışmalarında Amazon.com’un yanı sıra Barnesandnoble.com’dan da örneklem kullanmışlardır. Li ve Shimizu (2018) ise, örneklemlerindeki ürünler için Amazon.co.jp’den 15 gün arayla iki</w:t>
      </w:r>
      <w:r>
        <w:rPr>
          <w:spacing w:val="-40"/>
        </w:rPr>
        <w:t> </w:t>
      </w:r>
      <w:r>
        <w:rPr/>
        <w:t>defa veri</w:t>
      </w:r>
      <w:r>
        <w:rPr>
          <w:spacing w:val="-2"/>
        </w:rPr>
        <w:t> </w:t>
      </w:r>
      <w:r>
        <w:rPr/>
        <w:t>toplamışlardır.</w:t>
      </w:r>
    </w:p>
    <w:p>
      <w:pPr>
        <w:pStyle w:val="BodyText"/>
        <w:spacing w:line="360" w:lineRule="auto" w:before="1"/>
        <w:ind w:right="308" w:firstLine="708"/>
      </w:pPr>
      <w:r>
        <w:rPr/>
        <w:t>Makalelerde, toplanan verilerin analizi için çok çeşitli yöntemlerin kullanıldığı da görülmektedir. Regresyon, logaritmik regresyon, tobit regresyon ve lojistik regresyon yöntemleri</w:t>
      </w:r>
      <w:r>
        <w:rPr>
          <w:spacing w:val="-9"/>
        </w:rPr>
        <w:t> </w:t>
      </w:r>
      <w:r>
        <w:rPr/>
        <w:t>Tablo</w:t>
      </w:r>
      <w:r>
        <w:rPr>
          <w:spacing w:val="-8"/>
        </w:rPr>
        <w:t> </w:t>
      </w:r>
      <w:r>
        <w:rPr/>
        <w:t>4’teki</w:t>
      </w:r>
      <w:r>
        <w:rPr>
          <w:spacing w:val="-8"/>
        </w:rPr>
        <w:t> </w:t>
      </w:r>
      <w:r>
        <w:rPr/>
        <w:t>çalışmalarda</w:t>
      </w:r>
      <w:r>
        <w:rPr>
          <w:spacing w:val="-11"/>
        </w:rPr>
        <w:t> </w:t>
      </w:r>
      <w:r>
        <w:rPr/>
        <w:t>en</w:t>
      </w:r>
      <w:r>
        <w:rPr>
          <w:spacing w:val="-9"/>
        </w:rPr>
        <w:t> </w:t>
      </w:r>
      <w:r>
        <w:rPr/>
        <w:t>sık</w:t>
      </w:r>
      <w:r>
        <w:rPr>
          <w:spacing w:val="-8"/>
        </w:rPr>
        <w:t> </w:t>
      </w:r>
      <w:r>
        <w:rPr/>
        <w:t>karşımıza</w:t>
      </w:r>
      <w:r>
        <w:rPr>
          <w:spacing w:val="-11"/>
        </w:rPr>
        <w:t> </w:t>
      </w:r>
      <w:r>
        <w:rPr/>
        <w:t>çıkan</w:t>
      </w:r>
      <w:r>
        <w:rPr>
          <w:spacing w:val="-7"/>
        </w:rPr>
        <w:t> </w:t>
      </w:r>
      <w:r>
        <w:rPr/>
        <w:t>yöntemlerdir.</w:t>
      </w:r>
      <w:r>
        <w:rPr>
          <w:spacing w:val="-9"/>
        </w:rPr>
        <w:t> </w:t>
      </w:r>
      <w:r>
        <w:rPr/>
        <w:t>Öte</w:t>
      </w:r>
      <w:r>
        <w:rPr>
          <w:spacing w:val="-9"/>
        </w:rPr>
        <w:t> </w:t>
      </w:r>
      <w:r>
        <w:rPr/>
        <w:t>yandan,</w:t>
      </w:r>
      <w:r>
        <w:rPr>
          <w:spacing w:val="-10"/>
        </w:rPr>
        <w:t> </w:t>
      </w:r>
      <w:r>
        <w:rPr/>
        <w:t>bu</w:t>
      </w:r>
      <w:r>
        <w:rPr>
          <w:spacing w:val="-8"/>
        </w:rPr>
        <w:t> </w:t>
      </w:r>
      <w:r>
        <w:rPr/>
        <w:t>61 çalışma içerisinde birden fazla ve çok farklı yöntemler kullanan makale sayısı da oldukça fazladır.</w:t>
      </w:r>
    </w:p>
    <w:p>
      <w:pPr>
        <w:pStyle w:val="BodyText"/>
        <w:spacing w:line="360" w:lineRule="auto"/>
        <w:ind w:right="311" w:firstLine="708"/>
      </w:pPr>
      <w:r>
        <w:rPr/>
        <w:t>Özetle, tek bir veri tabanında tarama yapılmış olmasına rağmen, elde edilen çalışma sayısı, Amazon’un elektronik ağızdan ağıza iletişim çalışmaları açısından ne derece önemli bir veri kaynağı olduğunu ispat etmektedir. Amazon hem çok çeşitli ürünlere sahip olması hem de zengin yorum sistemi ile çok farklı parametrelere (değerlik, hacim ve faydalılık göstergeleri gibi) erişim sağlaması ile araştırmacıların elektronik ağızdan ağıza iletişimin farklı boyutlarını farklı yöntemlerle irdelemesine olanak sağlamaktadır.</w:t>
      </w:r>
    </w:p>
    <w:p>
      <w:pPr>
        <w:pStyle w:val="Heading1"/>
        <w:numPr>
          <w:ilvl w:val="1"/>
          <w:numId w:val="2"/>
        </w:numPr>
        <w:tabs>
          <w:tab w:pos="1677" w:val="left" w:leader="none"/>
        </w:tabs>
        <w:spacing w:line="240" w:lineRule="auto" w:before="161" w:after="0"/>
        <w:ind w:left="1676" w:right="0" w:hanging="421"/>
        <w:jc w:val="both"/>
      </w:pPr>
      <w:r>
        <w:rPr/>
        <w:t>Metodoloji</w:t>
      </w:r>
    </w:p>
    <w:p>
      <w:pPr>
        <w:pStyle w:val="ListParagraph"/>
        <w:numPr>
          <w:ilvl w:val="2"/>
          <w:numId w:val="2"/>
        </w:numPr>
        <w:tabs>
          <w:tab w:pos="1857" w:val="left" w:leader="none"/>
        </w:tabs>
        <w:spacing w:line="240" w:lineRule="auto" w:before="137" w:after="0"/>
        <w:ind w:left="1856" w:right="0" w:hanging="601"/>
        <w:jc w:val="both"/>
        <w:rPr>
          <w:b/>
          <w:sz w:val="24"/>
        </w:rPr>
      </w:pPr>
      <w:r>
        <w:rPr>
          <w:b/>
          <w:sz w:val="24"/>
        </w:rPr>
        <w:t>Araştırmanın</w:t>
      </w:r>
      <w:r>
        <w:rPr>
          <w:b/>
          <w:spacing w:val="1"/>
          <w:sz w:val="24"/>
        </w:rPr>
        <w:t> </w:t>
      </w:r>
      <w:r>
        <w:rPr>
          <w:b/>
          <w:sz w:val="24"/>
        </w:rPr>
        <w:t>Amacı</w:t>
      </w:r>
    </w:p>
    <w:p>
      <w:pPr>
        <w:pStyle w:val="BodyText"/>
        <w:spacing w:line="360" w:lineRule="auto" w:before="139"/>
        <w:ind w:right="311" w:firstLine="708"/>
      </w:pPr>
      <w:r>
        <w:rPr/>
        <w:t>İnternet günümüz tüketicisi için hem satın alma noktası hem de bilgi kaynağı bağlamında</w:t>
      </w:r>
      <w:r>
        <w:rPr>
          <w:spacing w:val="-7"/>
        </w:rPr>
        <w:t> </w:t>
      </w:r>
      <w:r>
        <w:rPr/>
        <w:t>çok</w:t>
      </w:r>
      <w:r>
        <w:rPr>
          <w:spacing w:val="-4"/>
        </w:rPr>
        <w:t> </w:t>
      </w:r>
      <w:r>
        <w:rPr/>
        <w:t>fazla</w:t>
      </w:r>
      <w:r>
        <w:rPr>
          <w:spacing w:val="-3"/>
        </w:rPr>
        <w:t> </w:t>
      </w:r>
      <w:r>
        <w:rPr/>
        <w:t>seçenek</w:t>
      </w:r>
      <w:r>
        <w:rPr>
          <w:spacing w:val="-6"/>
        </w:rPr>
        <w:t> </w:t>
      </w:r>
      <w:r>
        <w:rPr/>
        <w:t>barındırmaktadır.</w:t>
      </w:r>
      <w:r>
        <w:rPr>
          <w:spacing w:val="-6"/>
        </w:rPr>
        <w:t> </w:t>
      </w:r>
      <w:r>
        <w:rPr/>
        <w:t>1980lerde</w:t>
      </w:r>
      <w:r>
        <w:rPr>
          <w:spacing w:val="-7"/>
        </w:rPr>
        <w:t> </w:t>
      </w:r>
      <w:r>
        <w:rPr/>
        <w:t>televizyon</w:t>
      </w:r>
      <w:r>
        <w:rPr>
          <w:spacing w:val="-6"/>
        </w:rPr>
        <w:t> </w:t>
      </w:r>
      <w:r>
        <w:rPr/>
        <w:t>alacak</w:t>
      </w:r>
      <w:r>
        <w:rPr>
          <w:spacing w:val="-6"/>
        </w:rPr>
        <w:t> </w:t>
      </w:r>
      <w:r>
        <w:rPr/>
        <w:t>bir</w:t>
      </w:r>
      <w:r>
        <w:rPr>
          <w:spacing w:val="-6"/>
        </w:rPr>
        <w:t> </w:t>
      </w:r>
      <w:r>
        <w:rPr/>
        <w:t>tüketici</w:t>
      </w:r>
      <w:r>
        <w:rPr>
          <w:spacing w:val="-6"/>
        </w:rPr>
        <w:t> </w:t>
      </w:r>
      <w:r>
        <w:rPr/>
        <w:t>için seçenekler sadece yaşadığı ildeki satıcıların stoklarıyla sınırlıyken günümüz tüketicisi için bu sınır internetle ulaşabildiği tüm satıcıları içermektedir. Diğer bir ifadeyle, günümüz tüketicisi internet üzerinden diğer illerden hatta ülkelerden kolaylıkla ürün satın alabilmektedir. Diğer taraftan, geçmişte tavsiye/bilgi aradığında sadece eşine dostuna danışabilen tüketici, günümüzde internet üzerinden kendisinden yüzlerce hatta binlerce kilometre uzaklıkta yaşayan, hayatında hiç karşılaşmayacağı insanların görüşlerine/deneyimlerine başvurabilmektedir. İnternette faaliyet gösteren perakendecilerin sayfalarında</w:t>
      </w:r>
      <w:r>
        <w:rPr>
          <w:spacing w:val="19"/>
        </w:rPr>
        <w:t> </w:t>
      </w:r>
      <w:r>
        <w:rPr/>
        <w:t>yer</w:t>
      </w:r>
      <w:r>
        <w:rPr>
          <w:spacing w:val="20"/>
        </w:rPr>
        <w:t> </w:t>
      </w:r>
      <w:r>
        <w:rPr/>
        <w:t>alan</w:t>
      </w:r>
      <w:r>
        <w:rPr>
          <w:spacing w:val="23"/>
        </w:rPr>
        <w:t> </w:t>
      </w:r>
      <w:r>
        <w:rPr/>
        <w:t>online</w:t>
      </w:r>
      <w:r>
        <w:rPr>
          <w:spacing w:val="20"/>
        </w:rPr>
        <w:t> </w:t>
      </w:r>
      <w:r>
        <w:rPr/>
        <w:t>tüketici</w:t>
      </w:r>
      <w:r>
        <w:rPr>
          <w:spacing w:val="21"/>
        </w:rPr>
        <w:t> </w:t>
      </w:r>
      <w:r>
        <w:rPr/>
        <w:t>yorumları,</w:t>
      </w:r>
      <w:r>
        <w:rPr>
          <w:spacing w:val="21"/>
        </w:rPr>
        <w:t> </w:t>
      </w:r>
      <w:r>
        <w:rPr/>
        <w:t>günümüz</w:t>
      </w:r>
      <w:r>
        <w:rPr>
          <w:spacing w:val="19"/>
        </w:rPr>
        <w:t> </w:t>
      </w:r>
      <w:r>
        <w:rPr/>
        <w:t>tüketicilerinin</w:t>
      </w:r>
      <w:r>
        <w:rPr>
          <w:spacing w:val="21"/>
        </w:rPr>
        <w:t> </w:t>
      </w:r>
      <w:r>
        <w:rPr/>
        <w:t>diğer</w:t>
      </w:r>
      <w:r>
        <w:rPr>
          <w:spacing w:val="20"/>
        </w:rPr>
        <w:t> </w:t>
      </w:r>
      <w:r>
        <w:rPr/>
        <w:t>tüketicilerin</w:t>
      </w:r>
    </w:p>
    <w:p>
      <w:pPr>
        <w:spacing w:after="0" w:line="360" w:lineRule="auto"/>
        <w:sectPr>
          <w:pgSz w:w="12240" w:h="15840"/>
          <w:pgMar w:header="718" w:footer="0" w:top="1300" w:bottom="280" w:left="1720" w:right="820"/>
        </w:sectPr>
      </w:pPr>
    </w:p>
    <w:p>
      <w:pPr>
        <w:pStyle w:val="BodyText"/>
        <w:spacing w:line="360" w:lineRule="auto" w:before="100"/>
        <w:ind w:right="308"/>
      </w:pPr>
      <w:r>
        <w:rPr/>
        <w:t>görüşlerini okuyabildikleri başvuru kaynaklarından bir tanesidir. Aynı zamanda, online tüketici yorumları, satın alma noktasında bulunması sebebiyle satışları destekleyen bir araç olarak online perakendecilerce sıklıkla kullanılmaktadır.</w:t>
      </w:r>
    </w:p>
    <w:p>
      <w:pPr>
        <w:pStyle w:val="BodyText"/>
        <w:spacing w:line="360" w:lineRule="auto"/>
        <w:ind w:right="310" w:firstLine="708"/>
      </w:pPr>
      <w:r>
        <w:rPr/>
        <w:t>Online</w:t>
      </w:r>
      <w:r>
        <w:rPr>
          <w:spacing w:val="-14"/>
        </w:rPr>
        <w:t> </w:t>
      </w:r>
      <w:r>
        <w:rPr/>
        <w:t>perakendecilerin,</w:t>
      </w:r>
      <w:r>
        <w:rPr>
          <w:spacing w:val="-10"/>
        </w:rPr>
        <w:t> </w:t>
      </w:r>
      <w:r>
        <w:rPr/>
        <w:t>tüketiciler</w:t>
      </w:r>
      <w:r>
        <w:rPr>
          <w:spacing w:val="-13"/>
        </w:rPr>
        <w:t> </w:t>
      </w:r>
      <w:r>
        <w:rPr/>
        <w:t>için</w:t>
      </w:r>
      <w:r>
        <w:rPr>
          <w:spacing w:val="-12"/>
        </w:rPr>
        <w:t> </w:t>
      </w:r>
      <w:r>
        <w:rPr/>
        <w:t>birer</w:t>
      </w:r>
      <w:r>
        <w:rPr>
          <w:spacing w:val="-13"/>
        </w:rPr>
        <w:t> </w:t>
      </w:r>
      <w:r>
        <w:rPr/>
        <w:t>alternatif</w:t>
      </w:r>
      <w:r>
        <w:rPr>
          <w:spacing w:val="-13"/>
        </w:rPr>
        <w:t> </w:t>
      </w:r>
      <w:r>
        <w:rPr/>
        <w:t>satın</w:t>
      </w:r>
      <w:r>
        <w:rPr>
          <w:spacing w:val="-12"/>
        </w:rPr>
        <w:t> </w:t>
      </w:r>
      <w:r>
        <w:rPr/>
        <w:t>alma</w:t>
      </w:r>
      <w:r>
        <w:rPr>
          <w:spacing w:val="-13"/>
        </w:rPr>
        <w:t> </w:t>
      </w:r>
      <w:r>
        <w:rPr/>
        <w:t>noktası</w:t>
      </w:r>
      <w:r>
        <w:rPr>
          <w:spacing w:val="-12"/>
        </w:rPr>
        <w:t> </w:t>
      </w:r>
      <w:r>
        <w:rPr/>
        <w:t>olmalarının yanı sıra yayınladıkları tüketici yorumları ile de bilgi kaynağı görevi görmelerinden yola çıkarak, bu çalışmada online perakendeci sayfasında yer alan yorumların satışlar üzerine etkisini ve bu etkinin farklı ürün grupları bağlamında değişip değişmediğini irdelemek amaçlanmıştır.</w:t>
      </w:r>
    </w:p>
    <w:p>
      <w:pPr>
        <w:pStyle w:val="Heading1"/>
        <w:numPr>
          <w:ilvl w:val="2"/>
          <w:numId w:val="2"/>
        </w:numPr>
        <w:tabs>
          <w:tab w:pos="1857" w:val="left" w:leader="none"/>
        </w:tabs>
        <w:spacing w:line="240" w:lineRule="auto" w:before="159" w:after="0"/>
        <w:ind w:left="1856" w:right="0" w:hanging="601"/>
        <w:jc w:val="both"/>
      </w:pPr>
      <w:r>
        <w:rPr/>
        <w:t>Hipotez</w:t>
      </w:r>
      <w:r>
        <w:rPr>
          <w:spacing w:val="-1"/>
        </w:rPr>
        <w:t> </w:t>
      </w:r>
      <w:r>
        <w:rPr/>
        <w:t>Geliştirme</w:t>
      </w:r>
    </w:p>
    <w:p>
      <w:pPr>
        <w:pStyle w:val="BodyText"/>
        <w:spacing w:line="360" w:lineRule="auto" w:before="140"/>
        <w:ind w:right="308" w:firstLine="708"/>
      </w:pPr>
      <w:r>
        <w:rPr/>
        <w:t>Elektronik ağızdan ağıza iletişim literatüründe, araştırmacıların en çok ilgisini çeken iki özellik hacim ve değerlik olmuştur (Cheung ve Thadani, 2012; Floyd vd. 2014; You vd., 2015). Bu çalışmada da, yorumların satışlar üzerine etkisi hacim ve değerlik özellikleri üzerinden incelenmiştir. Alt başlıklarda, hacim-satış ve değerlik-satış ilişkileri bağlamında geliştirilen hipotezler aktarılmaktadır.</w:t>
      </w:r>
    </w:p>
    <w:p>
      <w:pPr>
        <w:pStyle w:val="Heading1"/>
        <w:numPr>
          <w:ilvl w:val="3"/>
          <w:numId w:val="2"/>
        </w:numPr>
        <w:tabs>
          <w:tab w:pos="2037" w:val="left" w:leader="none"/>
        </w:tabs>
        <w:spacing w:line="240" w:lineRule="auto" w:before="160" w:after="0"/>
        <w:ind w:left="2036" w:right="0" w:hanging="781"/>
        <w:jc w:val="both"/>
      </w:pPr>
      <w:r>
        <w:rPr/>
        <w:t>Hacim-Satış</w:t>
      </w:r>
      <w:r>
        <w:rPr>
          <w:spacing w:val="-1"/>
        </w:rPr>
        <w:t> </w:t>
      </w:r>
      <w:r>
        <w:rPr/>
        <w:t>İlişkisi</w:t>
      </w:r>
    </w:p>
    <w:p>
      <w:pPr>
        <w:pStyle w:val="BodyText"/>
        <w:spacing w:line="360" w:lineRule="auto" w:before="137"/>
        <w:ind w:right="311" w:firstLine="708"/>
      </w:pPr>
      <w:r>
        <w:rPr/>
        <w:t>Hacim, bir ürün, marka ya da firma ile ilgili yayılan toplam ağızdan ağıza iletişim mesaj sayısını belirtmektedir (Duan vd., 2008a). Elektronik ağızdan ağıza iletişim literatüründe hacim göstergesi olarak sıklıkla yorum sayısı, sosyal medyadaki ileti sayısı ve blog yazısı sayısı kullanılmaktadır (You vd., 2015).</w:t>
      </w:r>
    </w:p>
    <w:p>
      <w:pPr>
        <w:pStyle w:val="BodyText"/>
        <w:spacing w:line="360" w:lineRule="auto"/>
        <w:ind w:right="308" w:firstLine="708"/>
      </w:pPr>
      <w:r>
        <w:rPr/>
        <w:t>Bir ürünle ilgili elektronik ağızdan ağıza iletişim mesajlarının çok olması, diğer bir ifadeyle hacmin büyük olması, yüksek derecede tüketici ilgisi olduğunu göstermektedir. Yüksek tüketici ilgisi de ürünün satılma olasılığını artırmaktadır (Bao vd., 2019). Hacmin ürün farkındalığını artırarak daha fazla satışa neden olduğu düşünülmektedir (Floyd vd., 2014). Hacmin satış üzerindeki potansiyel etkisi, firmaların markaları, ürünleri veya kendileri hakkında daha çok konuşulmasını sağlamak için bütçelerini elektronik ağızdan ağıza iletişim süreçlerine yönlendirmelerine ve bunun sunucunda pek çok araştırmanın da hacim-satış ilişkisine odaklanmasına neden olmuştur (You vd., 2015).</w:t>
      </w:r>
    </w:p>
    <w:p>
      <w:pPr>
        <w:pStyle w:val="BodyText"/>
        <w:spacing w:line="360" w:lineRule="auto" w:before="1"/>
        <w:ind w:right="310" w:firstLine="708"/>
      </w:pPr>
      <w:r>
        <w:rPr/>
        <w:t>Floyd vd. (2014) ve You vd. (2015) yaptıkları meta analiz çalışmalarında, literatürdeki çalışmaların önemli çoğunluğunda hacim-satış ilişkisinin pozitif olduğunu ortaya koymuşlardır. Amazon.com’u inceleyen çalışmalarda da, tüketici yorumlarının</w:t>
      </w:r>
      <w:r>
        <w:rPr>
          <w:spacing w:val="-22"/>
        </w:rPr>
        <w:t> </w:t>
      </w:r>
      <w:r>
        <w:rPr/>
        <w:t>sayısı</w:t>
      </w:r>
    </w:p>
    <w:p>
      <w:pPr>
        <w:spacing w:after="0" w:line="360" w:lineRule="auto"/>
        <w:sectPr>
          <w:pgSz w:w="12240" w:h="15840"/>
          <w:pgMar w:header="718" w:footer="0" w:top="1300" w:bottom="280" w:left="1720" w:right="820"/>
        </w:sectPr>
      </w:pPr>
    </w:p>
    <w:p>
      <w:pPr>
        <w:pStyle w:val="BodyText"/>
        <w:spacing w:line="360" w:lineRule="auto" w:before="100"/>
        <w:ind w:right="311"/>
      </w:pPr>
      <w:r>
        <w:rPr/>
        <w:t>ile ürün satışları arasında pozitif ilişki tespit edilmiştir (örn. Chevalier ve Mayzlin, 2006; Amblee ve Bui, 2011; Cui vd., 2012; Jabr ve Zheng, 2014; Bao ve Chang, 2016; Chen vd., 2017; Fink vd., 2018; Bao vd., 2019).</w:t>
      </w:r>
    </w:p>
    <w:p>
      <w:pPr>
        <w:pStyle w:val="BodyText"/>
        <w:spacing w:line="360" w:lineRule="auto"/>
        <w:ind w:right="311" w:firstLine="708"/>
      </w:pPr>
      <w:r>
        <w:rPr/>
        <w:t>Öte yandan, az sayıda da olsa, literatürde hacim satış arasında anlamlı doğrudan bir ilişki</w:t>
      </w:r>
      <w:r>
        <w:rPr>
          <w:spacing w:val="-9"/>
        </w:rPr>
        <w:t> </w:t>
      </w:r>
      <w:r>
        <w:rPr/>
        <w:t>bulamamış</w:t>
      </w:r>
      <w:r>
        <w:rPr>
          <w:spacing w:val="-10"/>
        </w:rPr>
        <w:t> </w:t>
      </w:r>
      <w:r>
        <w:rPr/>
        <w:t>ya</w:t>
      </w:r>
      <w:r>
        <w:rPr>
          <w:spacing w:val="-11"/>
        </w:rPr>
        <w:t> </w:t>
      </w:r>
      <w:r>
        <w:rPr/>
        <w:t>da</w:t>
      </w:r>
      <w:r>
        <w:rPr>
          <w:spacing w:val="-10"/>
        </w:rPr>
        <w:t> </w:t>
      </w:r>
      <w:r>
        <w:rPr/>
        <w:t>negatif</w:t>
      </w:r>
      <w:r>
        <w:rPr>
          <w:spacing w:val="-10"/>
        </w:rPr>
        <w:t> </w:t>
      </w:r>
      <w:r>
        <w:rPr/>
        <w:t>bir</w:t>
      </w:r>
      <w:r>
        <w:rPr>
          <w:spacing w:val="-8"/>
        </w:rPr>
        <w:t> </w:t>
      </w:r>
      <w:r>
        <w:rPr/>
        <w:t>ilişki</w:t>
      </w:r>
      <w:r>
        <w:rPr>
          <w:spacing w:val="-11"/>
        </w:rPr>
        <w:t> </w:t>
      </w:r>
      <w:r>
        <w:rPr/>
        <w:t>bulmuş</w:t>
      </w:r>
      <w:r>
        <w:rPr>
          <w:spacing w:val="-11"/>
        </w:rPr>
        <w:t> </w:t>
      </w:r>
      <w:r>
        <w:rPr/>
        <w:t>çalışmalar</w:t>
      </w:r>
      <w:r>
        <w:rPr>
          <w:spacing w:val="-9"/>
        </w:rPr>
        <w:t> </w:t>
      </w:r>
      <w:r>
        <w:rPr/>
        <w:t>da</w:t>
      </w:r>
      <w:r>
        <w:rPr>
          <w:spacing w:val="-11"/>
        </w:rPr>
        <w:t> </w:t>
      </w:r>
      <w:r>
        <w:rPr/>
        <w:t>mevcuttur.</w:t>
      </w:r>
      <w:r>
        <w:rPr>
          <w:spacing w:val="-9"/>
        </w:rPr>
        <w:t> </w:t>
      </w:r>
      <w:r>
        <w:rPr/>
        <w:t>Davis</w:t>
      </w:r>
      <w:r>
        <w:rPr>
          <w:spacing w:val="-8"/>
        </w:rPr>
        <w:t> </w:t>
      </w:r>
      <w:r>
        <w:rPr/>
        <w:t>ve</w:t>
      </w:r>
      <w:r>
        <w:rPr>
          <w:spacing w:val="-11"/>
        </w:rPr>
        <w:t> </w:t>
      </w:r>
      <w:r>
        <w:rPr/>
        <w:t>Khazanchi (2008),</w:t>
      </w:r>
      <w:r>
        <w:rPr>
          <w:spacing w:val="-4"/>
        </w:rPr>
        <w:t> </w:t>
      </w:r>
      <w:r>
        <w:rPr/>
        <w:t>Chintagunta</w:t>
      </w:r>
      <w:r>
        <w:rPr>
          <w:spacing w:val="-4"/>
        </w:rPr>
        <w:t> </w:t>
      </w:r>
      <w:r>
        <w:rPr/>
        <w:t>vd.</w:t>
      </w:r>
      <w:r>
        <w:rPr>
          <w:spacing w:val="-3"/>
        </w:rPr>
        <w:t> </w:t>
      </w:r>
      <w:r>
        <w:rPr/>
        <w:t>(2010),</w:t>
      </w:r>
      <w:r>
        <w:rPr>
          <w:spacing w:val="-5"/>
        </w:rPr>
        <w:t> </w:t>
      </w:r>
      <w:r>
        <w:rPr/>
        <w:t>Hu</w:t>
      </w:r>
      <w:r>
        <w:rPr>
          <w:spacing w:val="-4"/>
        </w:rPr>
        <w:t> </w:t>
      </w:r>
      <w:r>
        <w:rPr/>
        <w:t>vd.</w:t>
      </w:r>
      <w:r>
        <w:rPr>
          <w:spacing w:val="-3"/>
        </w:rPr>
        <w:t> </w:t>
      </w:r>
      <w:r>
        <w:rPr/>
        <w:t>(2011)</w:t>
      </w:r>
      <w:r>
        <w:rPr>
          <w:spacing w:val="-4"/>
        </w:rPr>
        <w:t> </w:t>
      </w:r>
      <w:r>
        <w:rPr/>
        <w:t>ve</w:t>
      </w:r>
      <w:r>
        <w:rPr>
          <w:spacing w:val="-2"/>
        </w:rPr>
        <w:t> </w:t>
      </w:r>
      <w:r>
        <w:rPr/>
        <w:t>Gopinath</w:t>
      </w:r>
      <w:r>
        <w:rPr>
          <w:spacing w:val="-3"/>
        </w:rPr>
        <w:t> </w:t>
      </w:r>
      <w:r>
        <w:rPr/>
        <w:t>vd.</w:t>
      </w:r>
      <w:r>
        <w:rPr>
          <w:spacing w:val="-4"/>
        </w:rPr>
        <w:t> </w:t>
      </w:r>
      <w:r>
        <w:rPr/>
        <w:t>(2014)</w:t>
      </w:r>
      <w:r>
        <w:rPr>
          <w:spacing w:val="-5"/>
        </w:rPr>
        <w:t> </w:t>
      </w:r>
      <w:r>
        <w:rPr/>
        <w:t>çalışmalarında</w:t>
      </w:r>
      <w:r>
        <w:rPr>
          <w:spacing w:val="-4"/>
        </w:rPr>
        <w:t> </w:t>
      </w:r>
      <w:r>
        <w:rPr/>
        <w:t>hacim ve satış arasında anlamlı bir ilişki bulamamışlardır. Dewan ve Ramaprasad (2014) ise, şarkılar hakkında yapılan toplam blog yazısı sayısı ile şarkıların radyolarda çalınma sayısı arasında negatif ilişki</w:t>
      </w:r>
      <w:r>
        <w:rPr>
          <w:spacing w:val="-3"/>
        </w:rPr>
        <w:t> </w:t>
      </w:r>
      <w:r>
        <w:rPr/>
        <w:t>bulmuşlardır.</w:t>
      </w:r>
    </w:p>
    <w:p>
      <w:pPr>
        <w:pStyle w:val="BodyText"/>
        <w:spacing w:line="360" w:lineRule="auto"/>
        <w:ind w:right="309" w:firstLine="708"/>
      </w:pPr>
      <w:r>
        <w:rPr/>
        <w:t>Hacim-satış ilişkisinde, Amazon’daki yorum sayısının yanı sıra farklı mecralardaki yorum sayılarını da göz önünde bulunduran çalışmalar da mevcuttur. Chevalier ve Mayzlin (2006)</w:t>
      </w:r>
      <w:r>
        <w:rPr>
          <w:spacing w:val="-13"/>
        </w:rPr>
        <w:t> </w:t>
      </w:r>
      <w:r>
        <w:rPr/>
        <w:t>ve</w:t>
      </w:r>
      <w:r>
        <w:rPr>
          <w:spacing w:val="-12"/>
        </w:rPr>
        <w:t> </w:t>
      </w:r>
      <w:r>
        <w:rPr/>
        <w:t>Sun</w:t>
      </w:r>
      <w:r>
        <w:rPr>
          <w:spacing w:val="-12"/>
        </w:rPr>
        <w:t> </w:t>
      </w:r>
      <w:r>
        <w:rPr/>
        <w:t>(2012),</w:t>
      </w:r>
      <w:r>
        <w:rPr>
          <w:spacing w:val="-11"/>
        </w:rPr>
        <w:t> </w:t>
      </w:r>
      <w:r>
        <w:rPr/>
        <w:t>Amazon</w:t>
      </w:r>
      <w:r>
        <w:rPr>
          <w:spacing w:val="-12"/>
        </w:rPr>
        <w:t> </w:t>
      </w:r>
      <w:r>
        <w:rPr/>
        <w:t>ve</w:t>
      </w:r>
      <w:r>
        <w:rPr>
          <w:spacing w:val="-12"/>
        </w:rPr>
        <w:t> </w:t>
      </w:r>
      <w:r>
        <w:rPr/>
        <w:t>Barnes&amp;Noble’dan</w:t>
      </w:r>
      <w:r>
        <w:rPr>
          <w:spacing w:val="-12"/>
        </w:rPr>
        <w:t> </w:t>
      </w:r>
      <w:r>
        <w:rPr/>
        <w:t>topladıkları</w:t>
      </w:r>
      <w:r>
        <w:rPr>
          <w:spacing w:val="-9"/>
        </w:rPr>
        <w:t> </w:t>
      </w:r>
      <w:r>
        <w:rPr/>
        <w:t>kitap</w:t>
      </w:r>
      <w:r>
        <w:rPr>
          <w:spacing w:val="-11"/>
        </w:rPr>
        <w:t> </w:t>
      </w:r>
      <w:r>
        <w:rPr/>
        <w:t>verileriyle</w:t>
      </w:r>
      <w:r>
        <w:rPr>
          <w:spacing w:val="-13"/>
        </w:rPr>
        <w:t> </w:t>
      </w:r>
      <w:r>
        <w:rPr/>
        <w:t>yaptıkları analizlerde Amazon’daki yorum sayısının Barnes&amp;Noble’a kıyasla daha fazla artmasının Amazon’daki satışları artırdığını bulmuşlardır. Park vd. (2012) ise Amazon’daki dijital kamera</w:t>
      </w:r>
      <w:r>
        <w:rPr>
          <w:spacing w:val="-12"/>
        </w:rPr>
        <w:t> </w:t>
      </w:r>
      <w:r>
        <w:rPr/>
        <w:t>satışlarında</w:t>
      </w:r>
      <w:r>
        <w:rPr>
          <w:spacing w:val="-10"/>
        </w:rPr>
        <w:t> </w:t>
      </w:r>
      <w:r>
        <w:rPr/>
        <w:t>Amazon’da</w:t>
      </w:r>
      <w:r>
        <w:rPr>
          <w:spacing w:val="-11"/>
        </w:rPr>
        <w:t> </w:t>
      </w:r>
      <w:r>
        <w:rPr/>
        <w:t>yer</w:t>
      </w:r>
      <w:r>
        <w:rPr>
          <w:spacing w:val="-11"/>
        </w:rPr>
        <w:t> </w:t>
      </w:r>
      <w:r>
        <w:rPr/>
        <w:t>alan</w:t>
      </w:r>
      <w:r>
        <w:rPr>
          <w:spacing w:val="-10"/>
        </w:rPr>
        <w:t> </w:t>
      </w:r>
      <w:r>
        <w:rPr/>
        <w:t>yorumların</w:t>
      </w:r>
      <w:r>
        <w:rPr>
          <w:spacing w:val="-9"/>
        </w:rPr>
        <w:t> </w:t>
      </w:r>
      <w:r>
        <w:rPr/>
        <w:t>yanısıra</w:t>
      </w:r>
      <w:r>
        <w:rPr>
          <w:spacing w:val="-12"/>
        </w:rPr>
        <w:t> </w:t>
      </w:r>
      <w:r>
        <w:rPr/>
        <w:t>CNet’teki</w:t>
      </w:r>
      <w:r>
        <w:rPr>
          <w:spacing w:val="-8"/>
        </w:rPr>
        <w:t> </w:t>
      </w:r>
      <w:r>
        <w:rPr/>
        <w:t>tüketici</w:t>
      </w:r>
      <w:r>
        <w:rPr>
          <w:spacing w:val="-8"/>
        </w:rPr>
        <w:t> </w:t>
      </w:r>
      <w:r>
        <w:rPr/>
        <w:t>yorumlarının da etkisini irdeledikleri çalışmalarında, CNet’te yer alan yorumların satışlar üzerinde Amazon’daki yorumlardan daha etkili olduklarını bulmuşlardır. Zhou ve Duan (2015), Download.com’daki</w:t>
      </w:r>
      <w:r>
        <w:rPr>
          <w:spacing w:val="-13"/>
        </w:rPr>
        <w:t> </w:t>
      </w:r>
      <w:r>
        <w:rPr/>
        <w:t>tüketici</w:t>
      </w:r>
      <w:r>
        <w:rPr>
          <w:spacing w:val="-12"/>
        </w:rPr>
        <w:t> </w:t>
      </w:r>
      <w:r>
        <w:rPr/>
        <w:t>ve</w:t>
      </w:r>
      <w:r>
        <w:rPr>
          <w:spacing w:val="-13"/>
        </w:rPr>
        <w:t> </w:t>
      </w:r>
      <w:r>
        <w:rPr/>
        <w:t>uzman</w:t>
      </w:r>
      <w:r>
        <w:rPr>
          <w:spacing w:val="-12"/>
        </w:rPr>
        <w:t> </w:t>
      </w:r>
      <w:r>
        <w:rPr/>
        <w:t>yorumları</w:t>
      </w:r>
      <w:r>
        <w:rPr>
          <w:spacing w:val="-13"/>
        </w:rPr>
        <w:t> </w:t>
      </w:r>
      <w:r>
        <w:rPr/>
        <w:t>ile</w:t>
      </w:r>
      <w:r>
        <w:rPr>
          <w:spacing w:val="-13"/>
        </w:rPr>
        <w:t> </w:t>
      </w:r>
      <w:r>
        <w:rPr/>
        <w:t>Amazon’da</w:t>
      </w:r>
      <w:r>
        <w:rPr>
          <w:spacing w:val="-13"/>
        </w:rPr>
        <w:t> </w:t>
      </w:r>
      <w:r>
        <w:rPr/>
        <w:t>satılan</w:t>
      </w:r>
      <w:r>
        <w:rPr>
          <w:spacing w:val="-12"/>
        </w:rPr>
        <w:t> </w:t>
      </w:r>
      <w:r>
        <w:rPr/>
        <w:t>yazılımların</w:t>
      </w:r>
      <w:r>
        <w:rPr>
          <w:spacing w:val="-12"/>
        </w:rPr>
        <w:t> </w:t>
      </w:r>
      <w:r>
        <w:rPr/>
        <w:t>satışları ve tüketici yorumlarını birlikte inceledikleri çalışmada, Download.com’da yer alan tüketici yorumlarının Amazon’daki yorum sayısı-satış ilişkisinde aracılık etkisi olduğunu bulmuşlardır.</w:t>
      </w:r>
      <w:r>
        <w:rPr>
          <w:spacing w:val="-17"/>
        </w:rPr>
        <w:t> </w:t>
      </w:r>
      <w:r>
        <w:rPr/>
        <w:t>Son</w:t>
      </w:r>
      <w:r>
        <w:rPr>
          <w:spacing w:val="-16"/>
        </w:rPr>
        <w:t> </w:t>
      </w:r>
      <w:r>
        <w:rPr/>
        <w:t>olarak,</w:t>
      </w:r>
      <w:r>
        <w:rPr>
          <w:spacing w:val="-17"/>
        </w:rPr>
        <w:t> </w:t>
      </w:r>
      <w:r>
        <w:rPr/>
        <w:t>Hashim</w:t>
      </w:r>
      <w:r>
        <w:rPr>
          <w:spacing w:val="-15"/>
        </w:rPr>
        <w:t> </w:t>
      </w:r>
      <w:r>
        <w:rPr/>
        <w:t>vd.’nin</w:t>
      </w:r>
      <w:r>
        <w:rPr>
          <w:spacing w:val="-16"/>
        </w:rPr>
        <w:t> </w:t>
      </w:r>
      <w:r>
        <w:rPr/>
        <w:t>(2019)</w:t>
      </w:r>
      <w:r>
        <w:rPr>
          <w:spacing w:val="-18"/>
        </w:rPr>
        <w:t> </w:t>
      </w:r>
      <w:r>
        <w:rPr/>
        <w:t>Amazon’daki</w:t>
      </w:r>
      <w:r>
        <w:rPr>
          <w:spacing w:val="-15"/>
        </w:rPr>
        <w:t> </w:t>
      </w:r>
      <w:r>
        <w:rPr/>
        <w:t>DVD</w:t>
      </w:r>
      <w:r>
        <w:rPr>
          <w:spacing w:val="-16"/>
        </w:rPr>
        <w:t> </w:t>
      </w:r>
      <w:r>
        <w:rPr/>
        <w:t>ve</w:t>
      </w:r>
      <w:r>
        <w:rPr>
          <w:spacing w:val="-17"/>
        </w:rPr>
        <w:t> </w:t>
      </w:r>
      <w:r>
        <w:rPr/>
        <w:t>dijital</w:t>
      </w:r>
      <w:r>
        <w:rPr>
          <w:spacing w:val="-15"/>
        </w:rPr>
        <w:t> </w:t>
      </w:r>
      <w:r>
        <w:rPr/>
        <w:t>film</w:t>
      </w:r>
      <w:r>
        <w:rPr>
          <w:spacing w:val="-16"/>
        </w:rPr>
        <w:t> </w:t>
      </w:r>
      <w:r>
        <w:rPr/>
        <w:t>satışlarını inceledikleri çalışmada, Barnes&amp;Noble’da yer alan yorumların etkisi de irdelenmiş ve</w:t>
      </w:r>
      <w:r>
        <w:rPr>
          <w:spacing w:val="-31"/>
        </w:rPr>
        <w:t> </w:t>
      </w:r>
      <w:r>
        <w:rPr/>
        <w:t>genel olarak Barnes&amp;Noble’daki yorum sayısı ile Amazon’daki satışlar arasında anlamlı bir ilişki bulunamamıştır. Bu çalışmada, sadece Amazon’daki popüler çok satan DVD’lerin satışları ile Barnes&amp;Noble’daki yorum sayısı arasında negatif bir ilişki</w:t>
      </w:r>
      <w:r>
        <w:rPr>
          <w:spacing w:val="-8"/>
        </w:rPr>
        <w:t> </w:t>
      </w:r>
      <w:r>
        <w:rPr/>
        <w:t>bulunmuştur.</w:t>
      </w:r>
    </w:p>
    <w:p>
      <w:pPr>
        <w:pStyle w:val="BodyText"/>
        <w:spacing w:line="360" w:lineRule="auto" w:before="1"/>
        <w:ind w:right="309" w:firstLine="708"/>
      </w:pPr>
      <w:r>
        <w:rPr/>
        <w:t>Hacim ve satış arasında pozitif ilişki olduğuna dair genel görüşe karşın, bazı çalışmalarda bu görüşü destekleyecek sonuçların bulunmaması hacim-satış ilişkisinin sorgulanabilirliğini sürdürmektedir. Bu doğrultuda, araştırmanın ilk hipotezi şu şekilde oluşturulmuştur:</w:t>
      </w:r>
    </w:p>
    <w:p>
      <w:pPr>
        <w:pStyle w:val="BodyText"/>
        <w:spacing w:before="1"/>
        <w:ind w:left="1256"/>
      </w:pPr>
      <w:r>
        <w:rPr>
          <w:b/>
          <w:position w:val="1"/>
        </w:rPr>
        <w:t>H</w:t>
      </w:r>
      <w:r>
        <w:rPr>
          <w:b/>
          <w:sz w:val="16"/>
        </w:rPr>
        <w:t>1</w:t>
      </w:r>
      <w:r>
        <w:rPr>
          <w:b/>
          <w:position w:val="1"/>
        </w:rPr>
        <w:t>: </w:t>
      </w:r>
      <w:r>
        <w:rPr>
          <w:position w:val="1"/>
        </w:rPr>
        <w:t>Yorum sayısı ile satışlar arasında pozitif ilişki bulunmaktadır.</w:t>
      </w:r>
    </w:p>
    <w:p>
      <w:pPr>
        <w:spacing w:after="0"/>
        <w:sectPr>
          <w:pgSz w:w="12240" w:h="15840"/>
          <w:pgMar w:header="718" w:footer="0" w:top="1300" w:bottom="280" w:left="1720" w:right="820"/>
        </w:sectPr>
      </w:pPr>
    </w:p>
    <w:p>
      <w:pPr>
        <w:pStyle w:val="BodyText"/>
        <w:spacing w:line="360" w:lineRule="auto" w:before="100"/>
        <w:ind w:right="307" w:firstLine="708"/>
      </w:pPr>
      <w:r>
        <w:rPr/>
        <w:t>Yorumların satışları etkileyebilmesi için öncelikle tüketicilerin ürün hakkında bilgi araması gerekmektedir. Aranan bilgi düzeyi ürün özelliklerine göre farklılık göstermekte ve dolayısıyla ürün özellikleri yorumun satış üzerindeki etkisinde rol oynamaktadır (You vd., 2015). Ürün özelliklerine göre yorum etkisinin farklılaştığını varsayan bazı çalışmalar Nelson’un</w:t>
      </w:r>
      <w:r>
        <w:rPr>
          <w:spacing w:val="-14"/>
        </w:rPr>
        <w:t> </w:t>
      </w:r>
      <w:r>
        <w:rPr/>
        <w:t>(1970)</w:t>
      </w:r>
      <w:r>
        <w:rPr>
          <w:spacing w:val="-15"/>
        </w:rPr>
        <w:t> </w:t>
      </w:r>
      <w:r>
        <w:rPr/>
        <w:t>ürün</w:t>
      </w:r>
      <w:r>
        <w:rPr>
          <w:spacing w:val="-13"/>
        </w:rPr>
        <w:t> </w:t>
      </w:r>
      <w:r>
        <w:rPr/>
        <w:t>sınıflandırmasını</w:t>
      </w:r>
      <w:r>
        <w:rPr>
          <w:spacing w:val="-14"/>
        </w:rPr>
        <w:t> </w:t>
      </w:r>
      <w:r>
        <w:rPr/>
        <w:t>kullanmıştır.</w:t>
      </w:r>
      <w:r>
        <w:rPr>
          <w:spacing w:val="-14"/>
        </w:rPr>
        <w:t> </w:t>
      </w:r>
      <w:r>
        <w:rPr/>
        <w:t>Bu</w:t>
      </w:r>
      <w:r>
        <w:rPr>
          <w:spacing w:val="-14"/>
        </w:rPr>
        <w:t> </w:t>
      </w:r>
      <w:r>
        <w:rPr/>
        <w:t>sınıflandırmaya</w:t>
      </w:r>
      <w:r>
        <w:rPr>
          <w:spacing w:val="-15"/>
        </w:rPr>
        <w:t> </w:t>
      </w:r>
      <w:r>
        <w:rPr/>
        <w:t>göre;</w:t>
      </w:r>
      <w:r>
        <w:rPr>
          <w:spacing w:val="-11"/>
        </w:rPr>
        <w:t> </w:t>
      </w:r>
      <w:r>
        <w:rPr/>
        <w:t>ürünler,</w:t>
      </w:r>
      <w:r>
        <w:rPr>
          <w:spacing w:val="-14"/>
        </w:rPr>
        <w:t> </w:t>
      </w:r>
      <w:r>
        <w:rPr/>
        <w:t>ürün kalitesini değerlendirmek için tüketicilerin güvendikleri bilgi kaynaklarına göre iki temel kategoriye ayrılmaktadır (Li vd., 2016). İlk olarak, araştırma ürünleri (örn. tablet bilgisayarlar), hakkında araştırma yapılarak kalitesi hakkında kolaylıkla fikir sahibi olunabilen ürünlerdir (Jiménez ve Mendoza, 2013). İkinci kategori olan deneyim ürünleri (örn. parfüm) ise, hakkında bilgi elde etmenin zor olduğu ve tüketilene kadar değerlendirilmesi kolay olmayan ürünlerdir (Mudambi ve Schuff, 2010). Özellikleri itibariyle, araştırma ürünleri tüketim öncesi değerlendirilebilirken, deneyim ürünleri ise tüketim esnasında ya da sonrasında ancak değerlendirilebilir. Dolayısıyla, tüketiciler deneyim ürünleri satın alırken diğer tüketicilerin deneyimlerine ve yorumlarına daha fazla değer verme eğilimindedir (Li vd.,</w:t>
      </w:r>
      <w:r>
        <w:rPr>
          <w:spacing w:val="-1"/>
        </w:rPr>
        <w:t> </w:t>
      </w:r>
      <w:r>
        <w:rPr/>
        <w:t>2016).</w:t>
      </w:r>
    </w:p>
    <w:p>
      <w:pPr>
        <w:pStyle w:val="BodyText"/>
        <w:spacing w:line="360" w:lineRule="auto"/>
        <w:ind w:right="310" w:firstLine="708"/>
      </w:pPr>
      <w:r>
        <w:rPr/>
        <w:t>Ancak, araştırma ve deneyim ürünlerini hacim-satış ilişkisi bağlamında kıyaslayan çalışmaların sonuçları farklılık göstermektedir. Cui vd. (2012) yorum hacminin deneyim ürünleri satışlarını daha fazla etkilediğini bulmuştur. Öte yandan, Li vd.’nin (2016) çalışmasının sonuçları yorum hacminin araştırma ürünleri satışlarını daha fazla etkilediğini göstermektedir.</w:t>
      </w:r>
    </w:p>
    <w:p>
      <w:pPr>
        <w:pStyle w:val="BodyText"/>
        <w:spacing w:line="360" w:lineRule="auto" w:before="2"/>
        <w:ind w:right="308" w:firstLine="708"/>
      </w:pPr>
      <w:r>
        <w:rPr/>
        <w:t>Araştırma-deneyim ürünleri kıyaslaması dışında, birden fazla ürün kategorisinde yorum etkisini analiz eden çalışmalarda da hacim etkisinin ürün kategorisine göre farklılaştığı,</w:t>
      </w:r>
      <w:r>
        <w:rPr>
          <w:spacing w:val="-6"/>
        </w:rPr>
        <w:t> </w:t>
      </w:r>
      <w:r>
        <w:rPr/>
        <w:t>bazı</w:t>
      </w:r>
      <w:r>
        <w:rPr>
          <w:spacing w:val="-5"/>
        </w:rPr>
        <w:t> </w:t>
      </w:r>
      <w:r>
        <w:rPr/>
        <w:t>gruplarda</w:t>
      </w:r>
      <w:r>
        <w:rPr>
          <w:spacing w:val="-5"/>
        </w:rPr>
        <w:t> </w:t>
      </w:r>
      <w:r>
        <w:rPr/>
        <w:t>hacmin</w:t>
      </w:r>
      <w:r>
        <w:rPr>
          <w:spacing w:val="-6"/>
        </w:rPr>
        <w:t> </w:t>
      </w:r>
      <w:r>
        <w:rPr/>
        <w:t>satışı</w:t>
      </w:r>
      <w:r>
        <w:rPr>
          <w:spacing w:val="-5"/>
        </w:rPr>
        <w:t> </w:t>
      </w:r>
      <w:r>
        <w:rPr/>
        <w:t>etkilemediği</w:t>
      </w:r>
      <w:r>
        <w:rPr>
          <w:spacing w:val="-6"/>
        </w:rPr>
        <w:t> </w:t>
      </w:r>
      <w:r>
        <w:rPr/>
        <w:t>(Davis</w:t>
      </w:r>
      <w:r>
        <w:rPr>
          <w:spacing w:val="-4"/>
        </w:rPr>
        <w:t> </w:t>
      </w:r>
      <w:r>
        <w:rPr/>
        <w:t>ve</w:t>
      </w:r>
      <w:r>
        <w:rPr>
          <w:spacing w:val="-5"/>
        </w:rPr>
        <w:t> </w:t>
      </w:r>
      <w:r>
        <w:rPr/>
        <w:t>Khazanchi,</w:t>
      </w:r>
      <w:r>
        <w:rPr>
          <w:spacing w:val="-5"/>
        </w:rPr>
        <w:t> </w:t>
      </w:r>
      <w:r>
        <w:rPr/>
        <w:t>2008;</w:t>
      </w:r>
      <w:r>
        <w:rPr>
          <w:spacing w:val="-6"/>
        </w:rPr>
        <w:t> </w:t>
      </w:r>
      <w:r>
        <w:rPr/>
        <w:t>Ghose</w:t>
      </w:r>
      <w:r>
        <w:rPr>
          <w:spacing w:val="-6"/>
        </w:rPr>
        <w:t> </w:t>
      </w:r>
      <w:r>
        <w:rPr/>
        <w:t>ve Ipeirotis, 2011) ve bazı gruplarda da satışı olumsuz etkilediği (Bao vd., 2019) belirtilmektedir.</w:t>
      </w:r>
    </w:p>
    <w:p>
      <w:pPr>
        <w:pStyle w:val="BodyText"/>
        <w:spacing w:line="360" w:lineRule="auto"/>
        <w:ind w:right="312" w:firstLine="708"/>
      </w:pPr>
      <w:r>
        <w:rPr/>
        <w:t>Örneklemde birden fazla ürün kategorisinin bulunduğu bu araştırmanın bir diğer hipotezi de şu şekilde oluşturulmuştur:</w:t>
      </w:r>
    </w:p>
    <w:p>
      <w:pPr>
        <w:pStyle w:val="BodyText"/>
        <w:spacing w:line="360" w:lineRule="auto"/>
        <w:ind w:right="312" w:firstLine="708"/>
      </w:pPr>
      <w:r>
        <w:rPr>
          <w:b/>
          <w:position w:val="1"/>
        </w:rPr>
        <w:t>H</w:t>
      </w:r>
      <w:r>
        <w:rPr>
          <w:b/>
          <w:sz w:val="16"/>
        </w:rPr>
        <w:t>2</w:t>
      </w:r>
      <w:r>
        <w:rPr>
          <w:b/>
          <w:position w:val="1"/>
        </w:rPr>
        <w:t>: </w:t>
      </w:r>
      <w:r>
        <w:rPr>
          <w:position w:val="1"/>
        </w:rPr>
        <w:t>Yorum sayısı ile ürün satışı arasındaki ilişki ürün kategorisine göre farklılık </w:t>
      </w:r>
      <w:r>
        <w:rPr/>
        <w:t>göstermektedir.</w:t>
      </w:r>
    </w:p>
    <w:p>
      <w:pPr>
        <w:pStyle w:val="BodyText"/>
        <w:spacing w:line="360" w:lineRule="auto"/>
        <w:ind w:left="1256" w:right="312" w:firstLine="708"/>
      </w:pPr>
      <w:r>
        <w:rPr>
          <w:b/>
          <w:position w:val="1"/>
        </w:rPr>
        <w:t>H</w:t>
      </w:r>
      <w:r>
        <w:rPr>
          <w:b/>
          <w:sz w:val="16"/>
        </w:rPr>
        <w:t>2a</w:t>
      </w:r>
      <w:r>
        <w:rPr>
          <w:b/>
          <w:position w:val="1"/>
        </w:rPr>
        <w:t>: </w:t>
      </w:r>
      <w:r>
        <w:rPr>
          <w:position w:val="1"/>
        </w:rPr>
        <w:t>Mobilya ve dizüstü kategorileri için, yorum sayısı ile ürün satışı </w:t>
      </w:r>
      <w:r>
        <w:rPr/>
        <w:t>arasındaki ilişki farklılık gösterir.</w:t>
      </w:r>
    </w:p>
    <w:p>
      <w:pPr>
        <w:spacing w:after="0" w:line="360" w:lineRule="auto"/>
        <w:sectPr>
          <w:pgSz w:w="12240" w:h="15840"/>
          <w:pgMar w:header="718" w:footer="0" w:top="1300" w:bottom="280" w:left="1720" w:right="820"/>
        </w:sectPr>
      </w:pPr>
    </w:p>
    <w:p>
      <w:pPr>
        <w:pStyle w:val="BodyText"/>
        <w:spacing w:line="360" w:lineRule="auto" w:before="100"/>
        <w:ind w:left="1256" w:right="312" w:firstLine="708"/>
        <w:jc w:val="left"/>
      </w:pPr>
      <w:r>
        <w:rPr>
          <w:b/>
          <w:position w:val="1"/>
        </w:rPr>
        <w:t>H</w:t>
      </w:r>
      <w:r>
        <w:rPr>
          <w:b/>
          <w:sz w:val="16"/>
        </w:rPr>
        <w:t>2b</w:t>
      </w:r>
      <w:r>
        <w:rPr>
          <w:b/>
          <w:position w:val="1"/>
        </w:rPr>
        <w:t>: </w:t>
      </w:r>
      <w:r>
        <w:rPr>
          <w:position w:val="1"/>
        </w:rPr>
        <w:t>Mobilya ve koltuk kategorileri için, yorum sayısı ile ürün satışı </w:t>
      </w:r>
      <w:r>
        <w:rPr/>
        <w:t>arasındaki ilişki farklılık</w:t>
      </w:r>
      <w:r>
        <w:rPr>
          <w:spacing w:val="-2"/>
        </w:rPr>
        <w:t> </w:t>
      </w:r>
      <w:r>
        <w:rPr/>
        <w:t>gösterir.</w:t>
      </w:r>
    </w:p>
    <w:p>
      <w:pPr>
        <w:pStyle w:val="BodyText"/>
        <w:spacing w:line="360" w:lineRule="auto"/>
        <w:ind w:left="1256" w:right="312" w:firstLine="708"/>
        <w:jc w:val="left"/>
      </w:pPr>
      <w:r>
        <w:rPr>
          <w:b/>
          <w:position w:val="1"/>
        </w:rPr>
        <w:t>H</w:t>
      </w:r>
      <w:r>
        <w:rPr>
          <w:b/>
          <w:sz w:val="16"/>
        </w:rPr>
        <w:t>2c</w:t>
      </w:r>
      <w:r>
        <w:rPr>
          <w:b/>
          <w:position w:val="1"/>
        </w:rPr>
        <w:t>: </w:t>
      </w:r>
      <w:r>
        <w:rPr>
          <w:position w:val="1"/>
        </w:rPr>
        <w:t>Mobilya ve televizyon kategorileri için, yorum sayısı ile ürün satışı </w:t>
      </w:r>
      <w:r>
        <w:rPr/>
        <w:t>arasındaki ilişki farklılık</w:t>
      </w:r>
      <w:r>
        <w:rPr>
          <w:spacing w:val="-3"/>
        </w:rPr>
        <w:t> </w:t>
      </w:r>
      <w:r>
        <w:rPr/>
        <w:t>gösterir.</w:t>
      </w:r>
    </w:p>
    <w:p>
      <w:pPr>
        <w:pStyle w:val="BodyText"/>
        <w:spacing w:line="360" w:lineRule="auto"/>
        <w:ind w:left="1256" w:right="312" w:firstLine="708"/>
        <w:jc w:val="left"/>
      </w:pPr>
      <w:r>
        <w:rPr>
          <w:b/>
          <w:position w:val="1"/>
        </w:rPr>
        <w:t>H</w:t>
      </w:r>
      <w:r>
        <w:rPr>
          <w:b/>
          <w:sz w:val="16"/>
        </w:rPr>
        <w:t>2d</w:t>
      </w:r>
      <w:r>
        <w:rPr>
          <w:b/>
          <w:position w:val="1"/>
        </w:rPr>
        <w:t>:</w:t>
      </w:r>
      <w:r>
        <w:rPr>
          <w:b/>
          <w:spacing w:val="-14"/>
          <w:position w:val="1"/>
        </w:rPr>
        <w:t> </w:t>
      </w:r>
      <w:r>
        <w:rPr>
          <w:position w:val="1"/>
        </w:rPr>
        <w:t>Koltuk</w:t>
      </w:r>
      <w:r>
        <w:rPr>
          <w:spacing w:val="-12"/>
          <w:position w:val="1"/>
        </w:rPr>
        <w:t> </w:t>
      </w:r>
      <w:r>
        <w:rPr>
          <w:position w:val="1"/>
        </w:rPr>
        <w:t>ve</w:t>
      </w:r>
      <w:r>
        <w:rPr>
          <w:spacing w:val="-14"/>
          <w:position w:val="1"/>
        </w:rPr>
        <w:t> </w:t>
      </w:r>
      <w:r>
        <w:rPr>
          <w:position w:val="1"/>
        </w:rPr>
        <w:t>dizüstü</w:t>
      </w:r>
      <w:r>
        <w:rPr>
          <w:spacing w:val="-12"/>
          <w:position w:val="1"/>
        </w:rPr>
        <w:t> </w:t>
      </w:r>
      <w:r>
        <w:rPr>
          <w:position w:val="1"/>
        </w:rPr>
        <w:t>kategorileri</w:t>
      </w:r>
      <w:r>
        <w:rPr>
          <w:spacing w:val="-14"/>
          <w:position w:val="1"/>
        </w:rPr>
        <w:t> </w:t>
      </w:r>
      <w:r>
        <w:rPr>
          <w:position w:val="1"/>
        </w:rPr>
        <w:t>için,</w:t>
      </w:r>
      <w:r>
        <w:rPr>
          <w:spacing w:val="-12"/>
          <w:position w:val="1"/>
        </w:rPr>
        <w:t> </w:t>
      </w:r>
      <w:r>
        <w:rPr>
          <w:position w:val="1"/>
        </w:rPr>
        <w:t>yorum</w:t>
      </w:r>
      <w:r>
        <w:rPr>
          <w:spacing w:val="-14"/>
          <w:position w:val="1"/>
        </w:rPr>
        <w:t> </w:t>
      </w:r>
      <w:r>
        <w:rPr>
          <w:position w:val="1"/>
        </w:rPr>
        <w:t>sayısı</w:t>
      </w:r>
      <w:r>
        <w:rPr>
          <w:spacing w:val="-11"/>
          <w:position w:val="1"/>
        </w:rPr>
        <w:t> </w:t>
      </w:r>
      <w:r>
        <w:rPr>
          <w:position w:val="1"/>
        </w:rPr>
        <w:t>ile</w:t>
      </w:r>
      <w:r>
        <w:rPr>
          <w:spacing w:val="-14"/>
          <w:position w:val="1"/>
        </w:rPr>
        <w:t> </w:t>
      </w:r>
      <w:r>
        <w:rPr>
          <w:position w:val="1"/>
        </w:rPr>
        <w:t>ürün</w:t>
      </w:r>
      <w:r>
        <w:rPr>
          <w:spacing w:val="-13"/>
          <w:position w:val="1"/>
        </w:rPr>
        <w:t> </w:t>
      </w:r>
      <w:r>
        <w:rPr>
          <w:position w:val="1"/>
        </w:rPr>
        <w:t>satışı</w:t>
      </w:r>
      <w:r>
        <w:rPr>
          <w:spacing w:val="-10"/>
          <w:position w:val="1"/>
        </w:rPr>
        <w:t> </w:t>
      </w:r>
      <w:r>
        <w:rPr>
          <w:position w:val="1"/>
        </w:rPr>
        <w:t>arasındaki </w:t>
      </w:r>
      <w:r>
        <w:rPr/>
        <w:t>ilişki farklılık gösterir.</w:t>
      </w:r>
    </w:p>
    <w:p>
      <w:pPr>
        <w:pStyle w:val="BodyText"/>
        <w:spacing w:line="360" w:lineRule="auto"/>
        <w:ind w:left="1256" w:right="312" w:firstLine="708"/>
        <w:jc w:val="left"/>
      </w:pPr>
      <w:r>
        <w:rPr>
          <w:b/>
          <w:position w:val="1"/>
        </w:rPr>
        <w:t>H</w:t>
      </w:r>
      <w:r>
        <w:rPr>
          <w:b/>
          <w:sz w:val="16"/>
        </w:rPr>
        <w:t>2e</w:t>
      </w:r>
      <w:r>
        <w:rPr>
          <w:b/>
          <w:position w:val="1"/>
        </w:rPr>
        <w:t>: </w:t>
      </w:r>
      <w:r>
        <w:rPr>
          <w:position w:val="1"/>
        </w:rPr>
        <w:t>Koltuk ve televizyon kategorileri için, yorum sayısı ile ürün satışı </w:t>
      </w:r>
      <w:r>
        <w:rPr/>
        <w:t>arasındaki ilişki farklılık</w:t>
      </w:r>
      <w:r>
        <w:rPr>
          <w:spacing w:val="-3"/>
        </w:rPr>
        <w:t> </w:t>
      </w:r>
      <w:r>
        <w:rPr/>
        <w:t>gösterir.</w:t>
      </w:r>
    </w:p>
    <w:p>
      <w:pPr>
        <w:pStyle w:val="BodyText"/>
        <w:spacing w:line="360" w:lineRule="auto"/>
        <w:ind w:left="1256" w:right="312" w:firstLine="708"/>
        <w:jc w:val="left"/>
      </w:pPr>
      <w:r>
        <w:rPr>
          <w:b/>
          <w:position w:val="1"/>
        </w:rPr>
        <w:t>H</w:t>
      </w:r>
      <w:r>
        <w:rPr>
          <w:b/>
          <w:sz w:val="16"/>
        </w:rPr>
        <w:t>2f</w:t>
      </w:r>
      <w:r>
        <w:rPr>
          <w:b/>
          <w:position w:val="1"/>
        </w:rPr>
        <w:t>: </w:t>
      </w:r>
      <w:r>
        <w:rPr>
          <w:position w:val="1"/>
        </w:rPr>
        <w:t>Televizyon ve dizüstü kategorileri için, yorum sayısı ile ürün satışı </w:t>
      </w:r>
      <w:r>
        <w:rPr/>
        <w:t>arasındaki ilişki farklılık</w:t>
      </w:r>
      <w:r>
        <w:rPr>
          <w:spacing w:val="-3"/>
        </w:rPr>
        <w:t> </w:t>
      </w:r>
      <w:r>
        <w:rPr/>
        <w:t>gösterir.</w:t>
      </w:r>
    </w:p>
    <w:p>
      <w:pPr>
        <w:pStyle w:val="Heading1"/>
        <w:numPr>
          <w:ilvl w:val="3"/>
          <w:numId w:val="2"/>
        </w:numPr>
        <w:tabs>
          <w:tab w:pos="2037" w:val="left" w:leader="none"/>
        </w:tabs>
        <w:spacing w:line="240" w:lineRule="auto" w:before="160" w:after="0"/>
        <w:ind w:left="2036" w:right="0" w:hanging="781"/>
        <w:jc w:val="both"/>
      </w:pPr>
      <w:r>
        <w:rPr/>
        <w:t>Değerlik-Satış</w:t>
      </w:r>
      <w:r>
        <w:rPr>
          <w:spacing w:val="-1"/>
        </w:rPr>
        <w:t> </w:t>
      </w:r>
      <w:r>
        <w:rPr/>
        <w:t>İlişkisi</w:t>
      </w:r>
    </w:p>
    <w:p>
      <w:pPr>
        <w:pStyle w:val="BodyText"/>
        <w:spacing w:line="360" w:lineRule="auto" w:before="139"/>
        <w:ind w:right="311" w:firstLine="708"/>
      </w:pPr>
      <w:r>
        <w:rPr/>
        <w:t>Bir ürünle ilgili kaç tane yorum olduğunun yanı sıra, bu yorumlarda yer alan olumlu/olumsuz ifadeler, bu ifadeleri özetleyen değerlendirme puanları ve değerlendirme puanlarının ortalaması da bilgi toplayan tüketici için önemli ipuçları sunmaktadır (Hu vd., 2017). Olumlu/olumsuz ifadeler, bu ifadeleri yansıtan değerlendirme puanları ve tüm puanların ortalaması yorum değerliği kapsamına girmektedir (Li ve Shimizu, 2018).</w:t>
      </w:r>
    </w:p>
    <w:p>
      <w:pPr>
        <w:pStyle w:val="BodyText"/>
        <w:spacing w:line="360" w:lineRule="auto"/>
        <w:ind w:right="308" w:firstLine="708"/>
      </w:pPr>
      <w:r>
        <w:rPr/>
        <w:t>Literatürde değerlik, genellikle, sadece değerlendirme puanlarının ortalaması ile ölçülmektedir. Çalışmalarda, değerlendirme puanlarının ortalaması ile ölçülen değerliğin satış üzerine etkisine dair sonuçlar çelişkilidir. Bazı çalışmaların sonuçları değerlendirme puanlarının</w:t>
      </w:r>
      <w:r>
        <w:rPr>
          <w:spacing w:val="-8"/>
        </w:rPr>
        <w:t> </w:t>
      </w:r>
      <w:r>
        <w:rPr/>
        <w:t>ortalamasının</w:t>
      </w:r>
      <w:r>
        <w:rPr>
          <w:spacing w:val="-6"/>
        </w:rPr>
        <w:t> </w:t>
      </w:r>
      <w:r>
        <w:rPr/>
        <w:t>satışlara</w:t>
      </w:r>
      <w:r>
        <w:rPr>
          <w:spacing w:val="-7"/>
        </w:rPr>
        <w:t> </w:t>
      </w:r>
      <w:r>
        <w:rPr/>
        <w:t>etkisini</w:t>
      </w:r>
      <w:r>
        <w:rPr>
          <w:spacing w:val="-6"/>
        </w:rPr>
        <w:t> </w:t>
      </w:r>
      <w:r>
        <w:rPr/>
        <w:t>onaylarken</w:t>
      </w:r>
      <w:r>
        <w:rPr>
          <w:spacing w:val="-8"/>
        </w:rPr>
        <w:t> </w:t>
      </w:r>
      <w:r>
        <w:rPr/>
        <w:t>(örn.</w:t>
      </w:r>
      <w:r>
        <w:rPr>
          <w:spacing w:val="-3"/>
        </w:rPr>
        <w:t> </w:t>
      </w:r>
      <w:r>
        <w:rPr/>
        <w:t>Chevalier</w:t>
      </w:r>
      <w:r>
        <w:rPr>
          <w:spacing w:val="-6"/>
        </w:rPr>
        <w:t> </w:t>
      </w:r>
      <w:r>
        <w:rPr/>
        <w:t>ve</w:t>
      </w:r>
      <w:r>
        <w:rPr>
          <w:spacing w:val="-5"/>
        </w:rPr>
        <w:t> </w:t>
      </w:r>
      <w:r>
        <w:rPr/>
        <w:t>Mayzlin,</w:t>
      </w:r>
      <w:r>
        <w:rPr>
          <w:spacing w:val="-8"/>
        </w:rPr>
        <w:t> </w:t>
      </w:r>
      <w:r>
        <w:rPr/>
        <w:t>2006;</w:t>
      </w:r>
      <w:r>
        <w:rPr>
          <w:spacing w:val="-7"/>
        </w:rPr>
        <w:t> </w:t>
      </w:r>
      <w:r>
        <w:rPr/>
        <w:t>Gu vd.,</w:t>
      </w:r>
      <w:r>
        <w:rPr>
          <w:spacing w:val="-4"/>
        </w:rPr>
        <w:t> </w:t>
      </w:r>
      <w:r>
        <w:rPr/>
        <w:t>2013;</w:t>
      </w:r>
      <w:r>
        <w:rPr>
          <w:spacing w:val="-2"/>
        </w:rPr>
        <w:t> </w:t>
      </w:r>
      <w:r>
        <w:rPr/>
        <w:t>Jabr</w:t>
      </w:r>
      <w:r>
        <w:rPr>
          <w:spacing w:val="-4"/>
        </w:rPr>
        <w:t> </w:t>
      </w:r>
      <w:r>
        <w:rPr/>
        <w:t>ve</w:t>
      </w:r>
      <w:r>
        <w:rPr>
          <w:spacing w:val="-4"/>
        </w:rPr>
        <w:t> </w:t>
      </w:r>
      <w:r>
        <w:rPr/>
        <w:t>Zheng, 2014;</w:t>
      </w:r>
      <w:r>
        <w:rPr>
          <w:spacing w:val="-2"/>
        </w:rPr>
        <w:t> </w:t>
      </w:r>
      <w:r>
        <w:rPr/>
        <w:t>Suryadi</w:t>
      </w:r>
      <w:r>
        <w:rPr>
          <w:spacing w:val="-2"/>
        </w:rPr>
        <w:t> </w:t>
      </w:r>
      <w:r>
        <w:rPr/>
        <w:t>ve</w:t>
      </w:r>
      <w:r>
        <w:rPr>
          <w:spacing w:val="-4"/>
        </w:rPr>
        <w:t> </w:t>
      </w:r>
      <w:r>
        <w:rPr/>
        <w:t>Kim,</w:t>
      </w:r>
      <w:r>
        <w:rPr>
          <w:spacing w:val="-3"/>
        </w:rPr>
        <w:t> </w:t>
      </w:r>
      <w:r>
        <w:rPr/>
        <w:t>2018;</w:t>
      </w:r>
      <w:r>
        <w:rPr>
          <w:spacing w:val="-2"/>
        </w:rPr>
        <w:t> </w:t>
      </w:r>
      <w:r>
        <w:rPr/>
        <w:t>Li</w:t>
      </w:r>
      <w:r>
        <w:rPr>
          <w:spacing w:val="-3"/>
        </w:rPr>
        <w:t> </w:t>
      </w:r>
      <w:r>
        <w:rPr/>
        <w:t>ve</w:t>
      </w:r>
      <w:r>
        <w:rPr>
          <w:spacing w:val="-4"/>
        </w:rPr>
        <w:t> </w:t>
      </w:r>
      <w:r>
        <w:rPr/>
        <w:t>Shimizu,</w:t>
      </w:r>
      <w:r>
        <w:rPr>
          <w:spacing w:val="-3"/>
        </w:rPr>
        <w:t> </w:t>
      </w:r>
      <w:r>
        <w:rPr/>
        <w:t>2018;</w:t>
      </w:r>
      <w:r>
        <w:rPr>
          <w:spacing w:val="-2"/>
        </w:rPr>
        <w:t> </w:t>
      </w:r>
      <w:r>
        <w:rPr/>
        <w:t>Bao</w:t>
      </w:r>
      <w:r>
        <w:rPr>
          <w:spacing w:val="-4"/>
        </w:rPr>
        <w:t> </w:t>
      </w:r>
      <w:r>
        <w:rPr/>
        <w:t>vd.,</w:t>
      </w:r>
      <w:r>
        <w:rPr>
          <w:spacing w:val="-3"/>
        </w:rPr>
        <w:t> </w:t>
      </w:r>
      <w:r>
        <w:rPr/>
        <w:t>2019) bazı çalışmaların sonuçları da bu görüşü desteklememektedir (örn. Liu, 2006; Duan vd., 2008b; Forman vd., 2008; Amblee ve Bui, 2011; Bharadwaj vd., 2017; Cao vd.,</w:t>
      </w:r>
      <w:r>
        <w:rPr>
          <w:spacing w:val="-5"/>
        </w:rPr>
        <w:t> </w:t>
      </w:r>
      <w:r>
        <w:rPr/>
        <w:t>2018).</w:t>
      </w:r>
    </w:p>
    <w:p>
      <w:pPr>
        <w:pStyle w:val="BodyText"/>
        <w:spacing w:line="360" w:lineRule="auto" w:before="1"/>
        <w:ind w:right="310" w:firstLine="708"/>
      </w:pPr>
      <w:r>
        <w:rPr/>
        <w:t>Yorum içeriğini de dikkate alan çalışmalarda olumlu yorumların ürün satışlarını artırdığı,</w:t>
      </w:r>
      <w:r>
        <w:rPr>
          <w:spacing w:val="-14"/>
        </w:rPr>
        <w:t> </w:t>
      </w:r>
      <w:r>
        <w:rPr/>
        <w:t>olumsuz</w:t>
      </w:r>
      <w:r>
        <w:rPr>
          <w:spacing w:val="-15"/>
        </w:rPr>
        <w:t> </w:t>
      </w:r>
      <w:r>
        <w:rPr/>
        <w:t>yorumların</w:t>
      </w:r>
      <w:r>
        <w:rPr>
          <w:spacing w:val="-13"/>
        </w:rPr>
        <w:t> </w:t>
      </w:r>
      <w:r>
        <w:rPr/>
        <w:t>ise</w:t>
      </w:r>
      <w:r>
        <w:rPr>
          <w:spacing w:val="-15"/>
        </w:rPr>
        <w:t> </w:t>
      </w:r>
      <w:r>
        <w:rPr/>
        <w:t>ürün</w:t>
      </w:r>
      <w:r>
        <w:rPr>
          <w:spacing w:val="-15"/>
        </w:rPr>
        <w:t> </w:t>
      </w:r>
      <w:r>
        <w:rPr/>
        <w:t>satışlarını</w:t>
      </w:r>
      <w:r>
        <w:rPr>
          <w:spacing w:val="-13"/>
        </w:rPr>
        <w:t> </w:t>
      </w:r>
      <w:r>
        <w:rPr/>
        <w:t>azalttığı</w:t>
      </w:r>
      <w:r>
        <w:rPr>
          <w:spacing w:val="-14"/>
        </w:rPr>
        <w:t> </w:t>
      </w:r>
      <w:r>
        <w:rPr/>
        <w:t>varsayılmaktadır</w:t>
      </w:r>
      <w:r>
        <w:rPr>
          <w:spacing w:val="-14"/>
        </w:rPr>
        <w:t> </w:t>
      </w:r>
      <w:r>
        <w:rPr/>
        <w:t>(Moen</w:t>
      </w:r>
      <w:r>
        <w:rPr>
          <w:spacing w:val="-14"/>
        </w:rPr>
        <w:t> </w:t>
      </w:r>
      <w:r>
        <w:rPr/>
        <w:t>vd.,</w:t>
      </w:r>
      <w:r>
        <w:rPr>
          <w:spacing w:val="-14"/>
        </w:rPr>
        <w:t> </w:t>
      </w:r>
      <w:r>
        <w:rPr/>
        <w:t>2017). Cui</w:t>
      </w:r>
      <w:r>
        <w:rPr>
          <w:spacing w:val="-17"/>
        </w:rPr>
        <w:t> </w:t>
      </w:r>
      <w:r>
        <w:rPr/>
        <w:t>vd.</w:t>
      </w:r>
      <w:r>
        <w:rPr>
          <w:spacing w:val="-17"/>
        </w:rPr>
        <w:t> </w:t>
      </w:r>
      <w:r>
        <w:rPr/>
        <w:t>(2012)</w:t>
      </w:r>
      <w:r>
        <w:rPr>
          <w:spacing w:val="-18"/>
        </w:rPr>
        <w:t> </w:t>
      </w:r>
      <w:r>
        <w:rPr/>
        <w:t>yeni</w:t>
      </w:r>
      <w:r>
        <w:rPr>
          <w:spacing w:val="-16"/>
        </w:rPr>
        <w:t> </w:t>
      </w:r>
      <w:r>
        <w:rPr/>
        <w:t>ürünlerin</w:t>
      </w:r>
      <w:r>
        <w:rPr>
          <w:spacing w:val="-17"/>
        </w:rPr>
        <w:t> </w:t>
      </w:r>
      <w:r>
        <w:rPr/>
        <w:t>satışlarında</w:t>
      </w:r>
      <w:r>
        <w:rPr>
          <w:spacing w:val="-15"/>
        </w:rPr>
        <w:t> </w:t>
      </w:r>
      <w:r>
        <w:rPr/>
        <w:t>yorumların</w:t>
      </w:r>
      <w:r>
        <w:rPr>
          <w:spacing w:val="-16"/>
        </w:rPr>
        <w:t> </w:t>
      </w:r>
      <w:r>
        <w:rPr/>
        <w:t>etkisini</w:t>
      </w:r>
      <w:r>
        <w:rPr>
          <w:spacing w:val="-16"/>
        </w:rPr>
        <w:t> </w:t>
      </w:r>
      <w:r>
        <w:rPr/>
        <w:t>incelediği</w:t>
      </w:r>
      <w:r>
        <w:rPr>
          <w:spacing w:val="-16"/>
        </w:rPr>
        <w:t> </w:t>
      </w:r>
      <w:r>
        <w:rPr/>
        <w:t>çalışması</w:t>
      </w:r>
      <w:r>
        <w:rPr>
          <w:spacing w:val="-16"/>
        </w:rPr>
        <w:t> </w:t>
      </w:r>
      <w:r>
        <w:rPr/>
        <w:t>sonucunda, olumlu yorumların satışları pozitif, olumsuz yorumların ise satışları negatif etkilediğini bulmuşlardır. Benzer şekilde, Suryadi ve Kim de (2018) giyilebilir teknoloji ürünleri ve dizüstü bilgisayarlardan oluşan örneklemde yaptıkları analizlerde aynı sonuca</w:t>
      </w:r>
      <w:r>
        <w:rPr>
          <w:spacing w:val="-18"/>
        </w:rPr>
        <w:t> </w:t>
      </w:r>
      <w:r>
        <w:rPr/>
        <w:t>ulaşmışlardır. Öte yandan, bu varsayımı doğrulamayan çalışmalar da mevcuttur. Gu vd. (2013) ve Jabr ve Zheng (2014), çalışmalarında olumsuz yorumların satışları azaltığı, ancak olumlu</w:t>
      </w:r>
      <w:r>
        <w:rPr>
          <w:spacing w:val="53"/>
        </w:rPr>
        <w:t> </w:t>
      </w:r>
      <w:r>
        <w:rPr/>
        <w:t>yorumlar</w:t>
      </w:r>
    </w:p>
    <w:p>
      <w:pPr>
        <w:spacing w:after="0" w:line="360" w:lineRule="auto"/>
        <w:sectPr>
          <w:pgSz w:w="12240" w:h="15840"/>
          <w:pgMar w:header="718" w:footer="0" w:top="1300" w:bottom="280" w:left="1720" w:right="820"/>
        </w:sectPr>
      </w:pPr>
    </w:p>
    <w:p>
      <w:pPr>
        <w:pStyle w:val="BodyText"/>
        <w:spacing w:line="360" w:lineRule="auto" w:before="100"/>
        <w:ind w:right="314"/>
      </w:pPr>
      <w:r>
        <w:rPr/>
        <w:t>ile</w:t>
      </w:r>
      <w:r>
        <w:rPr>
          <w:spacing w:val="-13"/>
        </w:rPr>
        <w:t> </w:t>
      </w:r>
      <w:r>
        <w:rPr/>
        <w:t>satışlar</w:t>
      </w:r>
      <w:r>
        <w:rPr>
          <w:spacing w:val="-12"/>
        </w:rPr>
        <w:t> </w:t>
      </w:r>
      <w:r>
        <w:rPr/>
        <w:t>arasında</w:t>
      </w:r>
      <w:r>
        <w:rPr>
          <w:spacing w:val="-10"/>
        </w:rPr>
        <w:t> </w:t>
      </w:r>
      <w:r>
        <w:rPr/>
        <w:t>anlamlı</w:t>
      </w:r>
      <w:r>
        <w:rPr>
          <w:spacing w:val="-12"/>
        </w:rPr>
        <w:t> </w:t>
      </w:r>
      <w:r>
        <w:rPr/>
        <w:t>ilişki</w:t>
      </w:r>
      <w:r>
        <w:rPr>
          <w:spacing w:val="-9"/>
        </w:rPr>
        <w:t> </w:t>
      </w:r>
      <w:r>
        <w:rPr/>
        <w:t>olmadığı</w:t>
      </w:r>
      <w:r>
        <w:rPr>
          <w:spacing w:val="-11"/>
        </w:rPr>
        <w:t> </w:t>
      </w:r>
      <w:r>
        <w:rPr/>
        <w:t>sonucuna</w:t>
      </w:r>
      <w:r>
        <w:rPr>
          <w:spacing w:val="-13"/>
        </w:rPr>
        <w:t> </w:t>
      </w:r>
      <w:r>
        <w:rPr/>
        <w:t>ulaşmışlardır.</w:t>
      </w:r>
      <w:r>
        <w:rPr>
          <w:spacing w:val="-8"/>
        </w:rPr>
        <w:t> </w:t>
      </w:r>
      <w:r>
        <w:rPr/>
        <w:t>Godes</w:t>
      </w:r>
      <w:r>
        <w:rPr>
          <w:spacing w:val="-9"/>
        </w:rPr>
        <w:t> </w:t>
      </w:r>
      <w:r>
        <w:rPr/>
        <w:t>ve</w:t>
      </w:r>
      <w:r>
        <w:rPr>
          <w:spacing w:val="-13"/>
        </w:rPr>
        <w:t> </w:t>
      </w:r>
      <w:r>
        <w:rPr/>
        <w:t>Mayzlin</w:t>
      </w:r>
      <w:r>
        <w:rPr>
          <w:spacing w:val="-12"/>
        </w:rPr>
        <w:t> </w:t>
      </w:r>
      <w:r>
        <w:rPr/>
        <w:t>(2004) ise, olumlu ve olumsuz yorumların televizyon dizilerinin izlenme oranını etkilemediği sonucuna</w:t>
      </w:r>
      <w:r>
        <w:rPr>
          <w:spacing w:val="-2"/>
        </w:rPr>
        <w:t> </w:t>
      </w:r>
      <w:r>
        <w:rPr/>
        <w:t>ulaşmışlardır.</w:t>
      </w:r>
    </w:p>
    <w:p>
      <w:pPr>
        <w:pStyle w:val="BodyText"/>
        <w:spacing w:line="360" w:lineRule="auto"/>
        <w:ind w:right="308" w:firstLine="708"/>
      </w:pPr>
      <w:r>
        <w:rPr/>
        <w:t>Araştırmalarda karşımıza çıkan bir diğer konu da olumlu ve olumsuz yorumlardan hangisinin daha etkili olduğudur. Beklenti Teorisi’ne (Prospect Theory) (Kahneman ve Tversky,</w:t>
      </w:r>
      <w:r>
        <w:rPr>
          <w:spacing w:val="-9"/>
        </w:rPr>
        <w:t> </w:t>
      </w:r>
      <w:r>
        <w:rPr/>
        <w:t>1979)</w:t>
      </w:r>
      <w:r>
        <w:rPr>
          <w:spacing w:val="-7"/>
        </w:rPr>
        <w:t> </w:t>
      </w:r>
      <w:r>
        <w:rPr/>
        <w:t>dayanılarak</w:t>
      </w:r>
      <w:r>
        <w:rPr>
          <w:spacing w:val="-7"/>
        </w:rPr>
        <w:t> </w:t>
      </w:r>
      <w:r>
        <w:rPr/>
        <w:t>(bk.</w:t>
      </w:r>
      <w:r>
        <w:rPr>
          <w:spacing w:val="-9"/>
        </w:rPr>
        <w:t> </w:t>
      </w:r>
      <w:r>
        <w:rPr/>
        <w:t>Bölüm</w:t>
      </w:r>
      <w:r>
        <w:rPr>
          <w:spacing w:val="-7"/>
        </w:rPr>
        <w:t> </w:t>
      </w:r>
      <w:r>
        <w:rPr/>
        <w:t>1.2.3)</w:t>
      </w:r>
      <w:r>
        <w:rPr>
          <w:spacing w:val="-8"/>
        </w:rPr>
        <w:t> </w:t>
      </w:r>
      <w:r>
        <w:rPr/>
        <w:t>satın</w:t>
      </w:r>
      <w:r>
        <w:rPr>
          <w:spacing w:val="-8"/>
        </w:rPr>
        <w:t> </w:t>
      </w:r>
      <w:r>
        <w:rPr/>
        <w:t>alma</w:t>
      </w:r>
      <w:r>
        <w:rPr>
          <w:spacing w:val="-9"/>
        </w:rPr>
        <w:t> </w:t>
      </w:r>
      <w:r>
        <w:rPr/>
        <w:t>kararlarının</w:t>
      </w:r>
      <w:r>
        <w:rPr>
          <w:spacing w:val="-8"/>
        </w:rPr>
        <w:t> </w:t>
      </w:r>
      <w:r>
        <w:rPr/>
        <w:t>olumlu</w:t>
      </w:r>
      <w:r>
        <w:rPr>
          <w:spacing w:val="-8"/>
        </w:rPr>
        <w:t> </w:t>
      </w:r>
      <w:r>
        <w:rPr/>
        <w:t>bilgiye</w:t>
      </w:r>
      <w:r>
        <w:rPr>
          <w:spacing w:val="-8"/>
        </w:rPr>
        <w:t> </w:t>
      </w:r>
      <w:r>
        <w:rPr/>
        <w:t>nazaran olumsuz bilgiden daha kolay etkilendiği varsayılmaktadır (Arndt, 1967; Weinberger vd., 1980;</w:t>
      </w:r>
      <w:r>
        <w:rPr>
          <w:spacing w:val="-13"/>
        </w:rPr>
        <w:t> </w:t>
      </w:r>
      <w:r>
        <w:rPr/>
        <w:t>Brown</w:t>
      </w:r>
      <w:r>
        <w:rPr>
          <w:spacing w:val="-13"/>
        </w:rPr>
        <w:t> </w:t>
      </w:r>
      <w:r>
        <w:rPr/>
        <w:t>ve</w:t>
      </w:r>
      <w:r>
        <w:rPr>
          <w:spacing w:val="-14"/>
        </w:rPr>
        <w:t> </w:t>
      </w:r>
      <w:r>
        <w:rPr/>
        <w:t>Reingen,</w:t>
      </w:r>
      <w:r>
        <w:rPr>
          <w:spacing w:val="-12"/>
        </w:rPr>
        <w:t> </w:t>
      </w:r>
      <w:r>
        <w:rPr/>
        <w:t>1987;</w:t>
      </w:r>
      <w:r>
        <w:rPr>
          <w:spacing w:val="-13"/>
        </w:rPr>
        <w:t> </w:t>
      </w:r>
      <w:r>
        <w:rPr/>
        <w:t>Chaterjee,</w:t>
      </w:r>
      <w:r>
        <w:rPr>
          <w:spacing w:val="-13"/>
        </w:rPr>
        <w:t> </w:t>
      </w:r>
      <w:r>
        <w:rPr/>
        <w:t>2001;</w:t>
      </w:r>
      <w:r>
        <w:rPr>
          <w:spacing w:val="-13"/>
        </w:rPr>
        <w:t> </w:t>
      </w:r>
      <w:r>
        <w:rPr/>
        <w:t>Li</w:t>
      </w:r>
      <w:r>
        <w:rPr>
          <w:spacing w:val="-13"/>
        </w:rPr>
        <w:t> </w:t>
      </w:r>
      <w:r>
        <w:rPr/>
        <w:t>ve</w:t>
      </w:r>
      <w:r>
        <w:rPr>
          <w:spacing w:val="-13"/>
        </w:rPr>
        <w:t> </w:t>
      </w:r>
      <w:r>
        <w:rPr/>
        <w:t>Shimizu,</w:t>
      </w:r>
      <w:r>
        <w:rPr>
          <w:spacing w:val="-14"/>
        </w:rPr>
        <w:t> </w:t>
      </w:r>
      <w:r>
        <w:rPr/>
        <w:t>2018).</w:t>
      </w:r>
      <w:r>
        <w:rPr>
          <w:spacing w:val="-13"/>
        </w:rPr>
        <w:t> </w:t>
      </w:r>
      <w:r>
        <w:rPr/>
        <w:t>Dolayısıyla,</w:t>
      </w:r>
      <w:r>
        <w:rPr>
          <w:spacing w:val="-14"/>
        </w:rPr>
        <w:t> </w:t>
      </w:r>
      <w:r>
        <w:rPr/>
        <w:t>olumsuz yorumların etkisinin olumlu yorumlardan daha fazla olduğu kabul edilmektedir (Li ve Shimizu,</w:t>
      </w:r>
      <w:r>
        <w:rPr>
          <w:spacing w:val="-6"/>
        </w:rPr>
        <w:t> </w:t>
      </w:r>
      <w:r>
        <w:rPr/>
        <w:t>2018).</w:t>
      </w:r>
      <w:r>
        <w:rPr>
          <w:spacing w:val="-4"/>
        </w:rPr>
        <w:t> </w:t>
      </w:r>
      <w:r>
        <w:rPr/>
        <w:t>Literatürde,</w:t>
      </w:r>
      <w:r>
        <w:rPr>
          <w:spacing w:val="-6"/>
        </w:rPr>
        <w:t> </w:t>
      </w:r>
      <w:r>
        <w:rPr/>
        <w:t>ampirik</w:t>
      </w:r>
      <w:r>
        <w:rPr>
          <w:spacing w:val="-5"/>
        </w:rPr>
        <w:t> </w:t>
      </w:r>
      <w:r>
        <w:rPr/>
        <w:t>çalışmaların</w:t>
      </w:r>
      <w:r>
        <w:rPr>
          <w:spacing w:val="-6"/>
        </w:rPr>
        <w:t> </w:t>
      </w:r>
      <w:r>
        <w:rPr/>
        <w:t>sonuçları</w:t>
      </w:r>
      <w:r>
        <w:rPr>
          <w:spacing w:val="-4"/>
        </w:rPr>
        <w:t> </w:t>
      </w:r>
      <w:r>
        <w:rPr/>
        <w:t>etki</w:t>
      </w:r>
      <w:r>
        <w:rPr>
          <w:spacing w:val="-5"/>
        </w:rPr>
        <w:t> </w:t>
      </w:r>
      <w:r>
        <w:rPr/>
        <w:t>büyüklüğü</w:t>
      </w:r>
      <w:r>
        <w:rPr>
          <w:spacing w:val="-4"/>
        </w:rPr>
        <w:t> </w:t>
      </w:r>
      <w:r>
        <w:rPr/>
        <w:t>konusunda</w:t>
      </w:r>
      <w:r>
        <w:rPr>
          <w:spacing w:val="-6"/>
        </w:rPr>
        <w:t> </w:t>
      </w:r>
      <w:r>
        <w:rPr/>
        <w:t>ortak noktayı</w:t>
      </w:r>
      <w:r>
        <w:rPr>
          <w:spacing w:val="-14"/>
        </w:rPr>
        <w:t> </w:t>
      </w:r>
      <w:r>
        <w:rPr/>
        <w:t>bulamamıştır.</w:t>
      </w:r>
      <w:r>
        <w:rPr>
          <w:spacing w:val="-15"/>
        </w:rPr>
        <w:t> </w:t>
      </w:r>
      <w:r>
        <w:rPr/>
        <w:t>Olumsuz</w:t>
      </w:r>
      <w:r>
        <w:rPr>
          <w:spacing w:val="-15"/>
        </w:rPr>
        <w:t> </w:t>
      </w:r>
      <w:r>
        <w:rPr/>
        <w:t>yorumların</w:t>
      </w:r>
      <w:r>
        <w:rPr>
          <w:spacing w:val="-12"/>
        </w:rPr>
        <w:t> </w:t>
      </w:r>
      <w:r>
        <w:rPr/>
        <w:t>olumlu</w:t>
      </w:r>
      <w:r>
        <w:rPr>
          <w:spacing w:val="-13"/>
        </w:rPr>
        <w:t> </w:t>
      </w:r>
      <w:r>
        <w:rPr/>
        <w:t>yorumlardan</w:t>
      </w:r>
      <w:r>
        <w:rPr>
          <w:spacing w:val="-14"/>
        </w:rPr>
        <w:t> </w:t>
      </w:r>
      <w:r>
        <w:rPr/>
        <w:t>daha</w:t>
      </w:r>
      <w:r>
        <w:rPr>
          <w:spacing w:val="-15"/>
        </w:rPr>
        <w:t> </w:t>
      </w:r>
      <w:r>
        <w:rPr/>
        <w:t>etkili</w:t>
      </w:r>
      <w:r>
        <w:rPr>
          <w:spacing w:val="-14"/>
        </w:rPr>
        <w:t> </w:t>
      </w:r>
      <w:r>
        <w:rPr/>
        <w:t>olduğu</w:t>
      </w:r>
      <w:r>
        <w:rPr>
          <w:spacing w:val="-14"/>
        </w:rPr>
        <w:t> </w:t>
      </w:r>
      <w:r>
        <w:rPr/>
        <w:t>sonucuna ulaşan çalışmalar olduğu gibi (örn. Chevalier ve Mayzlin, 2006; Cui vd., 2012; Li ve Shimizu,</w:t>
      </w:r>
      <w:r>
        <w:rPr>
          <w:spacing w:val="-10"/>
        </w:rPr>
        <w:t> </w:t>
      </w:r>
      <w:r>
        <w:rPr/>
        <w:t>2018)</w:t>
      </w:r>
      <w:r>
        <w:rPr>
          <w:spacing w:val="-9"/>
        </w:rPr>
        <w:t> </w:t>
      </w:r>
      <w:r>
        <w:rPr/>
        <w:t>tam</w:t>
      </w:r>
      <w:r>
        <w:rPr>
          <w:spacing w:val="-10"/>
        </w:rPr>
        <w:t> </w:t>
      </w:r>
      <w:r>
        <w:rPr/>
        <w:t>aksi</w:t>
      </w:r>
      <w:r>
        <w:rPr>
          <w:spacing w:val="-6"/>
        </w:rPr>
        <w:t> </w:t>
      </w:r>
      <w:r>
        <w:rPr/>
        <w:t>sonuca</w:t>
      </w:r>
      <w:r>
        <w:rPr>
          <w:spacing w:val="-10"/>
        </w:rPr>
        <w:t> </w:t>
      </w:r>
      <w:r>
        <w:rPr/>
        <w:t>ulaşan</w:t>
      </w:r>
      <w:r>
        <w:rPr>
          <w:spacing w:val="-8"/>
        </w:rPr>
        <w:t> </w:t>
      </w:r>
      <w:r>
        <w:rPr/>
        <w:t>çalışmalar</w:t>
      </w:r>
      <w:r>
        <w:rPr>
          <w:spacing w:val="-7"/>
        </w:rPr>
        <w:t> </w:t>
      </w:r>
      <w:r>
        <w:rPr/>
        <w:t>da</w:t>
      </w:r>
      <w:r>
        <w:rPr>
          <w:spacing w:val="-8"/>
        </w:rPr>
        <w:t> </w:t>
      </w:r>
      <w:r>
        <w:rPr/>
        <w:t>bulunmaktadır</w:t>
      </w:r>
      <w:r>
        <w:rPr>
          <w:spacing w:val="-9"/>
        </w:rPr>
        <w:t> </w:t>
      </w:r>
      <w:r>
        <w:rPr/>
        <w:t>(örn.</w:t>
      </w:r>
      <w:r>
        <w:rPr>
          <w:spacing w:val="-9"/>
        </w:rPr>
        <w:t> </w:t>
      </w:r>
      <w:r>
        <w:rPr/>
        <w:t>Estrella-Ramón</w:t>
      </w:r>
      <w:r>
        <w:rPr>
          <w:spacing w:val="-9"/>
        </w:rPr>
        <w:t> </w:t>
      </w:r>
      <w:r>
        <w:rPr/>
        <w:t>ve Ellis-Chadwick, 2017; Moen vd.,</w:t>
      </w:r>
      <w:r>
        <w:rPr>
          <w:spacing w:val="-1"/>
        </w:rPr>
        <w:t> </w:t>
      </w:r>
      <w:r>
        <w:rPr/>
        <w:t>2017).</w:t>
      </w:r>
    </w:p>
    <w:p>
      <w:pPr>
        <w:pStyle w:val="BodyText"/>
        <w:spacing w:line="360" w:lineRule="auto" w:before="2"/>
        <w:ind w:right="308" w:firstLine="708"/>
      </w:pPr>
      <w:r>
        <w:rPr/>
        <w:t>Yorumlar olumlu ve olumsuz olmak üzere iki uç noktada olabileceği gibi orta noktada, yani nötr de olabilmektedir. 1 yıldız en olumsuz ve 5 yıldız en olumlu olmak üzere kurulan değerlendirme sisteminde, orta noktada yer alan 3 yıldız ne olumlu ne de olumsuz olarak kabul edilmektedir. 3 yıldız gibi nötr değerlendirmeler literatürde sıklıkla göz ardı edilmektedir. Ancak, analizlerinde nötr değerlendirmelerin etkisini test eden çalışmalar da mevcuttur (örn. Godes ve Mayzlin, 2004; Sonnier vd., 2011; Tang vd., 2014) . Nötr değerlendirmelerin satışlar üzerindeki etkisini Sonnier vd. (2011) pozitif, Tang vd. (2014) ise negatif bulmuştur. Godes ve Mayzlin (2004) nötr değerlendirmelerin etkili olmadığı sonucuna ulaşmıştır.</w:t>
      </w:r>
    </w:p>
    <w:p>
      <w:pPr>
        <w:pStyle w:val="BodyText"/>
        <w:spacing w:line="360" w:lineRule="auto"/>
        <w:ind w:right="316" w:firstLine="708"/>
      </w:pPr>
      <w:r>
        <w:rPr/>
        <w:t>Değerlik-satış</w:t>
      </w:r>
      <w:r>
        <w:rPr>
          <w:spacing w:val="-7"/>
        </w:rPr>
        <w:t> </w:t>
      </w:r>
      <w:r>
        <w:rPr/>
        <w:t>ilişkisinde</w:t>
      </w:r>
      <w:r>
        <w:rPr>
          <w:spacing w:val="-3"/>
        </w:rPr>
        <w:t> </w:t>
      </w:r>
      <w:r>
        <w:rPr/>
        <w:t>ortalama</w:t>
      </w:r>
      <w:r>
        <w:rPr>
          <w:spacing w:val="-7"/>
        </w:rPr>
        <w:t> </w:t>
      </w:r>
      <w:r>
        <w:rPr/>
        <w:t>puan,</w:t>
      </w:r>
      <w:r>
        <w:rPr>
          <w:spacing w:val="-6"/>
        </w:rPr>
        <w:t> </w:t>
      </w:r>
      <w:r>
        <w:rPr/>
        <w:t>olumlu</w:t>
      </w:r>
      <w:r>
        <w:rPr>
          <w:spacing w:val="-6"/>
        </w:rPr>
        <w:t> </w:t>
      </w:r>
      <w:r>
        <w:rPr/>
        <w:t>yorumlar,</w:t>
      </w:r>
      <w:r>
        <w:rPr>
          <w:spacing w:val="-8"/>
        </w:rPr>
        <w:t> </w:t>
      </w:r>
      <w:r>
        <w:rPr/>
        <w:t>olumsuz</w:t>
      </w:r>
      <w:r>
        <w:rPr>
          <w:spacing w:val="-7"/>
        </w:rPr>
        <w:t> </w:t>
      </w:r>
      <w:r>
        <w:rPr/>
        <w:t>yorumlar</w:t>
      </w:r>
      <w:r>
        <w:rPr>
          <w:spacing w:val="-7"/>
        </w:rPr>
        <w:t> </w:t>
      </w:r>
      <w:r>
        <w:rPr/>
        <w:t>ve</w:t>
      </w:r>
      <w:r>
        <w:rPr>
          <w:spacing w:val="-7"/>
        </w:rPr>
        <w:t> </w:t>
      </w:r>
      <w:r>
        <w:rPr/>
        <w:t>nötr yorumlar ayrı ayrı göz önünde bulundurularak hipotezler şu şekilde</w:t>
      </w:r>
      <w:r>
        <w:rPr>
          <w:spacing w:val="-12"/>
        </w:rPr>
        <w:t> </w:t>
      </w:r>
      <w:r>
        <w:rPr/>
        <w:t>oluşturulmuştur:</w:t>
      </w:r>
    </w:p>
    <w:p>
      <w:pPr>
        <w:pStyle w:val="BodyText"/>
        <w:spacing w:line="360" w:lineRule="auto"/>
        <w:ind w:right="313" w:firstLine="708"/>
      </w:pPr>
      <w:r>
        <w:rPr>
          <w:b/>
          <w:position w:val="1"/>
        </w:rPr>
        <w:t>H</w:t>
      </w:r>
      <w:r>
        <w:rPr>
          <w:b/>
          <w:sz w:val="16"/>
        </w:rPr>
        <w:t>3</w:t>
      </w:r>
      <w:r>
        <w:rPr>
          <w:b/>
          <w:position w:val="1"/>
        </w:rPr>
        <w:t>: </w:t>
      </w:r>
      <w:r>
        <w:rPr>
          <w:position w:val="1"/>
        </w:rPr>
        <w:t>Değerlendirme puanlarının ortalaması ile ürün satışı arasında pozitif ilişki </w:t>
      </w:r>
      <w:r>
        <w:rPr/>
        <w:t>bulunmaktadır.</w:t>
      </w:r>
    </w:p>
    <w:p>
      <w:pPr>
        <w:pStyle w:val="BodyText"/>
        <w:spacing w:line="360" w:lineRule="auto"/>
        <w:ind w:left="1256" w:right="314"/>
      </w:pPr>
      <w:r>
        <w:rPr>
          <w:b/>
          <w:position w:val="1"/>
        </w:rPr>
        <w:t>H</w:t>
      </w:r>
      <w:r>
        <w:rPr>
          <w:b/>
          <w:sz w:val="16"/>
        </w:rPr>
        <w:t>4</w:t>
      </w:r>
      <w:r>
        <w:rPr>
          <w:b/>
          <w:position w:val="1"/>
        </w:rPr>
        <w:t>: </w:t>
      </w:r>
      <w:r>
        <w:rPr>
          <w:position w:val="1"/>
        </w:rPr>
        <w:t>Ürüne dair olumlu yorumlar ile ürün satışı arasında pozitif ilişki bulunmaktadır. </w:t>
      </w:r>
      <w:r>
        <w:rPr>
          <w:b/>
          <w:position w:val="1"/>
        </w:rPr>
        <w:t>H</w:t>
      </w:r>
      <w:r>
        <w:rPr>
          <w:b/>
          <w:sz w:val="16"/>
        </w:rPr>
        <w:t>5</w:t>
      </w:r>
      <w:r>
        <w:rPr>
          <w:b/>
          <w:position w:val="1"/>
        </w:rPr>
        <w:t>:</w:t>
      </w:r>
      <w:r>
        <w:rPr>
          <w:b/>
          <w:spacing w:val="-14"/>
          <w:position w:val="1"/>
        </w:rPr>
        <w:t> </w:t>
      </w:r>
      <w:r>
        <w:rPr>
          <w:position w:val="1"/>
        </w:rPr>
        <w:t>Ürüne</w:t>
      </w:r>
      <w:r>
        <w:rPr>
          <w:spacing w:val="-13"/>
          <w:position w:val="1"/>
        </w:rPr>
        <w:t> </w:t>
      </w:r>
      <w:r>
        <w:rPr>
          <w:position w:val="1"/>
        </w:rPr>
        <w:t>dair</w:t>
      </w:r>
      <w:r>
        <w:rPr>
          <w:spacing w:val="-14"/>
          <w:position w:val="1"/>
        </w:rPr>
        <w:t> </w:t>
      </w:r>
      <w:r>
        <w:rPr>
          <w:position w:val="1"/>
        </w:rPr>
        <w:t>olumsuz</w:t>
      </w:r>
      <w:r>
        <w:rPr>
          <w:spacing w:val="-12"/>
          <w:position w:val="1"/>
        </w:rPr>
        <w:t> </w:t>
      </w:r>
      <w:r>
        <w:rPr>
          <w:position w:val="1"/>
        </w:rPr>
        <w:t>yorumlar</w:t>
      </w:r>
      <w:r>
        <w:rPr>
          <w:spacing w:val="-15"/>
          <w:position w:val="1"/>
        </w:rPr>
        <w:t> </w:t>
      </w:r>
      <w:r>
        <w:rPr>
          <w:position w:val="1"/>
        </w:rPr>
        <w:t>ile</w:t>
      </w:r>
      <w:r>
        <w:rPr>
          <w:spacing w:val="-13"/>
          <w:position w:val="1"/>
        </w:rPr>
        <w:t> </w:t>
      </w:r>
      <w:r>
        <w:rPr>
          <w:position w:val="1"/>
        </w:rPr>
        <w:t>ürün</w:t>
      </w:r>
      <w:r>
        <w:rPr>
          <w:spacing w:val="-14"/>
          <w:position w:val="1"/>
        </w:rPr>
        <w:t> </w:t>
      </w:r>
      <w:r>
        <w:rPr>
          <w:position w:val="1"/>
        </w:rPr>
        <w:t>satışı</w:t>
      </w:r>
      <w:r>
        <w:rPr>
          <w:spacing w:val="-12"/>
          <w:position w:val="1"/>
        </w:rPr>
        <w:t> </w:t>
      </w:r>
      <w:r>
        <w:rPr>
          <w:position w:val="1"/>
        </w:rPr>
        <w:t>arasında</w:t>
      </w:r>
      <w:r>
        <w:rPr>
          <w:spacing w:val="-14"/>
          <w:position w:val="1"/>
        </w:rPr>
        <w:t> </w:t>
      </w:r>
      <w:r>
        <w:rPr>
          <w:position w:val="1"/>
        </w:rPr>
        <w:t>negatif</w:t>
      </w:r>
      <w:r>
        <w:rPr>
          <w:spacing w:val="-13"/>
          <w:position w:val="1"/>
        </w:rPr>
        <w:t> </w:t>
      </w:r>
      <w:r>
        <w:rPr>
          <w:position w:val="1"/>
        </w:rPr>
        <w:t>ilişki</w:t>
      </w:r>
      <w:r>
        <w:rPr>
          <w:spacing w:val="-12"/>
          <w:position w:val="1"/>
        </w:rPr>
        <w:t> </w:t>
      </w:r>
      <w:r>
        <w:rPr>
          <w:position w:val="1"/>
        </w:rPr>
        <w:t>bulunmaktadır. </w:t>
      </w:r>
      <w:r>
        <w:rPr>
          <w:b/>
          <w:position w:val="1"/>
        </w:rPr>
        <w:t>H</w:t>
      </w:r>
      <w:r>
        <w:rPr>
          <w:b/>
          <w:sz w:val="16"/>
        </w:rPr>
        <w:t>6</w:t>
      </w:r>
      <w:r>
        <w:rPr>
          <w:b/>
          <w:position w:val="1"/>
        </w:rPr>
        <w:t>: </w:t>
      </w:r>
      <w:r>
        <w:rPr>
          <w:position w:val="1"/>
        </w:rPr>
        <w:t>Ürüne dair nötr yorumlar ile ürün satışı arasında arasında ilişki</w:t>
      </w:r>
      <w:r>
        <w:rPr>
          <w:spacing w:val="-19"/>
          <w:position w:val="1"/>
        </w:rPr>
        <w:t> </w:t>
      </w:r>
      <w:r>
        <w:rPr>
          <w:position w:val="1"/>
        </w:rPr>
        <w:t>bulunmaktadır.</w:t>
      </w:r>
    </w:p>
    <w:p>
      <w:pPr>
        <w:spacing w:after="0" w:line="360" w:lineRule="auto"/>
        <w:sectPr>
          <w:pgSz w:w="12240" w:h="15840"/>
          <w:pgMar w:header="718" w:footer="0" w:top="1300" w:bottom="280" w:left="1720" w:right="820"/>
        </w:sectPr>
      </w:pPr>
    </w:p>
    <w:p>
      <w:pPr>
        <w:pStyle w:val="BodyText"/>
        <w:spacing w:line="360" w:lineRule="auto" w:before="100"/>
        <w:ind w:right="309" w:firstLine="708"/>
      </w:pPr>
      <w:r>
        <w:rPr/>
        <w:t>Ürün özellikleri, yorumların ürün satışına etkisinde önemli bir etkendir. Ürün yorumlarının bir parçası olarak, değerlik bileşenlerinin satışlar üzerine etkisinin de ürün gruplarına göre farklılaşması olasıdır. Araştırma ürünleri için yapılan yorumlar deneyim ürünleri için yapılanlara göre daha nesneldir (Nan vd., 2017). Çünkü, bir araştırma ürünü (örn.</w:t>
      </w:r>
      <w:r>
        <w:rPr>
          <w:spacing w:val="-9"/>
        </w:rPr>
        <w:t> </w:t>
      </w:r>
      <w:r>
        <w:rPr/>
        <w:t>akıllı</w:t>
      </w:r>
      <w:r>
        <w:rPr>
          <w:spacing w:val="-8"/>
        </w:rPr>
        <w:t> </w:t>
      </w:r>
      <w:r>
        <w:rPr/>
        <w:t>telefon)</w:t>
      </w:r>
      <w:r>
        <w:rPr>
          <w:spacing w:val="-9"/>
        </w:rPr>
        <w:t> </w:t>
      </w:r>
      <w:r>
        <w:rPr/>
        <w:t>değerlendirilirken</w:t>
      </w:r>
      <w:r>
        <w:rPr>
          <w:spacing w:val="-8"/>
        </w:rPr>
        <w:t> </w:t>
      </w:r>
      <w:r>
        <w:rPr/>
        <w:t>teknik</w:t>
      </w:r>
      <w:r>
        <w:rPr>
          <w:spacing w:val="-9"/>
        </w:rPr>
        <w:t> </w:t>
      </w:r>
      <w:r>
        <w:rPr/>
        <w:t>özelliklerinin</w:t>
      </w:r>
      <w:r>
        <w:rPr>
          <w:spacing w:val="-8"/>
        </w:rPr>
        <w:t> </w:t>
      </w:r>
      <w:r>
        <w:rPr/>
        <w:t>getirdiği</w:t>
      </w:r>
      <w:r>
        <w:rPr>
          <w:spacing w:val="-8"/>
        </w:rPr>
        <w:t> </w:t>
      </w:r>
      <w:r>
        <w:rPr/>
        <w:t>performans,</w:t>
      </w:r>
      <w:r>
        <w:rPr>
          <w:spacing w:val="-7"/>
        </w:rPr>
        <w:t> </w:t>
      </w:r>
      <w:r>
        <w:rPr/>
        <w:t>bir</w:t>
      </w:r>
      <w:r>
        <w:rPr>
          <w:spacing w:val="-5"/>
        </w:rPr>
        <w:t> </w:t>
      </w:r>
      <w:r>
        <w:rPr/>
        <w:t>deneyim ürünü (örn. kitap) değerlendirilirken ise ürün tüketim deneyimi refans alınmaktadır (Huang vd.</w:t>
      </w:r>
      <w:r>
        <w:rPr>
          <w:spacing w:val="-12"/>
        </w:rPr>
        <w:t> </w:t>
      </w:r>
      <w:r>
        <w:rPr/>
        <w:t>2013).</w:t>
      </w:r>
      <w:r>
        <w:rPr>
          <w:spacing w:val="-11"/>
        </w:rPr>
        <w:t> </w:t>
      </w:r>
      <w:r>
        <w:rPr/>
        <w:t>Örneğin,</w:t>
      </w:r>
      <w:r>
        <w:rPr>
          <w:spacing w:val="-11"/>
        </w:rPr>
        <w:t> </w:t>
      </w:r>
      <w:r>
        <w:rPr/>
        <w:t>akıllı</w:t>
      </w:r>
      <w:r>
        <w:rPr>
          <w:spacing w:val="-8"/>
        </w:rPr>
        <w:t> </w:t>
      </w:r>
      <w:r>
        <w:rPr/>
        <w:t>telefonun</w:t>
      </w:r>
      <w:r>
        <w:rPr>
          <w:spacing w:val="-12"/>
        </w:rPr>
        <w:t> </w:t>
      </w:r>
      <w:r>
        <w:rPr/>
        <w:t>fotoğraf</w:t>
      </w:r>
      <w:r>
        <w:rPr>
          <w:spacing w:val="-12"/>
        </w:rPr>
        <w:t> </w:t>
      </w:r>
      <w:r>
        <w:rPr/>
        <w:t>çekim</w:t>
      </w:r>
      <w:r>
        <w:rPr>
          <w:spacing w:val="-8"/>
        </w:rPr>
        <w:t> </w:t>
      </w:r>
      <w:r>
        <w:rPr/>
        <w:t>kalitesi</w:t>
      </w:r>
      <w:r>
        <w:rPr>
          <w:spacing w:val="-11"/>
        </w:rPr>
        <w:t> </w:t>
      </w:r>
      <w:r>
        <w:rPr/>
        <w:t>telefonun</w:t>
      </w:r>
      <w:r>
        <w:rPr>
          <w:spacing w:val="-11"/>
        </w:rPr>
        <w:t> </w:t>
      </w:r>
      <w:r>
        <w:rPr/>
        <w:t>kamera</w:t>
      </w:r>
      <w:r>
        <w:rPr>
          <w:spacing w:val="-12"/>
        </w:rPr>
        <w:t> </w:t>
      </w:r>
      <w:r>
        <w:rPr/>
        <w:t>lensinin</w:t>
      </w:r>
      <w:r>
        <w:rPr>
          <w:spacing w:val="-11"/>
        </w:rPr>
        <w:t> </w:t>
      </w:r>
      <w:r>
        <w:rPr/>
        <w:t>kalitesi ile ilişkilidir ve iyi bir lense sahip telefonun fotoğraf çekimi ile ilgili yorumlar da olumlu olacaktır. Ancak, bir roman değerlendirilirken okuyucunun kurgu, anlatım dili gibi</w:t>
      </w:r>
      <w:r>
        <w:rPr>
          <w:spacing w:val="-35"/>
        </w:rPr>
        <w:t> </w:t>
      </w:r>
      <w:r>
        <w:rPr/>
        <w:t>unsurları beğenisi yorumu etkileyecektir. Beğeni öznel bir olgudur. Araştırma ürünlerine yapılan yorumların daha nesnel olduğu görüşüne dayanılarak, araştırma ürünlerine verilen değerlendirme puanlarının daha tutarlı olduğu ve değerlendirme puanlarının ortalamasının satın alma sürecinde daha değerli olduğu varsayılmaktadır (Li vd., 2016). Bu varsayımı doğrulayan çalışmalar bulunduğu gibi (örn. Cui vd., 2012; Li vd., 2016), deneyim ürünleri satışlarının değerlendirme puanlarının ortalamasından daha fazla etkilendiği sonucuna ulaşarak bu varsayımın aksini belirten çalışmalar da bulunmaktadır (örn. Moen vd.,</w:t>
      </w:r>
      <w:r>
        <w:rPr>
          <w:spacing w:val="-12"/>
        </w:rPr>
        <w:t> </w:t>
      </w:r>
      <w:r>
        <w:rPr/>
        <w:t>2017).</w:t>
      </w:r>
    </w:p>
    <w:p>
      <w:pPr>
        <w:pStyle w:val="BodyText"/>
        <w:spacing w:line="360" w:lineRule="auto" w:before="2"/>
        <w:ind w:right="309" w:firstLine="708"/>
      </w:pPr>
      <w:r>
        <w:rPr/>
        <w:t>Ghose ve Ipeirotis (2011) ses ve video oynatıcılar, dijital kameralar ve DVDlerden oluşan örneklemde yaptıkları analizler sonucunda değerlendirme puanlarının ortalamasının satışa etkisinin en fazla ses ve video oynatıcılarda olduğunu ve dijital kameralarda değerlendirme puanlarının ortalamasının anlamlı bir etkisi olmadığı bulmuşlardır. Birden fazla ürün kategorisini içeren benzer çalışmalarda, olumlu ve olumsuz yorumların etkisinin ürün</w:t>
      </w:r>
      <w:r>
        <w:rPr>
          <w:spacing w:val="-18"/>
        </w:rPr>
        <w:t> </w:t>
      </w:r>
      <w:r>
        <w:rPr/>
        <w:t>gruplarına</w:t>
      </w:r>
      <w:r>
        <w:rPr>
          <w:spacing w:val="-17"/>
        </w:rPr>
        <w:t> </w:t>
      </w:r>
      <w:r>
        <w:rPr/>
        <w:t>göre</w:t>
      </w:r>
      <w:r>
        <w:rPr>
          <w:spacing w:val="-18"/>
        </w:rPr>
        <w:t> </w:t>
      </w:r>
      <w:r>
        <w:rPr/>
        <w:t>farklılaştığı</w:t>
      </w:r>
      <w:r>
        <w:rPr>
          <w:spacing w:val="-13"/>
        </w:rPr>
        <w:t> </w:t>
      </w:r>
      <w:r>
        <w:rPr/>
        <w:t>da</w:t>
      </w:r>
      <w:r>
        <w:rPr>
          <w:spacing w:val="-17"/>
        </w:rPr>
        <w:t> </w:t>
      </w:r>
      <w:r>
        <w:rPr/>
        <w:t>görülmektedir.</w:t>
      </w:r>
      <w:r>
        <w:rPr>
          <w:spacing w:val="-17"/>
        </w:rPr>
        <w:t> </w:t>
      </w:r>
      <w:r>
        <w:rPr/>
        <w:t>Örneğin,</w:t>
      </w:r>
      <w:r>
        <w:rPr>
          <w:spacing w:val="29"/>
        </w:rPr>
        <w:t> </w:t>
      </w:r>
      <w:r>
        <w:rPr/>
        <w:t>Li</w:t>
      </w:r>
      <w:r>
        <w:rPr>
          <w:spacing w:val="-15"/>
        </w:rPr>
        <w:t> </w:t>
      </w:r>
      <w:r>
        <w:rPr/>
        <w:t>ve</w:t>
      </w:r>
      <w:r>
        <w:rPr>
          <w:spacing w:val="-17"/>
        </w:rPr>
        <w:t> </w:t>
      </w:r>
      <w:r>
        <w:rPr/>
        <w:t>Shimizu</w:t>
      </w:r>
      <w:r>
        <w:rPr>
          <w:spacing w:val="-16"/>
        </w:rPr>
        <w:t> </w:t>
      </w:r>
      <w:r>
        <w:rPr/>
        <w:t>(2018)</w:t>
      </w:r>
      <w:r>
        <w:rPr>
          <w:spacing w:val="-17"/>
        </w:rPr>
        <w:t> </w:t>
      </w:r>
      <w:r>
        <w:rPr/>
        <w:t>taşınabilir şarj aleti, kulaklık ve kadın ayakkabısı gruplarından oluşan örneklemde yaptıkları analizler sonucunda</w:t>
      </w:r>
      <w:r>
        <w:rPr>
          <w:spacing w:val="-14"/>
        </w:rPr>
        <w:t> </w:t>
      </w:r>
      <w:r>
        <w:rPr/>
        <w:t>olumlu</w:t>
      </w:r>
      <w:r>
        <w:rPr>
          <w:spacing w:val="-13"/>
        </w:rPr>
        <w:t> </w:t>
      </w:r>
      <w:r>
        <w:rPr/>
        <w:t>ve</w:t>
      </w:r>
      <w:r>
        <w:rPr>
          <w:spacing w:val="-14"/>
        </w:rPr>
        <w:t> </w:t>
      </w:r>
      <w:r>
        <w:rPr/>
        <w:t>olumsuz</w:t>
      </w:r>
      <w:r>
        <w:rPr>
          <w:spacing w:val="-14"/>
        </w:rPr>
        <w:t> </w:t>
      </w:r>
      <w:r>
        <w:rPr/>
        <w:t>yorumlardan</w:t>
      </w:r>
      <w:r>
        <w:rPr>
          <w:spacing w:val="-12"/>
        </w:rPr>
        <w:t> </w:t>
      </w:r>
      <w:r>
        <w:rPr/>
        <w:t>en</w:t>
      </w:r>
      <w:r>
        <w:rPr>
          <w:spacing w:val="-11"/>
        </w:rPr>
        <w:t> </w:t>
      </w:r>
      <w:r>
        <w:rPr/>
        <w:t>fazla</w:t>
      </w:r>
      <w:r>
        <w:rPr>
          <w:spacing w:val="-11"/>
        </w:rPr>
        <w:t> </w:t>
      </w:r>
      <w:r>
        <w:rPr/>
        <w:t>kadın</w:t>
      </w:r>
      <w:r>
        <w:rPr>
          <w:spacing w:val="-13"/>
        </w:rPr>
        <w:t> </w:t>
      </w:r>
      <w:r>
        <w:rPr/>
        <w:t>ayakkabısı</w:t>
      </w:r>
      <w:r>
        <w:rPr>
          <w:spacing w:val="-13"/>
        </w:rPr>
        <w:t> </w:t>
      </w:r>
      <w:r>
        <w:rPr/>
        <w:t>grubunun</w:t>
      </w:r>
      <w:r>
        <w:rPr>
          <w:spacing w:val="-11"/>
        </w:rPr>
        <w:t> </w:t>
      </w:r>
      <w:r>
        <w:rPr/>
        <w:t>etkilendiğini ortaya</w:t>
      </w:r>
      <w:r>
        <w:rPr>
          <w:spacing w:val="-2"/>
        </w:rPr>
        <w:t> </w:t>
      </w:r>
      <w:r>
        <w:rPr/>
        <w:t>koymuşlardır.</w:t>
      </w:r>
    </w:p>
    <w:p>
      <w:pPr>
        <w:pStyle w:val="BodyText"/>
        <w:spacing w:line="360" w:lineRule="auto"/>
        <w:ind w:right="312" w:firstLine="708"/>
      </w:pPr>
      <w:r>
        <w:rPr/>
        <w:t>Nötr yorumların satışa etkisini inceleyen Tang vd. (2014), iki farklı ürün kategorisi için yaptığı analizler sonucunda, nötr yorumların deneyim ürünü olan filmlerin satışlarında etkiliyken araştırma ürünü olan otomobillerin satışında etkili olmadığını ortaya koymuşlardır.</w:t>
      </w:r>
    </w:p>
    <w:p>
      <w:pPr>
        <w:pStyle w:val="BodyText"/>
        <w:spacing w:line="360" w:lineRule="auto"/>
        <w:ind w:right="311" w:firstLine="708"/>
      </w:pPr>
      <w:r>
        <w:rPr/>
        <w:t>Değerlik-satış</w:t>
      </w:r>
      <w:r>
        <w:rPr>
          <w:spacing w:val="-9"/>
        </w:rPr>
        <w:t> </w:t>
      </w:r>
      <w:r>
        <w:rPr/>
        <w:t>ilişkisine</w:t>
      </w:r>
      <w:r>
        <w:rPr>
          <w:spacing w:val="-9"/>
        </w:rPr>
        <w:t> </w:t>
      </w:r>
      <w:r>
        <w:rPr/>
        <w:t>odaklanan</w:t>
      </w:r>
      <w:r>
        <w:rPr>
          <w:spacing w:val="-9"/>
        </w:rPr>
        <w:t> </w:t>
      </w:r>
      <w:r>
        <w:rPr/>
        <w:t>çalışmaların</w:t>
      </w:r>
      <w:r>
        <w:rPr>
          <w:spacing w:val="-9"/>
        </w:rPr>
        <w:t> </w:t>
      </w:r>
      <w:r>
        <w:rPr/>
        <w:t>genellikle</w:t>
      </w:r>
      <w:r>
        <w:rPr>
          <w:spacing w:val="-5"/>
        </w:rPr>
        <w:t> </w:t>
      </w:r>
      <w:r>
        <w:rPr/>
        <w:t>değerlendirme</w:t>
      </w:r>
      <w:r>
        <w:rPr>
          <w:spacing w:val="-7"/>
        </w:rPr>
        <w:t> </w:t>
      </w:r>
      <w:r>
        <w:rPr/>
        <w:t>puanlarının ortalamasına</w:t>
      </w:r>
      <w:r>
        <w:rPr>
          <w:spacing w:val="-17"/>
        </w:rPr>
        <w:t> </w:t>
      </w:r>
      <w:r>
        <w:rPr/>
        <w:t>odaklandıkları,</w:t>
      </w:r>
      <w:r>
        <w:rPr>
          <w:spacing w:val="-15"/>
        </w:rPr>
        <w:t> </w:t>
      </w:r>
      <w:r>
        <w:rPr/>
        <w:t>olumlu</w:t>
      </w:r>
      <w:r>
        <w:rPr>
          <w:spacing w:val="-15"/>
        </w:rPr>
        <w:t> </w:t>
      </w:r>
      <w:r>
        <w:rPr/>
        <w:t>ve</w:t>
      </w:r>
      <w:r>
        <w:rPr>
          <w:spacing w:val="-17"/>
        </w:rPr>
        <w:t> </w:t>
      </w:r>
      <w:r>
        <w:rPr/>
        <w:t>olumsuz</w:t>
      </w:r>
      <w:r>
        <w:rPr>
          <w:spacing w:val="-16"/>
        </w:rPr>
        <w:t> </w:t>
      </w:r>
      <w:r>
        <w:rPr/>
        <w:t>yorumların</w:t>
      </w:r>
      <w:r>
        <w:rPr>
          <w:spacing w:val="-15"/>
        </w:rPr>
        <w:t> </w:t>
      </w:r>
      <w:r>
        <w:rPr/>
        <w:t>ve</w:t>
      </w:r>
      <w:r>
        <w:rPr>
          <w:spacing w:val="-17"/>
        </w:rPr>
        <w:t> </w:t>
      </w:r>
      <w:r>
        <w:rPr/>
        <w:t>özellikle</w:t>
      </w:r>
      <w:r>
        <w:rPr>
          <w:spacing w:val="-17"/>
        </w:rPr>
        <w:t> </w:t>
      </w:r>
      <w:r>
        <w:rPr/>
        <w:t>nötr</w:t>
      </w:r>
      <w:r>
        <w:rPr>
          <w:spacing w:val="-15"/>
        </w:rPr>
        <w:t> </w:t>
      </w:r>
      <w:r>
        <w:rPr/>
        <w:t>yorumların</w:t>
      </w:r>
      <w:r>
        <w:rPr>
          <w:spacing w:val="-12"/>
        </w:rPr>
        <w:t> </w:t>
      </w:r>
      <w:r>
        <w:rPr/>
        <w:t>arka</w:t>
      </w:r>
    </w:p>
    <w:p>
      <w:pPr>
        <w:spacing w:after="0" w:line="360" w:lineRule="auto"/>
        <w:sectPr>
          <w:pgSz w:w="12240" w:h="15840"/>
          <w:pgMar w:header="718" w:footer="0" w:top="1300" w:bottom="280" w:left="1720" w:right="820"/>
        </w:sectPr>
      </w:pPr>
    </w:p>
    <w:p>
      <w:pPr>
        <w:pStyle w:val="BodyText"/>
        <w:spacing w:line="360" w:lineRule="auto" w:before="100"/>
        <w:ind w:right="312"/>
      </w:pPr>
      <w:r>
        <w:rPr/>
        <w:t>planda kaldıkları görülmektedir. Ayrıca, literatürde farklı ürün özellikleri çerçevesinde değerlik etkisini kıyaslayan çalışmalar da sayıca azdır. Bu noktada, değerliğin satış üzerine etkisini irdelerken ürün kategorilerini göz önünde bulundurarak aşağıdaki hipotezler geliştirilmiştir:</w:t>
      </w:r>
    </w:p>
    <w:p>
      <w:pPr>
        <w:pStyle w:val="BodyText"/>
        <w:spacing w:line="360" w:lineRule="auto"/>
        <w:ind w:right="310" w:firstLine="708"/>
      </w:pPr>
      <w:r>
        <w:rPr>
          <w:b/>
          <w:position w:val="1"/>
        </w:rPr>
        <w:t>H</w:t>
      </w:r>
      <w:r>
        <w:rPr>
          <w:b/>
          <w:sz w:val="16"/>
        </w:rPr>
        <w:t>7</w:t>
      </w:r>
      <w:r>
        <w:rPr>
          <w:b/>
          <w:position w:val="1"/>
        </w:rPr>
        <w:t>: </w:t>
      </w:r>
      <w:r>
        <w:rPr>
          <w:position w:val="1"/>
        </w:rPr>
        <w:t>Değerlendirme puanlarının ortalaması ile ürün satışı arasındaki ilişki ürün </w:t>
      </w:r>
      <w:r>
        <w:rPr/>
        <w:t>kategorisine göre farklılık gösterir.</w:t>
      </w:r>
    </w:p>
    <w:p>
      <w:pPr>
        <w:pStyle w:val="BodyText"/>
        <w:spacing w:line="360" w:lineRule="auto"/>
        <w:ind w:left="1256" w:right="312" w:firstLine="708"/>
        <w:jc w:val="left"/>
      </w:pPr>
      <w:r>
        <w:rPr>
          <w:b/>
          <w:position w:val="1"/>
        </w:rPr>
        <w:t>H</w:t>
      </w:r>
      <w:r>
        <w:rPr>
          <w:b/>
          <w:sz w:val="16"/>
        </w:rPr>
        <w:t>7a</w:t>
      </w:r>
      <w:r>
        <w:rPr>
          <w:b/>
          <w:position w:val="1"/>
        </w:rPr>
        <w:t>: </w:t>
      </w:r>
      <w:r>
        <w:rPr>
          <w:position w:val="1"/>
        </w:rPr>
        <w:t>Mobilya ve dizüstü kategorileri için, değerlendirme puanlarının </w:t>
      </w:r>
      <w:r>
        <w:rPr/>
        <w:t>ortalaması ile ürün satışı arasındaki ilişki farklılık</w:t>
      </w:r>
      <w:r>
        <w:rPr>
          <w:spacing w:val="-7"/>
        </w:rPr>
        <w:t> </w:t>
      </w:r>
      <w:r>
        <w:rPr/>
        <w:t>gösterir.</w:t>
      </w:r>
    </w:p>
    <w:p>
      <w:pPr>
        <w:pStyle w:val="BodyText"/>
        <w:spacing w:line="360" w:lineRule="auto"/>
        <w:ind w:left="1256" w:right="312" w:firstLine="708"/>
        <w:jc w:val="left"/>
      </w:pPr>
      <w:r>
        <w:rPr>
          <w:b/>
          <w:position w:val="1"/>
        </w:rPr>
        <w:t>H</w:t>
      </w:r>
      <w:r>
        <w:rPr>
          <w:b/>
          <w:sz w:val="16"/>
        </w:rPr>
        <w:t>7b</w:t>
      </w:r>
      <w:r>
        <w:rPr>
          <w:b/>
          <w:position w:val="1"/>
        </w:rPr>
        <w:t>: </w:t>
      </w:r>
      <w:r>
        <w:rPr>
          <w:position w:val="1"/>
        </w:rPr>
        <w:t>Mobilya ve koltuk kategorileri için, değerlendirme puanlarının </w:t>
      </w:r>
      <w:r>
        <w:rPr/>
        <w:t>ortalaması ile ürün satışı arasındaki ilişki farklılık</w:t>
      </w:r>
      <w:r>
        <w:rPr>
          <w:spacing w:val="-7"/>
        </w:rPr>
        <w:t> </w:t>
      </w:r>
      <w:r>
        <w:rPr/>
        <w:t>gösterir.</w:t>
      </w:r>
    </w:p>
    <w:p>
      <w:pPr>
        <w:pStyle w:val="BodyText"/>
        <w:spacing w:line="360" w:lineRule="auto" w:before="1"/>
        <w:ind w:left="1256" w:right="312" w:firstLine="708"/>
        <w:jc w:val="left"/>
      </w:pPr>
      <w:r>
        <w:rPr>
          <w:b/>
          <w:position w:val="1"/>
        </w:rPr>
        <w:t>H</w:t>
      </w:r>
      <w:r>
        <w:rPr>
          <w:b/>
          <w:sz w:val="16"/>
        </w:rPr>
        <w:t>7c</w:t>
      </w:r>
      <w:r>
        <w:rPr>
          <w:b/>
          <w:position w:val="1"/>
        </w:rPr>
        <w:t>: </w:t>
      </w:r>
      <w:r>
        <w:rPr>
          <w:position w:val="1"/>
        </w:rPr>
        <w:t>Mobilya ve televizyon kategorileri için, değerlendirme puanlarının </w:t>
      </w:r>
      <w:r>
        <w:rPr/>
        <w:t>ortalaması ile ürün satışı arasındaki ilişki farklılık</w:t>
      </w:r>
      <w:r>
        <w:rPr>
          <w:spacing w:val="-7"/>
        </w:rPr>
        <w:t> </w:t>
      </w:r>
      <w:r>
        <w:rPr/>
        <w:t>gösterir.</w:t>
      </w:r>
    </w:p>
    <w:p>
      <w:pPr>
        <w:pStyle w:val="BodyText"/>
        <w:spacing w:line="360" w:lineRule="auto"/>
        <w:ind w:left="1256" w:right="306" w:firstLine="708"/>
        <w:jc w:val="left"/>
      </w:pPr>
      <w:r>
        <w:rPr>
          <w:b/>
          <w:position w:val="1"/>
        </w:rPr>
        <w:t>H</w:t>
      </w:r>
      <w:r>
        <w:rPr>
          <w:b/>
          <w:sz w:val="16"/>
        </w:rPr>
        <w:t>7d</w:t>
      </w:r>
      <w:r>
        <w:rPr>
          <w:b/>
          <w:position w:val="1"/>
        </w:rPr>
        <w:t>:</w:t>
      </w:r>
      <w:r>
        <w:rPr>
          <w:b/>
          <w:spacing w:val="-13"/>
          <w:position w:val="1"/>
        </w:rPr>
        <w:t> </w:t>
      </w:r>
      <w:r>
        <w:rPr>
          <w:position w:val="1"/>
        </w:rPr>
        <w:t>Koltuk</w:t>
      </w:r>
      <w:r>
        <w:rPr>
          <w:spacing w:val="-13"/>
          <w:position w:val="1"/>
        </w:rPr>
        <w:t> </w:t>
      </w:r>
      <w:r>
        <w:rPr>
          <w:position w:val="1"/>
        </w:rPr>
        <w:t>ve</w:t>
      </w:r>
      <w:r>
        <w:rPr>
          <w:spacing w:val="-13"/>
          <w:position w:val="1"/>
        </w:rPr>
        <w:t> </w:t>
      </w:r>
      <w:r>
        <w:rPr>
          <w:position w:val="1"/>
        </w:rPr>
        <w:t>dizüstü</w:t>
      </w:r>
      <w:r>
        <w:rPr>
          <w:spacing w:val="-11"/>
          <w:position w:val="1"/>
        </w:rPr>
        <w:t> </w:t>
      </w:r>
      <w:r>
        <w:rPr>
          <w:position w:val="1"/>
        </w:rPr>
        <w:t>kategorileri</w:t>
      </w:r>
      <w:r>
        <w:rPr>
          <w:spacing w:val="-12"/>
          <w:position w:val="1"/>
        </w:rPr>
        <w:t> </w:t>
      </w:r>
      <w:r>
        <w:rPr>
          <w:position w:val="1"/>
        </w:rPr>
        <w:t>için,</w:t>
      </w:r>
      <w:r>
        <w:rPr>
          <w:spacing w:val="-11"/>
          <w:position w:val="1"/>
        </w:rPr>
        <w:t> </w:t>
      </w:r>
      <w:r>
        <w:rPr>
          <w:position w:val="1"/>
        </w:rPr>
        <w:t>değerlendirme</w:t>
      </w:r>
      <w:r>
        <w:rPr>
          <w:spacing w:val="-13"/>
          <w:position w:val="1"/>
        </w:rPr>
        <w:t> </w:t>
      </w:r>
      <w:r>
        <w:rPr>
          <w:position w:val="1"/>
        </w:rPr>
        <w:t>puanlarının</w:t>
      </w:r>
      <w:r>
        <w:rPr>
          <w:spacing w:val="-11"/>
          <w:position w:val="1"/>
        </w:rPr>
        <w:t> </w:t>
      </w:r>
      <w:r>
        <w:rPr>
          <w:position w:val="1"/>
        </w:rPr>
        <w:t>ortalaması </w:t>
      </w:r>
      <w:r>
        <w:rPr/>
        <w:t>ile ürün satışı arasındaki ilişki farklılık</w:t>
      </w:r>
      <w:r>
        <w:rPr>
          <w:spacing w:val="-2"/>
        </w:rPr>
        <w:t> </w:t>
      </w:r>
      <w:r>
        <w:rPr/>
        <w:t>gösterir.</w:t>
      </w:r>
    </w:p>
    <w:p>
      <w:pPr>
        <w:pStyle w:val="BodyText"/>
        <w:spacing w:line="360" w:lineRule="auto"/>
        <w:ind w:left="1256" w:right="312" w:firstLine="708"/>
        <w:jc w:val="left"/>
      </w:pPr>
      <w:r>
        <w:rPr>
          <w:b/>
          <w:position w:val="1"/>
        </w:rPr>
        <w:t>H</w:t>
      </w:r>
      <w:r>
        <w:rPr>
          <w:b/>
          <w:sz w:val="16"/>
        </w:rPr>
        <w:t>7e</w:t>
      </w:r>
      <w:r>
        <w:rPr>
          <w:b/>
          <w:position w:val="1"/>
        </w:rPr>
        <w:t>: </w:t>
      </w:r>
      <w:r>
        <w:rPr>
          <w:position w:val="1"/>
        </w:rPr>
        <w:t>Koltuk ve televizyon kategorileri için, değerlendirme puanlarının </w:t>
      </w:r>
      <w:r>
        <w:rPr/>
        <w:t>ortalaması ile ürün satışı arasındaki ilişki farklılık</w:t>
      </w:r>
      <w:r>
        <w:rPr>
          <w:spacing w:val="-7"/>
        </w:rPr>
        <w:t> </w:t>
      </w:r>
      <w:r>
        <w:rPr/>
        <w:t>gösterir.</w:t>
      </w:r>
    </w:p>
    <w:p>
      <w:pPr>
        <w:pStyle w:val="BodyText"/>
        <w:spacing w:line="360" w:lineRule="auto"/>
        <w:ind w:left="1256" w:right="312" w:firstLine="708"/>
        <w:jc w:val="left"/>
      </w:pPr>
      <w:r>
        <w:rPr>
          <w:b/>
          <w:position w:val="1"/>
        </w:rPr>
        <w:t>H</w:t>
      </w:r>
      <w:r>
        <w:rPr>
          <w:b/>
          <w:sz w:val="16"/>
        </w:rPr>
        <w:t>7f</w:t>
      </w:r>
      <w:r>
        <w:rPr>
          <w:b/>
          <w:position w:val="1"/>
        </w:rPr>
        <w:t>: </w:t>
      </w:r>
      <w:r>
        <w:rPr>
          <w:position w:val="1"/>
        </w:rPr>
        <w:t>Televizyon ve dizüstü kategorileri için, değerlendirme puanlarının </w:t>
      </w:r>
      <w:r>
        <w:rPr/>
        <w:t>ortalaması ile ürün satışı arasındaki ilişki farklılık</w:t>
      </w:r>
      <w:r>
        <w:rPr>
          <w:spacing w:val="-7"/>
        </w:rPr>
        <w:t> </w:t>
      </w:r>
      <w:r>
        <w:rPr/>
        <w:t>gösterir.</w:t>
      </w:r>
    </w:p>
    <w:p>
      <w:pPr>
        <w:pStyle w:val="BodyText"/>
        <w:spacing w:line="360" w:lineRule="auto" w:before="1"/>
        <w:ind w:right="307" w:firstLine="708"/>
        <w:jc w:val="left"/>
      </w:pPr>
      <w:r>
        <w:rPr>
          <w:b/>
          <w:position w:val="1"/>
        </w:rPr>
        <w:t>H</w:t>
      </w:r>
      <w:r>
        <w:rPr>
          <w:b/>
          <w:sz w:val="16"/>
        </w:rPr>
        <w:t>8</w:t>
      </w:r>
      <w:r>
        <w:rPr>
          <w:b/>
          <w:position w:val="1"/>
        </w:rPr>
        <w:t>:</w:t>
      </w:r>
      <w:r>
        <w:rPr>
          <w:b/>
          <w:spacing w:val="-14"/>
          <w:position w:val="1"/>
        </w:rPr>
        <w:t> </w:t>
      </w:r>
      <w:r>
        <w:rPr>
          <w:position w:val="1"/>
        </w:rPr>
        <w:t>Ürüne</w:t>
      </w:r>
      <w:r>
        <w:rPr>
          <w:spacing w:val="-14"/>
          <w:position w:val="1"/>
        </w:rPr>
        <w:t> </w:t>
      </w:r>
      <w:r>
        <w:rPr>
          <w:position w:val="1"/>
        </w:rPr>
        <w:t>dair</w:t>
      </w:r>
      <w:r>
        <w:rPr>
          <w:spacing w:val="-14"/>
          <w:position w:val="1"/>
        </w:rPr>
        <w:t> </w:t>
      </w:r>
      <w:r>
        <w:rPr>
          <w:position w:val="1"/>
        </w:rPr>
        <w:t>olumlu</w:t>
      </w:r>
      <w:r>
        <w:rPr>
          <w:spacing w:val="-13"/>
          <w:position w:val="1"/>
        </w:rPr>
        <w:t> </w:t>
      </w:r>
      <w:r>
        <w:rPr>
          <w:position w:val="1"/>
        </w:rPr>
        <w:t>yorumlar</w:t>
      </w:r>
      <w:r>
        <w:rPr>
          <w:spacing w:val="-14"/>
          <w:position w:val="1"/>
        </w:rPr>
        <w:t> </w:t>
      </w:r>
      <w:r>
        <w:rPr>
          <w:position w:val="1"/>
        </w:rPr>
        <w:t>ile</w:t>
      </w:r>
      <w:r>
        <w:rPr>
          <w:spacing w:val="-14"/>
          <w:position w:val="1"/>
        </w:rPr>
        <w:t> </w:t>
      </w:r>
      <w:r>
        <w:rPr>
          <w:position w:val="1"/>
        </w:rPr>
        <w:t>ürün</w:t>
      </w:r>
      <w:r>
        <w:rPr>
          <w:spacing w:val="-14"/>
          <w:position w:val="1"/>
        </w:rPr>
        <w:t> </w:t>
      </w:r>
      <w:r>
        <w:rPr>
          <w:position w:val="1"/>
        </w:rPr>
        <w:t>satışı</w:t>
      </w:r>
      <w:r>
        <w:rPr>
          <w:spacing w:val="-12"/>
          <w:position w:val="1"/>
        </w:rPr>
        <w:t> </w:t>
      </w:r>
      <w:r>
        <w:rPr>
          <w:position w:val="1"/>
        </w:rPr>
        <w:t>arasındaki</w:t>
      </w:r>
      <w:r>
        <w:rPr>
          <w:spacing w:val="-13"/>
          <w:position w:val="1"/>
        </w:rPr>
        <w:t> </w:t>
      </w:r>
      <w:r>
        <w:rPr>
          <w:position w:val="1"/>
        </w:rPr>
        <w:t>ilişki</w:t>
      </w:r>
      <w:r>
        <w:rPr>
          <w:spacing w:val="-12"/>
          <w:position w:val="1"/>
        </w:rPr>
        <w:t> </w:t>
      </w:r>
      <w:r>
        <w:rPr>
          <w:position w:val="1"/>
        </w:rPr>
        <w:t>ürün</w:t>
      </w:r>
      <w:r>
        <w:rPr>
          <w:spacing w:val="-14"/>
          <w:position w:val="1"/>
        </w:rPr>
        <w:t> </w:t>
      </w:r>
      <w:r>
        <w:rPr>
          <w:position w:val="1"/>
        </w:rPr>
        <w:t>kategorisine</w:t>
      </w:r>
      <w:r>
        <w:rPr>
          <w:spacing w:val="-14"/>
          <w:position w:val="1"/>
        </w:rPr>
        <w:t> </w:t>
      </w:r>
      <w:r>
        <w:rPr>
          <w:position w:val="1"/>
        </w:rPr>
        <w:t>göre </w:t>
      </w:r>
      <w:r>
        <w:rPr/>
        <w:t>farklılık</w:t>
      </w:r>
      <w:r>
        <w:rPr>
          <w:spacing w:val="-1"/>
        </w:rPr>
        <w:t> </w:t>
      </w:r>
      <w:r>
        <w:rPr/>
        <w:t>gösterir.</w:t>
      </w:r>
    </w:p>
    <w:p>
      <w:pPr>
        <w:pStyle w:val="BodyText"/>
        <w:spacing w:line="360" w:lineRule="auto"/>
        <w:ind w:left="1256" w:right="312" w:firstLine="708"/>
        <w:jc w:val="left"/>
      </w:pPr>
      <w:r>
        <w:rPr>
          <w:b/>
          <w:position w:val="1"/>
        </w:rPr>
        <w:t>H</w:t>
      </w:r>
      <w:r>
        <w:rPr>
          <w:b/>
          <w:sz w:val="16"/>
        </w:rPr>
        <w:t>8a</w:t>
      </w:r>
      <w:r>
        <w:rPr>
          <w:b/>
          <w:position w:val="1"/>
        </w:rPr>
        <w:t>: </w:t>
      </w:r>
      <w:r>
        <w:rPr>
          <w:position w:val="1"/>
        </w:rPr>
        <w:t>Mobilya ve dizüstü kategorileri için, olumlu yorumlar ile ürün satışı </w:t>
      </w:r>
      <w:r>
        <w:rPr/>
        <w:t>arasındaki ilişki farklılık</w:t>
      </w:r>
      <w:r>
        <w:rPr>
          <w:spacing w:val="-3"/>
        </w:rPr>
        <w:t> </w:t>
      </w:r>
      <w:r>
        <w:rPr/>
        <w:t>gösterir.</w:t>
      </w:r>
    </w:p>
    <w:p>
      <w:pPr>
        <w:pStyle w:val="BodyText"/>
        <w:spacing w:line="360" w:lineRule="auto"/>
        <w:ind w:left="1256" w:right="312" w:firstLine="708"/>
        <w:jc w:val="left"/>
      </w:pPr>
      <w:r>
        <w:rPr>
          <w:b/>
          <w:position w:val="1"/>
        </w:rPr>
        <w:t>H</w:t>
      </w:r>
      <w:r>
        <w:rPr>
          <w:b/>
          <w:sz w:val="16"/>
        </w:rPr>
        <w:t>8b</w:t>
      </w:r>
      <w:r>
        <w:rPr>
          <w:b/>
          <w:position w:val="1"/>
        </w:rPr>
        <w:t>: </w:t>
      </w:r>
      <w:r>
        <w:rPr>
          <w:position w:val="1"/>
        </w:rPr>
        <w:t>Mobilya ve koltuk kategorileri için, olumlu yorumlar ile ürün satışı </w:t>
      </w:r>
      <w:r>
        <w:rPr/>
        <w:t>arasındaki ilişki farklılık</w:t>
      </w:r>
      <w:r>
        <w:rPr>
          <w:spacing w:val="-3"/>
        </w:rPr>
        <w:t> </w:t>
      </w:r>
      <w:r>
        <w:rPr/>
        <w:t>gösterir.</w:t>
      </w:r>
    </w:p>
    <w:p>
      <w:pPr>
        <w:pStyle w:val="BodyText"/>
        <w:spacing w:line="362" w:lineRule="auto"/>
        <w:ind w:left="1256" w:right="312" w:firstLine="708"/>
        <w:jc w:val="left"/>
      </w:pPr>
      <w:r>
        <w:rPr>
          <w:b/>
          <w:position w:val="1"/>
        </w:rPr>
        <w:t>H</w:t>
      </w:r>
      <w:r>
        <w:rPr>
          <w:b/>
          <w:sz w:val="16"/>
        </w:rPr>
        <w:t>8c</w:t>
      </w:r>
      <w:r>
        <w:rPr>
          <w:b/>
          <w:position w:val="1"/>
        </w:rPr>
        <w:t>: </w:t>
      </w:r>
      <w:r>
        <w:rPr>
          <w:position w:val="1"/>
        </w:rPr>
        <w:t>Mobilya ve televizyon kategorileri için, olumlu yorumlar ile ürün satışı </w:t>
      </w:r>
      <w:r>
        <w:rPr/>
        <w:t>arasındaki ilişki farklılık</w:t>
      </w:r>
      <w:r>
        <w:rPr>
          <w:spacing w:val="-3"/>
        </w:rPr>
        <w:t> </w:t>
      </w:r>
      <w:r>
        <w:rPr/>
        <w:t>gösterir.</w:t>
      </w:r>
    </w:p>
    <w:p>
      <w:pPr>
        <w:pStyle w:val="BodyText"/>
        <w:spacing w:line="362" w:lineRule="auto"/>
        <w:ind w:left="1256" w:right="312" w:firstLine="708"/>
        <w:jc w:val="left"/>
      </w:pPr>
      <w:r>
        <w:rPr>
          <w:b/>
          <w:position w:val="1"/>
        </w:rPr>
        <w:t>H</w:t>
      </w:r>
      <w:r>
        <w:rPr>
          <w:b/>
          <w:sz w:val="16"/>
        </w:rPr>
        <w:t>8d</w:t>
      </w:r>
      <w:r>
        <w:rPr>
          <w:b/>
          <w:position w:val="1"/>
        </w:rPr>
        <w:t>: </w:t>
      </w:r>
      <w:r>
        <w:rPr>
          <w:position w:val="1"/>
        </w:rPr>
        <w:t>Koltuk ve dizüstü kategorileri için, olumlu yorumlar ile ürün satışı </w:t>
      </w:r>
      <w:r>
        <w:rPr/>
        <w:t>arasındaki ilişki farklılık</w:t>
      </w:r>
      <w:r>
        <w:rPr>
          <w:spacing w:val="-3"/>
        </w:rPr>
        <w:t> </w:t>
      </w:r>
      <w:r>
        <w:rPr/>
        <w:t>gösterir.</w:t>
      </w:r>
    </w:p>
    <w:p>
      <w:pPr>
        <w:pStyle w:val="BodyText"/>
        <w:spacing w:line="362" w:lineRule="auto"/>
        <w:ind w:left="1256" w:right="312" w:firstLine="708"/>
        <w:jc w:val="left"/>
      </w:pPr>
      <w:r>
        <w:rPr>
          <w:b/>
          <w:position w:val="1"/>
        </w:rPr>
        <w:t>H</w:t>
      </w:r>
      <w:r>
        <w:rPr>
          <w:b/>
          <w:sz w:val="16"/>
        </w:rPr>
        <w:t>8e</w:t>
      </w:r>
      <w:r>
        <w:rPr>
          <w:b/>
          <w:position w:val="1"/>
        </w:rPr>
        <w:t>: </w:t>
      </w:r>
      <w:r>
        <w:rPr>
          <w:position w:val="1"/>
        </w:rPr>
        <w:t>Koltuk ve televizyon kategorileri için, olumlu yorumlar ile ürün satışı </w:t>
      </w:r>
      <w:r>
        <w:rPr/>
        <w:t>arasındaki ilişki farklılık</w:t>
      </w:r>
      <w:r>
        <w:rPr>
          <w:spacing w:val="-3"/>
        </w:rPr>
        <w:t> </w:t>
      </w:r>
      <w:r>
        <w:rPr/>
        <w:t>gösterir.</w:t>
      </w:r>
    </w:p>
    <w:p>
      <w:pPr>
        <w:spacing w:after="0" w:line="362" w:lineRule="auto"/>
        <w:jc w:val="left"/>
        <w:sectPr>
          <w:pgSz w:w="12240" w:h="15840"/>
          <w:pgMar w:header="718" w:footer="0" w:top="1300" w:bottom="280" w:left="1720" w:right="820"/>
        </w:sectPr>
      </w:pPr>
    </w:p>
    <w:p>
      <w:pPr>
        <w:pStyle w:val="BodyText"/>
        <w:spacing w:line="360" w:lineRule="auto" w:before="100"/>
        <w:ind w:left="1256" w:right="312" w:firstLine="708"/>
        <w:jc w:val="left"/>
      </w:pPr>
      <w:r>
        <w:rPr>
          <w:b/>
          <w:position w:val="1"/>
        </w:rPr>
        <w:t>H</w:t>
      </w:r>
      <w:r>
        <w:rPr>
          <w:b/>
          <w:sz w:val="16"/>
        </w:rPr>
        <w:t>8f</w:t>
      </w:r>
      <w:r>
        <w:rPr>
          <w:b/>
          <w:position w:val="1"/>
        </w:rPr>
        <w:t>: </w:t>
      </w:r>
      <w:r>
        <w:rPr>
          <w:position w:val="1"/>
        </w:rPr>
        <w:t>Televizyon ve dizüstü kategorileri için, olumlu yorumlar ile ürün satışı </w:t>
      </w:r>
      <w:r>
        <w:rPr/>
        <w:t>arasındaki ilişki farklılık gösterir.</w:t>
      </w:r>
    </w:p>
    <w:p>
      <w:pPr>
        <w:pStyle w:val="BodyText"/>
        <w:spacing w:line="360" w:lineRule="auto"/>
        <w:ind w:right="312" w:firstLine="708"/>
        <w:jc w:val="left"/>
      </w:pPr>
      <w:r>
        <w:rPr>
          <w:b/>
          <w:position w:val="1"/>
        </w:rPr>
        <w:t>H</w:t>
      </w:r>
      <w:r>
        <w:rPr>
          <w:b/>
          <w:sz w:val="16"/>
        </w:rPr>
        <w:t>9</w:t>
      </w:r>
      <w:r>
        <w:rPr>
          <w:b/>
          <w:position w:val="1"/>
        </w:rPr>
        <w:t>: </w:t>
      </w:r>
      <w:r>
        <w:rPr>
          <w:position w:val="1"/>
        </w:rPr>
        <w:t>Ürüne dair olumsuz yorumlar ile ürün satışı arasındaki ilişki ürün kategorisine </w:t>
      </w:r>
      <w:r>
        <w:rPr/>
        <w:t>göre farklılık gösterir.</w:t>
      </w:r>
    </w:p>
    <w:p>
      <w:pPr>
        <w:pStyle w:val="BodyText"/>
        <w:spacing w:line="360" w:lineRule="auto"/>
        <w:ind w:left="1256" w:right="312" w:firstLine="708"/>
        <w:jc w:val="left"/>
      </w:pPr>
      <w:r>
        <w:rPr>
          <w:b/>
          <w:position w:val="1"/>
        </w:rPr>
        <w:t>H</w:t>
      </w:r>
      <w:r>
        <w:rPr>
          <w:b/>
          <w:sz w:val="16"/>
        </w:rPr>
        <w:t>9a</w:t>
      </w:r>
      <w:r>
        <w:rPr>
          <w:b/>
          <w:position w:val="1"/>
        </w:rPr>
        <w:t>: </w:t>
      </w:r>
      <w:r>
        <w:rPr>
          <w:position w:val="1"/>
        </w:rPr>
        <w:t>Mobilya ve dizüstü kategorileri için, olumsuz yorumlar ile ürün satışı </w:t>
      </w:r>
      <w:r>
        <w:rPr/>
        <w:t>arasındaki ilişki farklılık</w:t>
      </w:r>
      <w:r>
        <w:rPr>
          <w:spacing w:val="-3"/>
        </w:rPr>
        <w:t> </w:t>
      </w:r>
      <w:r>
        <w:rPr/>
        <w:t>gösterir.</w:t>
      </w:r>
    </w:p>
    <w:p>
      <w:pPr>
        <w:pStyle w:val="BodyText"/>
        <w:spacing w:line="360" w:lineRule="auto"/>
        <w:ind w:left="1256" w:right="312" w:firstLine="708"/>
        <w:jc w:val="left"/>
      </w:pPr>
      <w:r>
        <w:rPr>
          <w:b/>
          <w:position w:val="1"/>
        </w:rPr>
        <w:t>H</w:t>
      </w:r>
      <w:r>
        <w:rPr>
          <w:b/>
          <w:sz w:val="16"/>
        </w:rPr>
        <w:t>9b</w:t>
      </w:r>
      <w:r>
        <w:rPr>
          <w:b/>
          <w:position w:val="1"/>
        </w:rPr>
        <w:t>: </w:t>
      </w:r>
      <w:r>
        <w:rPr>
          <w:position w:val="1"/>
        </w:rPr>
        <w:t>Mobilya ve koltuk kategorileri için, olumsuz yorumlar ile ürün satışı </w:t>
      </w:r>
      <w:r>
        <w:rPr/>
        <w:t>arasındaki ilişki farklılık</w:t>
      </w:r>
      <w:r>
        <w:rPr>
          <w:spacing w:val="-3"/>
        </w:rPr>
        <w:t> </w:t>
      </w:r>
      <w:r>
        <w:rPr/>
        <w:t>gösterir.</w:t>
      </w:r>
    </w:p>
    <w:p>
      <w:pPr>
        <w:pStyle w:val="BodyText"/>
        <w:spacing w:line="360" w:lineRule="auto"/>
        <w:ind w:left="1256" w:firstLine="708"/>
        <w:jc w:val="left"/>
      </w:pPr>
      <w:r>
        <w:rPr>
          <w:b/>
          <w:position w:val="1"/>
        </w:rPr>
        <w:t>H</w:t>
      </w:r>
      <w:r>
        <w:rPr>
          <w:b/>
          <w:sz w:val="16"/>
        </w:rPr>
        <w:t>9c</w:t>
      </w:r>
      <w:r>
        <w:rPr>
          <w:b/>
          <w:position w:val="1"/>
        </w:rPr>
        <w:t>:</w:t>
      </w:r>
      <w:r>
        <w:rPr>
          <w:b/>
          <w:spacing w:val="-5"/>
          <w:position w:val="1"/>
        </w:rPr>
        <w:t> </w:t>
      </w:r>
      <w:r>
        <w:rPr>
          <w:position w:val="1"/>
        </w:rPr>
        <w:t>Mobilya</w:t>
      </w:r>
      <w:r>
        <w:rPr>
          <w:spacing w:val="-4"/>
          <w:position w:val="1"/>
        </w:rPr>
        <w:t> </w:t>
      </w:r>
      <w:r>
        <w:rPr>
          <w:position w:val="1"/>
        </w:rPr>
        <w:t>ve</w:t>
      </w:r>
      <w:r>
        <w:rPr>
          <w:spacing w:val="-5"/>
          <w:position w:val="1"/>
        </w:rPr>
        <w:t> </w:t>
      </w:r>
      <w:r>
        <w:rPr>
          <w:position w:val="1"/>
        </w:rPr>
        <w:t>televizyon</w:t>
      </w:r>
      <w:r>
        <w:rPr>
          <w:spacing w:val="-5"/>
          <w:position w:val="1"/>
        </w:rPr>
        <w:t> </w:t>
      </w:r>
      <w:r>
        <w:rPr>
          <w:position w:val="1"/>
        </w:rPr>
        <w:t>kategorileri</w:t>
      </w:r>
      <w:r>
        <w:rPr>
          <w:spacing w:val="-4"/>
          <w:position w:val="1"/>
        </w:rPr>
        <w:t> </w:t>
      </w:r>
      <w:r>
        <w:rPr>
          <w:position w:val="1"/>
        </w:rPr>
        <w:t>için,</w:t>
      </w:r>
      <w:r>
        <w:rPr>
          <w:spacing w:val="-4"/>
          <w:position w:val="1"/>
        </w:rPr>
        <w:t> </w:t>
      </w:r>
      <w:r>
        <w:rPr>
          <w:position w:val="1"/>
        </w:rPr>
        <w:t>olumsuz</w:t>
      </w:r>
      <w:r>
        <w:rPr>
          <w:spacing w:val="-5"/>
          <w:position w:val="1"/>
        </w:rPr>
        <w:t> </w:t>
      </w:r>
      <w:r>
        <w:rPr>
          <w:position w:val="1"/>
        </w:rPr>
        <w:t>yorumlar</w:t>
      </w:r>
      <w:r>
        <w:rPr>
          <w:spacing w:val="-4"/>
          <w:position w:val="1"/>
        </w:rPr>
        <w:t> </w:t>
      </w:r>
      <w:r>
        <w:rPr>
          <w:position w:val="1"/>
        </w:rPr>
        <w:t>ile</w:t>
      </w:r>
      <w:r>
        <w:rPr>
          <w:spacing w:val="-5"/>
          <w:position w:val="1"/>
        </w:rPr>
        <w:t> </w:t>
      </w:r>
      <w:r>
        <w:rPr>
          <w:position w:val="1"/>
        </w:rPr>
        <w:t>ürün</w:t>
      </w:r>
      <w:r>
        <w:rPr>
          <w:spacing w:val="-5"/>
          <w:position w:val="1"/>
        </w:rPr>
        <w:t> </w:t>
      </w:r>
      <w:r>
        <w:rPr>
          <w:position w:val="1"/>
        </w:rPr>
        <w:t>satışı </w:t>
      </w:r>
      <w:r>
        <w:rPr/>
        <w:t>arasındaki ilişki farklılık</w:t>
      </w:r>
      <w:r>
        <w:rPr>
          <w:spacing w:val="-3"/>
        </w:rPr>
        <w:t> </w:t>
      </w:r>
      <w:r>
        <w:rPr/>
        <w:t>gösterir.</w:t>
      </w:r>
    </w:p>
    <w:p>
      <w:pPr>
        <w:pStyle w:val="BodyText"/>
        <w:spacing w:line="360" w:lineRule="auto" w:before="1"/>
        <w:ind w:left="1256" w:right="312" w:firstLine="708"/>
        <w:jc w:val="left"/>
      </w:pPr>
      <w:r>
        <w:rPr>
          <w:b/>
          <w:position w:val="1"/>
        </w:rPr>
        <w:t>H</w:t>
      </w:r>
      <w:r>
        <w:rPr>
          <w:b/>
          <w:sz w:val="16"/>
        </w:rPr>
        <w:t>9d</w:t>
      </w:r>
      <w:r>
        <w:rPr>
          <w:b/>
          <w:position w:val="1"/>
        </w:rPr>
        <w:t>: </w:t>
      </w:r>
      <w:r>
        <w:rPr>
          <w:position w:val="1"/>
        </w:rPr>
        <w:t>Koltuk ve dizüstü kategorileri için, olumsuz yorumlar ile ürün satışı </w:t>
      </w:r>
      <w:r>
        <w:rPr/>
        <w:t>arasındaki ilişki farklılık</w:t>
      </w:r>
      <w:r>
        <w:rPr>
          <w:spacing w:val="-3"/>
        </w:rPr>
        <w:t> </w:t>
      </w:r>
      <w:r>
        <w:rPr/>
        <w:t>gösterir.</w:t>
      </w:r>
    </w:p>
    <w:p>
      <w:pPr>
        <w:pStyle w:val="BodyText"/>
        <w:spacing w:line="360" w:lineRule="auto"/>
        <w:ind w:left="1256" w:right="312" w:firstLine="708"/>
        <w:jc w:val="left"/>
      </w:pPr>
      <w:r>
        <w:rPr>
          <w:b/>
          <w:position w:val="1"/>
        </w:rPr>
        <w:t>H</w:t>
      </w:r>
      <w:r>
        <w:rPr>
          <w:b/>
          <w:sz w:val="16"/>
        </w:rPr>
        <w:t>9e</w:t>
      </w:r>
      <w:r>
        <w:rPr>
          <w:b/>
          <w:position w:val="1"/>
        </w:rPr>
        <w:t>: </w:t>
      </w:r>
      <w:r>
        <w:rPr>
          <w:position w:val="1"/>
        </w:rPr>
        <w:t>Koltuk ve televizyon kategorileri için, olumsuz yorumlar ile ürün satışı </w:t>
      </w:r>
      <w:r>
        <w:rPr/>
        <w:t>arasındaki ilişki farklılık</w:t>
      </w:r>
      <w:r>
        <w:rPr>
          <w:spacing w:val="-3"/>
        </w:rPr>
        <w:t> </w:t>
      </w:r>
      <w:r>
        <w:rPr/>
        <w:t>gösterir.</w:t>
      </w:r>
    </w:p>
    <w:p>
      <w:pPr>
        <w:pStyle w:val="BodyText"/>
        <w:spacing w:line="360" w:lineRule="auto"/>
        <w:ind w:left="1256" w:firstLine="708"/>
        <w:jc w:val="left"/>
      </w:pPr>
      <w:r>
        <w:rPr>
          <w:b/>
          <w:position w:val="1"/>
        </w:rPr>
        <w:t>H</w:t>
      </w:r>
      <w:r>
        <w:rPr>
          <w:b/>
          <w:sz w:val="16"/>
        </w:rPr>
        <w:t>9f</w:t>
      </w:r>
      <w:r>
        <w:rPr>
          <w:b/>
          <w:position w:val="1"/>
        </w:rPr>
        <w:t>: </w:t>
      </w:r>
      <w:r>
        <w:rPr>
          <w:position w:val="1"/>
        </w:rPr>
        <w:t>Televizyon ve dizüstü kategorileri için, olumsuz yorumlar ile ürün satışı </w:t>
      </w:r>
      <w:r>
        <w:rPr/>
        <w:t>arasındaki ilişki farklılık</w:t>
      </w:r>
      <w:r>
        <w:rPr>
          <w:spacing w:val="-3"/>
        </w:rPr>
        <w:t> </w:t>
      </w:r>
      <w:r>
        <w:rPr/>
        <w:t>gösterir.</w:t>
      </w:r>
    </w:p>
    <w:p>
      <w:pPr>
        <w:pStyle w:val="BodyText"/>
        <w:spacing w:line="360" w:lineRule="auto"/>
        <w:ind w:right="312" w:firstLine="708"/>
        <w:jc w:val="left"/>
      </w:pPr>
      <w:r>
        <w:rPr>
          <w:b/>
          <w:position w:val="1"/>
        </w:rPr>
        <w:t>H</w:t>
      </w:r>
      <w:r>
        <w:rPr>
          <w:b/>
          <w:sz w:val="16"/>
        </w:rPr>
        <w:t>10</w:t>
      </w:r>
      <w:r>
        <w:rPr>
          <w:b/>
          <w:position w:val="1"/>
        </w:rPr>
        <w:t>: </w:t>
      </w:r>
      <w:r>
        <w:rPr>
          <w:position w:val="1"/>
        </w:rPr>
        <w:t>Ürüne dair nötr yorumlar ile ürün satışı arasındaki ilişki ürün kategorisine göre </w:t>
      </w:r>
      <w:r>
        <w:rPr/>
        <w:t>farklılık gösterir.</w:t>
      </w:r>
    </w:p>
    <w:p>
      <w:pPr>
        <w:pStyle w:val="BodyText"/>
        <w:spacing w:line="360" w:lineRule="auto" w:before="1"/>
        <w:ind w:left="1256" w:right="312" w:firstLine="708"/>
        <w:jc w:val="left"/>
      </w:pPr>
      <w:r>
        <w:rPr>
          <w:b/>
          <w:position w:val="1"/>
        </w:rPr>
        <w:t>H</w:t>
      </w:r>
      <w:r>
        <w:rPr>
          <w:b/>
          <w:sz w:val="16"/>
        </w:rPr>
        <w:t>10a</w:t>
      </w:r>
      <w:r>
        <w:rPr>
          <w:b/>
          <w:position w:val="1"/>
        </w:rPr>
        <w:t>: </w:t>
      </w:r>
      <w:r>
        <w:rPr>
          <w:position w:val="1"/>
        </w:rPr>
        <w:t>Mobilya ve dizüstü kategorileri için, nötr yorumlar ile ürün satışı </w:t>
      </w:r>
      <w:r>
        <w:rPr/>
        <w:t>arasındaki ilişki farklılık gösterir.</w:t>
      </w:r>
    </w:p>
    <w:p>
      <w:pPr>
        <w:pStyle w:val="BodyText"/>
        <w:spacing w:line="360" w:lineRule="auto"/>
        <w:ind w:left="1256" w:right="312" w:firstLine="708"/>
        <w:jc w:val="left"/>
      </w:pPr>
      <w:r>
        <w:rPr>
          <w:b/>
          <w:position w:val="1"/>
        </w:rPr>
        <w:t>H</w:t>
      </w:r>
      <w:r>
        <w:rPr>
          <w:b/>
          <w:sz w:val="16"/>
        </w:rPr>
        <w:t>10b</w:t>
      </w:r>
      <w:r>
        <w:rPr>
          <w:b/>
          <w:position w:val="1"/>
        </w:rPr>
        <w:t>: </w:t>
      </w:r>
      <w:r>
        <w:rPr>
          <w:position w:val="1"/>
        </w:rPr>
        <w:t>Mobilya ve koltuk kategorileri için, nötr yorumlar ile ürün satışı </w:t>
      </w:r>
      <w:r>
        <w:rPr/>
        <w:t>arasındaki ilişki farklılık</w:t>
      </w:r>
      <w:r>
        <w:rPr>
          <w:spacing w:val="-3"/>
        </w:rPr>
        <w:t> </w:t>
      </w:r>
      <w:r>
        <w:rPr/>
        <w:t>gösterir.</w:t>
      </w:r>
    </w:p>
    <w:p>
      <w:pPr>
        <w:pStyle w:val="BodyText"/>
        <w:spacing w:line="360" w:lineRule="auto"/>
        <w:ind w:left="1256" w:right="312" w:firstLine="708"/>
        <w:jc w:val="left"/>
      </w:pPr>
      <w:r>
        <w:rPr>
          <w:b/>
          <w:position w:val="1"/>
        </w:rPr>
        <w:t>H</w:t>
      </w:r>
      <w:r>
        <w:rPr>
          <w:b/>
          <w:sz w:val="16"/>
        </w:rPr>
        <w:t>10c</w:t>
      </w:r>
      <w:r>
        <w:rPr>
          <w:b/>
          <w:position w:val="1"/>
        </w:rPr>
        <w:t>: </w:t>
      </w:r>
      <w:r>
        <w:rPr>
          <w:position w:val="1"/>
        </w:rPr>
        <w:t>Mobilya ve televizyon kategorileri için, nötr yorumlar ile ürün satışı </w:t>
      </w:r>
      <w:r>
        <w:rPr/>
        <w:t>arasındaki ilişki farklılık</w:t>
      </w:r>
      <w:r>
        <w:rPr>
          <w:spacing w:val="-3"/>
        </w:rPr>
        <w:t> </w:t>
      </w:r>
      <w:r>
        <w:rPr/>
        <w:t>gösterir.</w:t>
      </w:r>
    </w:p>
    <w:p>
      <w:pPr>
        <w:pStyle w:val="BodyText"/>
        <w:spacing w:line="362" w:lineRule="auto"/>
        <w:ind w:left="1256" w:right="312" w:firstLine="708"/>
        <w:jc w:val="left"/>
      </w:pPr>
      <w:r>
        <w:rPr>
          <w:b/>
          <w:position w:val="1"/>
        </w:rPr>
        <w:t>H</w:t>
      </w:r>
      <w:r>
        <w:rPr>
          <w:b/>
          <w:sz w:val="16"/>
        </w:rPr>
        <w:t>10d</w:t>
      </w:r>
      <w:r>
        <w:rPr>
          <w:b/>
          <w:position w:val="1"/>
        </w:rPr>
        <w:t>: </w:t>
      </w:r>
      <w:r>
        <w:rPr>
          <w:position w:val="1"/>
        </w:rPr>
        <w:t>Koltuk ve dizüstü kategorileri için, nötr yorumlar ile ürün satışı </w:t>
      </w:r>
      <w:r>
        <w:rPr/>
        <w:t>arasındaki ilişki farklılık</w:t>
      </w:r>
      <w:r>
        <w:rPr>
          <w:spacing w:val="-3"/>
        </w:rPr>
        <w:t> </w:t>
      </w:r>
      <w:r>
        <w:rPr/>
        <w:t>gösterir.</w:t>
      </w:r>
    </w:p>
    <w:p>
      <w:pPr>
        <w:pStyle w:val="BodyText"/>
        <w:spacing w:line="362" w:lineRule="auto"/>
        <w:ind w:left="1256" w:right="312" w:firstLine="708"/>
        <w:jc w:val="left"/>
      </w:pPr>
      <w:r>
        <w:rPr>
          <w:b/>
          <w:position w:val="1"/>
        </w:rPr>
        <w:t>H</w:t>
      </w:r>
      <w:r>
        <w:rPr>
          <w:b/>
          <w:sz w:val="16"/>
        </w:rPr>
        <w:t>10e</w:t>
      </w:r>
      <w:r>
        <w:rPr>
          <w:b/>
          <w:position w:val="1"/>
        </w:rPr>
        <w:t>: </w:t>
      </w:r>
      <w:r>
        <w:rPr>
          <w:position w:val="1"/>
        </w:rPr>
        <w:t>Koltuk ve televizyon kategorileri için, nötr yorumlar ile ürün satışı </w:t>
      </w:r>
      <w:r>
        <w:rPr/>
        <w:t>arasındaki ilişki farklılık</w:t>
      </w:r>
      <w:r>
        <w:rPr>
          <w:spacing w:val="-3"/>
        </w:rPr>
        <w:t> </w:t>
      </w:r>
      <w:r>
        <w:rPr/>
        <w:t>gösterir.</w:t>
      </w:r>
    </w:p>
    <w:p>
      <w:pPr>
        <w:pStyle w:val="BodyText"/>
        <w:spacing w:line="362" w:lineRule="auto"/>
        <w:ind w:left="1256" w:right="312" w:firstLine="708"/>
        <w:jc w:val="left"/>
      </w:pPr>
      <w:r>
        <w:rPr>
          <w:b/>
          <w:position w:val="1"/>
        </w:rPr>
        <w:t>H</w:t>
      </w:r>
      <w:r>
        <w:rPr>
          <w:b/>
          <w:sz w:val="16"/>
        </w:rPr>
        <w:t>10f</w:t>
      </w:r>
      <w:r>
        <w:rPr>
          <w:b/>
          <w:position w:val="1"/>
        </w:rPr>
        <w:t>: </w:t>
      </w:r>
      <w:r>
        <w:rPr>
          <w:position w:val="1"/>
        </w:rPr>
        <w:t>Televizyon ve dizüstü kategorileri için, nötr yorumlar ile ürün satışı </w:t>
      </w:r>
      <w:r>
        <w:rPr/>
        <w:t>arasındaki ilişki farklılık</w:t>
      </w:r>
      <w:r>
        <w:rPr>
          <w:spacing w:val="-3"/>
        </w:rPr>
        <w:t> </w:t>
      </w:r>
      <w:r>
        <w:rPr/>
        <w:t>gösterir.</w:t>
      </w:r>
    </w:p>
    <w:p>
      <w:pPr>
        <w:spacing w:after="0" w:line="362" w:lineRule="auto"/>
        <w:jc w:val="left"/>
        <w:sectPr>
          <w:pgSz w:w="12240" w:h="15840"/>
          <w:pgMar w:header="718" w:footer="0" w:top="1300" w:bottom="280" w:left="1720" w:right="820"/>
        </w:sectPr>
      </w:pPr>
    </w:p>
    <w:p>
      <w:pPr>
        <w:pStyle w:val="Heading1"/>
        <w:numPr>
          <w:ilvl w:val="2"/>
          <w:numId w:val="2"/>
        </w:numPr>
        <w:tabs>
          <w:tab w:pos="1857" w:val="left" w:leader="none"/>
        </w:tabs>
        <w:spacing w:line="240" w:lineRule="auto" w:before="100" w:after="0"/>
        <w:ind w:left="1856" w:right="0" w:hanging="601"/>
        <w:jc w:val="both"/>
      </w:pPr>
      <w:r>
        <w:rPr/>
        <w:t>Veri Seti</w:t>
      </w:r>
    </w:p>
    <w:p>
      <w:pPr>
        <w:pStyle w:val="BodyText"/>
        <w:spacing w:line="360" w:lineRule="auto" w:before="137"/>
        <w:ind w:right="307" w:firstLine="708"/>
      </w:pPr>
      <w:r>
        <w:rPr/>
        <w:pict>
          <v:group style="position:absolute;margin-left:114.644997pt;margin-top:215.148132pt;width:384.1pt;height:375.15pt;mso-position-horizontal-relative:page;mso-position-vertical-relative:paragraph;z-index:-15709696;mso-wrap-distance-left:0;mso-wrap-distance-right:0" coordorigin="2293,4303" coordsize="7682,7503">
            <v:shape style="position:absolute;left:2305;top:4418;width:7599;height:7140" type="#_x0000_t75" stroked="false">
              <v:imagedata r:id="rId24" o:title=""/>
            </v:shape>
            <v:rect style="position:absolute;left:2295;top:4305;width:7677;height:7498" filled="false" stroked="true" strokeweight=".25pt" strokecolor="#000000">
              <v:stroke dashstyle="solid"/>
            </v:rect>
            <w10:wrap type="topAndBottom"/>
          </v:group>
        </w:pict>
      </w:r>
      <w:r>
        <w:rPr/>
        <w:t>Online</w:t>
      </w:r>
      <w:r>
        <w:rPr>
          <w:spacing w:val="-9"/>
        </w:rPr>
        <w:t> </w:t>
      </w:r>
      <w:r>
        <w:rPr/>
        <w:t>perakendeci</w:t>
      </w:r>
      <w:r>
        <w:rPr>
          <w:spacing w:val="-7"/>
        </w:rPr>
        <w:t> </w:t>
      </w:r>
      <w:r>
        <w:rPr/>
        <w:t>sayfasında</w:t>
      </w:r>
      <w:r>
        <w:rPr>
          <w:spacing w:val="-8"/>
        </w:rPr>
        <w:t> </w:t>
      </w:r>
      <w:r>
        <w:rPr/>
        <w:t>yer</w:t>
      </w:r>
      <w:r>
        <w:rPr>
          <w:spacing w:val="-6"/>
        </w:rPr>
        <w:t> </w:t>
      </w:r>
      <w:r>
        <w:rPr/>
        <w:t>alan</w:t>
      </w:r>
      <w:r>
        <w:rPr>
          <w:spacing w:val="-6"/>
        </w:rPr>
        <w:t> </w:t>
      </w:r>
      <w:r>
        <w:rPr/>
        <w:t>tüketici</w:t>
      </w:r>
      <w:r>
        <w:rPr>
          <w:spacing w:val="-7"/>
        </w:rPr>
        <w:t> </w:t>
      </w:r>
      <w:r>
        <w:rPr/>
        <w:t>yorumlarının</w:t>
      </w:r>
      <w:r>
        <w:rPr>
          <w:spacing w:val="-7"/>
        </w:rPr>
        <w:t> </w:t>
      </w:r>
      <w:r>
        <w:rPr/>
        <w:t>ürün</w:t>
      </w:r>
      <w:r>
        <w:rPr>
          <w:spacing w:val="-8"/>
        </w:rPr>
        <w:t> </w:t>
      </w:r>
      <w:r>
        <w:rPr/>
        <w:t>satışlarına</w:t>
      </w:r>
      <w:r>
        <w:rPr>
          <w:spacing w:val="-8"/>
        </w:rPr>
        <w:t> </w:t>
      </w:r>
      <w:r>
        <w:rPr/>
        <w:t>etkisini ve bu etkinin ürün gruplarına göre farklılaşıp farklılaşmadığını araştırmayı amaçlayan bu çalışmanın örneklemi için, literatürde de sıklıkla tercih edilen (bk. Bölüm 2.1.3.), Amazon.com seçilmiştir. Amazon.com’dan veriler Temmuz 2017 ile Şubat 2018 arasında haftalık olarak toplanmıştır. Veri toplama işlemi için, Pamukkale Üniversitesi Bilgi İşlem Daire</w:t>
      </w:r>
      <w:r>
        <w:rPr>
          <w:spacing w:val="-6"/>
        </w:rPr>
        <w:t> </w:t>
      </w:r>
      <w:r>
        <w:rPr/>
        <w:t>Başkanlığı’nda</w:t>
      </w:r>
      <w:r>
        <w:rPr>
          <w:spacing w:val="-5"/>
        </w:rPr>
        <w:t> </w:t>
      </w:r>
      <w:r>
        <w:rPr/>
        <w:t>çalışan</w:t>
      </w:r>
      <w:r>
        <w:rPr>
          <w:spacing w:val="-4"/>
        </w:rPr>
        <w:t> </w:t>
      </w:r>
      <w:r>
        <w:rPr/>
        <w:t>bir</w:t>
      </w:r>
      <w:r>
        <w:rPr>
          <w:spacing w:val="-5"/>
        </w:rPr>
        <w:t> </w:t>
      </w:r>
      <w:r>
        <w:rPr/>
        <w:t>uzmana,</w:t>
      </w:r>
      <w:r>
        <w:rPr>
          <w:spacing w:val="-4"/>
        </w:rPr>
        <w:t> </w:t>
      </w:r>
      <w:r>
        <w:rPr/>
        <w:t>bu</w:t>
      </w:r>
      <w:r>
        <w:rPr>
          <w:spacing w:val="-4"/>
        </w:rPr>
        <w:t> </w:t>
      </w:r>
      <w:r>
        <w:rPr/>
        <w:t>çalışma</w:t>
      </w:r>
      <w:r>
        <w:rPr>
          <w:spacing w:val="-4"/>
        </w:rPr>
        <w:t> </w:t>
      </w:r>
      <w:r>
        <w:rPr/>
        <w:t>için</w:t>
      </w:r>
      <w:r>
        <w:rPr>
          <w:spacing w:val="-5"/>
        </w:rPr>
        <w:t> </w:t>
      </w:r>
      <w:r>
        <w:rPr/>
        <w:t>özel</w:t>
      </w:r>
      <w:r>
        <w:rPr>
          <w:spacing w:val="-3"/>
        </w:rPr>
        <w:t> </w:t>
      </w:r>
      <w:r>
        <w:rPr/>
        <w:t>bir</w:t>
      </w:r>
      <w:r>
        <w:rPr>
          <w:spacing w:val="-4"/>
        </w:rPr>
        <w:t> </w:t>
      </w:r>
      <w:r>
        <w:rPr/>
        <w:t>web</w:t>
      </w:r>
      <w:r>
        <w:rPr>
          <w:spacing w:val="-5"/>
        </w:rPr>
        <w:t> </w:t>
      </w:r>
      <w:r>
        <w:rPr/>
        <w:t>kazıma</w:t>
      </w:r>
      <w:r>
        <w:rPr>
          <w:spacing w:val="-4"/>
        </w:rPr>
        <w:t> </w:t>
      </w:r>
      <w:r>
        <w:rPr/>
        <w:t>(</w:t>
      </w:r>
      <w:r>
        <w:rPr>
          <w:i/>
        </w:rPr>
        <w:t>web</w:t>
      </w:r>
      <w:r>
        <w:rPr>
          <w:i/>
          <w:spacing w:val="-4"/>
        </w:rPr>
        <w:t> </w:t>
      </w:r>
      <w:r>
        <w:rPr>
          <w:i/>
        </w:rPr>
        <w:t>scraper</w:t>
      </w:r>
      <w:r>
        <w:rPr/>
        <w:t>) programı hazırlatılmıştır. Bu program, ürün sayfasından satış sıralaması, toplam yorum sayısı, ortalama değerlendirme puanı, değerlendirme puanlarının (yıldızların) yüzde dağılımı,</w:t>
      </w:r>
      <w:r>
        <w:rPr>
          <w:spacing w:val="-12"/>
        </w:rPr>
        <w:t> </w:t>
      </w:r>
      <w:r>
        <w:rPr/>
        <w:t>satış</w:t>
      </w:r>
      <w:r>
        <w:rPr>
          <w:spacing w:val="-11"/>
        </w:rPr>
        <w:t> </w:t>
      </w:r>
      <w:r>
        <w:rPr/>
        <w:t>fiyatı</w:t>
      </w:r>
      <w:r>
        <w:rPr>
          <w:spacing w:val="-12"/>
        </w:rPr>
        <w:t> </w:t>
      </w:r>
      <w:r>
        <w:rPr/>
        <w:t>ve</w:t>
      </w:r>
      <w:r>
        <w:rPr>
          <w:spacing w:val="-13"/>
        </w:rPr>
        <w:t> </w:t>
      </w:r>
      <w:r>
        <w:rPr/>
        <w:t>indirim</w:t>
      </w:r>
      <w:r>
        <w:rPr>
          <w:spacing w:val="-11"/>
        </w:rPr>
        <w:t> </w:t>
      </w:r>
      <w:r>
        <w:rPr/>
        <w:t>oranı</w:t>
      </w:r>
      <w:r>
        <w:rPr>
          <w:spacing w:val="-11"/>
        </w:rPr>
        <w:t> </w:t>
      </w:r>
      <w:r>
        <w:rPr/>
        <w:t>bilgilerini</w:t>
      </w:r>
      <w:r>
        <w:rPr>
          <w:spacing w:val="-14"/>
        </w:rPr>
        <w:t> </w:t>
      </w:r>
      <w:r>
        <w:rPr/>
        <w:t>toplayacak</w:t>
      </w:r>
      <w:r>
        <w:rPr>
          <w:spacing w:val="-11"/>
        </w:rPr>
        <w:t> </w:t>
      </w:r>
      <w:r>
        <w:rPr/>
        <w:t>şekilde</w:t>
      </w:r>
      <w:r>
        <w:rPr>
          <w:spacing w:val="-12"/>
        </w:rPr>
        <w:t> </w:t>
      </w:r>
      <w:r>
        <w:rPr/>
        <w:t>tasarlanmıştır.</w:t>
      </w:r>
      <w:r>
        <w:rPr>
          <w:spacing w:val="-11"/>
        </w:rPr>
        <w:t> </w:t>
      </w:r>
      <w:r>
        <w:rPr/>
        <w:t>Şekil</w:t>
      </w:r>
      <w:r>
        <w:rPr>
          <w:spacing w:val="-10"/>
        </w:rPr>
        <w:t> </w:t>
      </w:r>
      <w:r>
        <w:rPr/>
        <w:t>10’da programın topladığı bu bilgilerin bir ürün sayfasındaki konumları</w:t>
      </w:r>
      <w:r>
        <w:rPr>
          <w:spacing w:val="-5"/>
        </w:rPr>
        <w:t> </w:t>
      </w:r>
      <w:r>
        <w:rPr/>
        <w:t>sunulmuştur.</w:t>
      </w:r>
    </w:p>
    <w:p>
      <w:pPr>
        <w:pStyle w:val="BodyText"/>
        <w:spacing w:before="3"/>
        <w:jc w:val="left"/>
      </w:pPr>
      <w:r>
        <w:rPr>
          <w:b/>
        </w:rPr>
        <w:t>Şekil 10</w:t>
      </w:r>
      <w:r>
        <w:rPr/>
        <w:t>: Amazon.com’daki bir ürün sayfasından toplanan bilgiler</w:t>
      </w:r>
    </w:p>
    <w:p>
      <w:pPr>
        <w:spacing w:after="0"/>
        <w:jc w:val="left"/>
        <w:sectPr>
          <w:pgSz w:w="12240" w:h="15840"/>
          <w:pgMar w:header="718" w:footer="0" w:top="1300" w:bottom="280" w:left="1720" w:right="820"/>
        </w:sectPr>
      </w:pPr>
    </w:p>
    <w:p>
      <w:pPr>
        <w:pStyle w:val="BodyText"/>
        <w:spacing w:line="360" w:lineRule="auto" w:before="100"/>
        <w:ind w:right="309" w:firstLine="708"/>
      </w:pPr>
      <w:r>
        <w:rPr/>
        <w:t>Örneklem</w:t>
      </w:r>
      <w:r>
        <w:rPr>
          <w:spacing w:val="-13"/>
        </w:rPr>
        <w:t> </w:t>
      </w:r>
      <w:r>
        <w:rPr/>
        <w:t>oluşturulurken,</w:t>
      </w:r>
      <w:r>
        <w:rPr>
          <w:spacing w:val="-13"/>
        </w:rPr>
        <w:t> </w:t>
      </w:r>
      <w:r>
        <w:rPr/>
        <w:t>ilk</w:t>
      </w:r>
      <w:r>
        <w:rPr>
          <w:spacing w:val="-13"/>
        </w:rPr>
        <w:t> </w:t>
      </w:r>
      <w:r>
        <w:rPr/>
        <w:t>etapta,</w:t>
      </w:r>
      <w:r>
        <w:rPr>
          <w:spacing w:val="-12"/>
        </w:rPr>
        <w:t> </w:t>
      </w:r>
      <w:r>
        <w:rPr/>
        <w:t>kolayda</w:t>
      </w:r>
      <w:r>
        <w:rPr>
          <w:spacing w:val="-14"/>
        </w:rPr>
        <w:t> </w:t>
      </w:r>
      <w:r>
        <w:rPr/>
        <w:t>örneklem</w:t>
      </w:r>
      <w:r>
        <w:rPr>
          <w:spacing w:val="-13"/>
        </w:rPr>
        <w:t> </w:t>
      </w:r>
      <w:r>
        <w:rPr/>
        <w:t>yoluyla</w:t>
      </w:r>
      <w:r>
        <w:rPr>
          <w:spacing w:val="-13"/>
        </w:rPr>
        <w:t> </w:t>
      </w:r>
      <w:r>
        <w:rPr/>
        <w:t>her</w:t>
      </w:r>
      <w:r>
        <w:rPr>
          <w:spacing w:val="-14"/>
        </w:rPr>
        <w:t> </w:t>
      </w:r>
      <w:r>
        <w:rPr/>
        <w:t>bir</w:t>
      </w:r>
      <w:r>
        <w:rPr>
          <w:spacing w:val="-12"/>
        </w:rPr>
        <w:t> </w:t>
      </w:r>
      <w:r>
        <w:rPr/>
        <w:t>ürün</w:t>
      </w:r>
      <w:r>
        <w:rPr>
          <w:spacing w:val="-14"/>
        </w:rPr>
        <w:t> </w:t>
      </w:r>
      <w:r>
        <w:rPr/>
        <w:t>kategorisi için 80 ürün seçilmiş ve 52 haftalık veri toplanması planlanmıştır. Ancak, veri toplama sürecinde</w:t>
      </w:r>
      <w:r>
        <w:rPr>
          <w:spacing w:val="-15"/>
        </w:rPr>
        <w:t> </w:t>
      </w:r>
      <w:r>
        <w:rPr/>
        <w:t>ürünlerin</w:t>
      </w:r>
      <w:r>
        <w:rPr>
          <w:spacing w:val="-15"/>
        </w:rPr>
        <w:t> </w:t>
      </w:r>
      <w:r>
        <w:rPr/>
        <w:t>satışına</w:t>
      </w:r>
      <w:r>
        <w:rPr>
          <w:spacing w:val="-15"/>
        </w:rPr>
        <w:t> </w:t>
      </w:r>
      <w:r>
        <w:rPr/>
        <w:t>bir</w:t>
      </w:r>
      <w:r>
        <w:rPr>
          <w:spacing w:val="-16"/>
        </w:rPr>
        <w:t> </w:t>
      </w:r>
      <w:r>
        <w:rPr/>
        <w:t>süre</w:t>
      </w:r>
      <w:r>
        <w:rPr>
          <w:spacing w:val="-16"/>
        </w:rPr>
        <w:t> </w:t>
      </w:r>
      <w:r>
        <w:rPr/>
        <w:t>ara</w:t>
      </w:r>
      <w:r>
        <w:rPr>
          <w:spacing w:val="-18"/>
        </w:rPr>
        <w:t> </w:t>
      </w:r>
      <w:r>
        <w:rPr/>
        <w:t>verilebildiği</w:t>
      </w:r>
      <w:r>
        <w:rPr>
          <w:spacing w:val="-15"/>
        </w:rPr>
        <w:t> </w:t>
      </w:r>
      <w:r>
        <w:rPr/>
        <w:t>ve</w:t>
      </w:r>
      <w:r>
        <w:rPr>
          <w:spacing w:val="-16"/>
        </w:rPr>
        <w:t> </w:t>
      </w:r>
      <w:r>
        <w:rPr/>
        <w:t>ürünlerin</w:t>
      </w:r>
      <w:r>
        <w:rPr>
          <w:spacing w:val="-17"/>
        </w:rPr>
        <w:t> </w:t>
      </w:r>
      <w:r>
        <w:rPr/>
        <w:t>satışlarının</w:t>
      </w:r>
      <w:r>
        <w:rPr>
          <w:spacing w:val="-16"/>
        </w:rPr>
        <w:t> </w:t>
      </w:r>
      <w:r>
        <w:rPr/>
        <w:t>durdurulabildiği gözlemlenmiştir. Bu sebeple 40. hafta sonunda veri toplama işlemine son verilmiştir. Süreç içerisinde hiç yorum almamış, satışına ara verilmiş veya satıştan kaldırılmış ürünler örneklemden</w:t>
      </w:r>
      <w:r>
        <w:rPr>
          <w:spacing w:val="-8"/>
        </w:rPr>
        <w:t> </w:t>
      </w:r>
      <w:r>
        <w:rPr/>
        <w:t>çıkarılmıştır.</w:t>
      </w:r>
      <w:r>
        <w:rPr>
          <w:spacing w:val="-10"/>
        </w:rPr>
        <w:t> </w:t>
      </w:r>
      <w:r>
        <w:rPr/>
        <w:t>Ayrıca,</w:t>
      </w:r>
      <w:r>
        <w:rPr>
          <w:spacing w:val="-11"/>
        </w:rPr>
        <w:t> </w:t>
      </w:r>
      <w:r>
        <w:rPr/>
        <w:t>süreç</w:t>
      </w:r>
      <w:r>
        <w:rPr>
          <w:spacing w:val="-11"/>
        </w:rPr>
        <w:t> </w:t>
      </w:r>
      <w:r>
        <w:rPr/>
        <w:t>başlangıcında</w:t>
      </w:r>
      <w:r>
        <w:rPr>
          <w:spacing w:val="-10"/>
        </w:rPr>
        <w:t> </w:t>
      </w:r>
      <w:r>
        <w:rPr/>
        <w:t>ve</w:t>
      </w:r>
      <w:r>
        <w:rPr>
          <w:spacing w:val="-11"/>
        </w:rPr>
        <w:t> </w:t>
      </w:r>
      <w:r>
        <w:rPr/>
        <w:t>sonunda</w:t>
      </w:r>
      <w:r>
        <w:rPr>
          <w:spacing w:val="-9"/>
        </w:rPr>
        <w:t> </w:t>
      </w:r>
      <w:r>
        <w:rPr/>
        <w:t>toplam</w:t>
      </w:r>
      <w:r>
        <w:rPr>
          <w:spacing w:val="-9"/>
        </w:rPr>
        <w:t> </w:t>
      </w:r>
      <w:r>
        <w:rPr/>
        <w:t>9</w:t>
      </w:r>
      <w:r>
        <w:rPr>
          <w:spacing w:val="-8"/>
        </w:rPr>
        <w:t> </w:t>
      </w:r>
      <w:r>
        <w:rPr/>
        <w:t>haftalık</w:t>
      </w:r>
      <w:r>
        <w:rPr>
          <w:spacing w:val="-11"/>
        </w:rPr>
        <w:t> </w:t>
      </w:r>
      <w:r>
        <w:rPr/>
        <w:t>periyod için programın çok sayıda ürüne ait sağlıklı veri toplayamaması nedeniyle bu 9 haftalık veriler de örneklemden çıkarılmıştır. Süreç sonunda, dört ürün kategorisinden (mobilya, koltuk, televizyon ve dizüstü bilgisayar) toplam 161 ürüne ait 31 haftalık veri örnekleme dahil edilmiştir. Örneklemde en fazla ürün mobilya grubuna aittir (n=72) ve onu sırasıyla dizüstü bilgisayar (n=40), televizyon (n=31) ve koltuk (n=18) grupları izlemektedir. Veri seti, her bir ürün için satış sıralaması, toplam yorum sayısı, ortalama değerlendirme puanı, değerlendirme puanlarının (yıldızların) yüzde dağılımı, satış fiyatı ve indirim oranı bilgilerinden oluşmaktadır. Tablo 5’te verilerin ürün kategorisi bazında tanımlayıcı istatistikleri sunulmuştur. Tablo 5’teki tanımlayıcı istatistik değerleri ilgili ürün kategorisindeki tüm verilere (ürün sayısı*hafta sayısı) aittir. Örneğin, mobilya kategorisindeki satış sıralaması için 2232 (72x31) veri bulunmaktadır. Mobilya kategorisinde,</w:t>
      </w:r>
      <w:r>
        <w:rPr>
          <w:spacing w:val="-17"/>
        </w:rPr>
        <w:t> </w:t>
      </w:r>
      <w:r>
        <w:rPr/>
        <w:t>satış</w:t>
      </w:r>
      <w:r>
        <w:rPr>
          <w:spacing w:val="-16"/>
        </w:rPr>
        <w:t> </w:t>
      </w:r>
      <w:r>
        <w:rPr/>
        <w:t>sıralamasına</w:t>
      </w:r>
      <w:r>
        <w:rPr>
          <w:spacing w:val="-17"/>
        </w:rPr>
        <w:t> </w:t>
      </w:r>
      <w:r>
        <w:rPr/>
        <w:t>ait</w:t>
      </w:r>
      <w:r>
        <w:rPr>
          <w:spacing w:val="-16"/>
        </w:rPr>
        <w:t> </w:t>
      </w:r>
      <w:r>
        <w:rPr/>
        <w:t>istatistik</w:t>
      </w:r>
      <w:r>
        <w:rPr>
          <w:spacing w:val="-16"/>
        </w:rPr>
        <w:t> </w:t>
      </w:r>
      <w:r>
        <w:rPr/>
        <w:t>değerleri</w:t>
      </w:r>
      <w:r>
        <w:rPr>
          <w:spacing w:val="-15"/>
        </w:rPr>
        <w:t> </w:t>
      </w:r>
      <w:r>
        <w:rPr/>
        <w:t>bu</w:t>
      </w:r>
      <w:r>
        <w:rPr>
          <w:spacing w:val="-16"/>
        </w:rPr>
        <w:t> </w:t>
      </w:r>
      <w:r>
        <w:rPr/>
        <w:t>2232</w:t>
      </w:r>
      <w:r>
        <w:rPr>
          <w:spacing w:val="-17"/>
        </w:rPr>
        <w:t> </w:t>
      </w:r>
      <w:r>
        <w:rPr/>
        <w:t>veriye</w:t>
      </w:r>
      <w:r>
        <w:rPr>
          <w:spacing w:val="-17"/>
        </w:rPr>
        <w:t> </w:t>
      </w:r>
      <w:r>
        <w:rPr/>
        <w:t>aittir.</w:t>
      </w:r>
      <w:r>
        <w:rPr>
          <w:spacing w:val="-14"/>
        </w:rPr>
        <w:t> </w:t>
      </w:r>
      <w:r>
        <w:rPr/>
        <w:t>Örneğin,</w:t>
      </w:r>
      <w:r>
        <w:rPr>
          <w:spacing w:val="-15"/>
        </w:rPr>
        <w:t> </w:t>
      </w:r>
      <w:r>
        <w:rPr/>
        <w:t>bu</w:t>
      </w:r>
      <w:r>
        <w:rPr>
          <w:spacing w:val="-17"/>
        </w:rPr>
        <w:t> </w:t>
      </w:r>
      <w:r>
        <w:rPr/>
        <w:t>2232 satış sıralaması verisinin en küçüğü 5989’dur. Yine, mobilya kategorisinde, satış sıralaması verilerinin medyanı 581817, aritmetik ortalaması 1137031,97 ve standart sapması 1278154,45’dir.</w:t>
      </w:r>
    </w:p>
    <w:p>
      <w:pPr>
        <w:spacing w:after="0" w:line="360" w:lineRule="auto"/>
        <w:sectPr>
          <w:pgSz w:w="12240" w:h="15840"/>
          <w:pgMar w:header="718" w:footer="0" w:top="1300" w:bottom="280" w:left="1720" w:right="820"/>
        </w:sectPr>
      </w:pPr>
    </w:p>
    <w:p>
      <w:pPr>
        <w:pStyle w:val="BodyText"/>
        <w:spacing w:before="100"/>
        <w:jc w:val="left"/>
      </w:pPr>
      <w:r>
        <w:rPr>
          <w:b/>
        </w:rPr>
        <w:t>Tablo 5: </w:t>
      </w:r>
      <w:r>
        <w:rPr/>
        <w:t>Amazon verilerinin tanımlayıcı istatistikleri</w:t>
      </w:r>
    </w:p>
    <w:p>
      <w:pPr>
        <w:pStyle w:val="BodyText"/>
        <w:spacing w:before="2" w:after="1"/>
        <w:ind w:left="0"/>
        <w:jc w:val="left"/>
        <w:rPr>
          <w:sz w:val="12"/>
        </w:rPr>
      </w:pPr>
    </w:p>
    <w:tbl>
      <w:tblPr>
        <w:tblW w:w="0" w:type="auto"/>
        <w:jc w:val="left"/>
        <w:tblInd w:w="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3"/>
        <w:gridCol w:w="1903"/>
        <w:gridCol w:w="550"/>
        <w:gridCol w:w="887"/>
        <w:gridCol w:w="1037"/>
        <w:gridCol w:w="948"/>
        <w:gridCol w:w="1163"/>
        <w:gridCol w:w="1291"/>
      </w:tblGrid>
      <w:tr>
        <w:trPr>
          <w:trHeight w:val="414" w:hRule="atLeast"/>
        </w:trPr>
        <w:tc>
          <w:tcPr>
            <w:tcW w:w="1133" w:type="dxa"/>
            <w:tcBorders>
              <w:top w:val="single" w:sz="8" w:space="0" w:color="000000"/>
              <w:bottom w:val="single" w:sz="8" w:space="0" w:color="000000"/>
            </w:tcBorders>
          </w:tcPr>
          <w:p>
            <w:pPr>
              <w:pStyle w:val="TableParagraph"/>
              <w:spacing w:line="206" w:lineRule="exact" w:before="2"/>
              <w:ind w:left="108" w:right="245"/>
              <w:rPr>
                <w:b/>
                <w:sz w:val="18"/>
              </w:rPr>
            </w:pPr>
            <w:r>
              <w:rPr>
                <w:b/>
                <w:sz w:val="18"/>
              </w:rPr>
              <w:t>Ürün kategorisi</w:t>
            </w:r>
          </w:p>
        </w:tc>
        <w:tc>
          <w:tcPr>
            <w:tcW w:w="1903" w:type="dxa"/>
            <w:tcBorders>
              <w:top w:val="single" w:sz="8" w:space="0" w:color="000000"/>
              <w:bottom w:val="single" w:sz="8" w:space="0" w:color="000000"/>
            </w:tcBorders>
          </w:tcPr>
          <w:p>
            <w:pPr>
              <w:pStyle w:val="TableParagraph"/>
              <w:ind w:left="0"/>
              <w:rPr>
                <w:sz w:val="18"/>
              </w:rPr>
            </w:pPr>
          </w:p>
        </w:tc>
        <w:tc>
          <w:tcPr>
            <w:tcW w:w="550" w:type="dxa"/>
            <w:tcBorders>
              <w:top w:val="single" w:sz="8" w:space="0" w:color="000000"/>
              <w:bottom w:val="single" w:sz="8" w:space="0" w:color="000000"/>
            </w:tcBorders>
          </w:tcPr>
          <w:p>
            <w:pPr>
              <w:pStyle w:val="TableParagraph"/>
              <w:spacing w:line="207" w:lineRule="exact"/>
              <w:ind w:left="192"/>
              <w:rPr>
                <w:b/>
                <w:sz w:val="18"/>
              </w:rPr>
            </w:pPr>
            <w:r>
              <w:rPr>
                <w:b/>
                <w:w w:val="99"/>
                <w:sz w:val="18"/>
              </w:rPr>
              <w:t>N</w:t>
            </w:r>
          </w:p>
        </w:tc>
        <w:tc>
          <w:tcPr>
            <w:tcW w:w="887" w:type="dxa"/>
            <w:tcBorders>
              <w:top w:val="single" w:sz="8" w:space="0" w:color="000000"/>
              <w:bottom w:val="single" w:sz="8" w:space="0" w:color="000000"/>
            </w:tcBorders>
          </w:tcPr>
          <w:p>
            <w:pPr>
              <w:pStyle w:val="TableParagraph"/>
              <w:spacing w:line="207" w:lineRule="exact"/>
              <w:ind w:left="225"/>
              <w:rPr>
                <w:b/>
                <w:sz w:val="18"/>
              </w:rPr>
            </w:pPr>
            <w:r>
              <w:rPr>
                <w:b/>
                <w:sz w:val="18"/>
              </w:rPr>
              <w:t>Min.</w:t>
            </w:r>
          </w:p>
        </w:tc>
        <w:tc>
          <w:tcPr>
            <w:tcW w:w="1037" w:type="dxa"/>
            <w:tcBorders>
              <w:top w:val="single" w:sz="8" w:space="0" w:color="000000"/>
              <w:bottom w:val="single" w:sz="8" w:space="0" w:color="000000"/>
            </w:tcBorders>
          </w:tcPr>
          <w:p>
            <w:pPr>
              <w:pStyle w:val="TableParagraph"/>
              <w:spacing w:line="207" w:lineRule="exact"/>
              <w:ind w:left="164"/>
              <w:rPr>
                <w:b/>
                <w:sz w:val="18"/>
              </w:rPr>
            </w:pPr>
            <w:r>
              <w:rPr>
                <w:b/>
                <w:sz w:val="18"/>
              </w:rPr>
              <w:t>Maks.</w:t>
            </w:r>
          </w:p>
        </w:tc>
        <w:tc>
          <w:tcPr>
            <w:tcW w:w="948" w:type="dxa"/>
            <w:tcBorders>
              <w:top w:val="single" w:sz="8" w:space="0" w:color="000000"/>
              <w:bottom w:val="single" w:sz="8" w:space="0" w:color="000000"/>
            </w:tcBorders>
          </w:tcPr>
          <w:p>
            <w:pPr>
              <w:pStyle w:val="TableParagraph"/>
              <w:spacing w:line="207" w:lineRule="exact"/>
              <w:ind w:left="150"/>
              <w:rPr>
                <w:b/>
                <w:sz w:val="18"/>
              </w:rPr>
            </w:pPr>
            <w:r>
              <w:rPr>
                <w:b/>
                <w:sz w:val="18"/>
              </w:rPr>
              <w:t>Medyan</w:t>
            </w:r>
          </w:p>
        </w:tc>
        <w:tc>
          <w:tcPr>
            <w:tcW w:w="1163" w:type="dxa"/>
            <w:tcBorders>
              <w:top w:val="single" w:sz="8" w:space="0" w:color="000000"/>
              <w:bottom w:val="single" w:sz="8" w:space="0" w:color="000000"/>
            </w:tcBorders>
          </w:tcPr>
          <w:p>
            <w:pPr>
              <w:pStyle w:val="TableParagraph"/>
              <w:spacing w:line="206" w:lineRule="exact" w:before="2"/>
              <w:ind w:left="164" w:right="219"/>
              <w:rPr>
                <w:b/>
                <w:sz w:val="18"/>
              </w:rPr>
            </w:pPr>
            <w:r>
              <w:rPr>
                <w:b/>
                <w:sz w:val="18"/>
              </w:rPr>
              <w:t>Aritmetik Ortalama</w:t>
            </w:r>
          </w:p>
        </w:tc>
        <w:tc>
          <w:tcPr>
            <w:tcW w:w="1291" w:type="dxa"/>
            <w:tcBorders>
              <w:top w:val="single" w:sz="8" w:space="0" w:color="000000"/>
              <w:bottom w:val="single" w:sz="8" w:space="0" w:color="000000"/>
            </w:tcBorders>
          </w:tcPr>
          <w:p>
            <w:pPr>
              <w:pStyle w:val="TableParagraph"/>
              <w:spacing w:line="207" w:lineRule="exact"/>
              <w:ind w:left="144"/>
              <w:rPr>
                <w:b/>
                <w:sz w:val="18"/>
              </w:rPr>
            </w:pPr>
            <w:r>
              <w:rPr>
                <w:b/>
                <w:sz w:val="18"/>
              </w:rPr>
              <w:t>Std. Sapma</w:t>
            </w:r>
          </w:p>
        </w:tc>
      </w:tr>
      <w:tr>
        <w:trPr>
          <w:trHeight w:val="205" w:hRule="atLeast"/>
        </w:trPr>
        <w:tc>
          <w:tcPr>
            <w:tcW w:w="1133" w:type="dxa"/>
            <w:tcBorders>
              <w:top w:val="single" w:sz="8" w:space="0" w:color="000000"/>
            </w:tcBorders>
          </w:tcPr>
          <w:p>
            <w:pPr>
              <w:pStyle w:val="TableParagraph"/>
              <w:ind w:left="0"/>
              <w:rPr>
                <w:sz w:val="14"/>
              </w:rPr>
            </w:pPr>
          </w:p>
        </w:tc>
        <w:tc>
          <w:tcPr>
            <w:tcW w:w="1903" w:type="dxa"/>
            <w:tcBorders>
              <w:top w:val="single" w:sz="8" w:space="0" w:color="000000"/>
              <w:bottom w:val="single" w:sz="4" w:space="0" w:color="7E7E7E"/>
            </w:tcBorders>
          </w:tcPr>
          <w:p>
            <w:pPr>
              <w:pStyle w:val="TableParagraph"/>
              <w:spacing w:line="186" w:lineRule="exact"/>
              <w:rPr>
                <w:sz w:val="18"/>
              </w:rPr>
            </w:pPr>
            <w:r>
              <w:rPr>
                <w:sz w:val="18"/>
              </w:rPr>
              <w:t>Ürün</w:t>
            </w:r>
          </w:p>
        </w:tc>
        <w:tc>
          <w:tcPr>
            <w:tcW w:w="550" w:type="dxa"/>
            <w:tcBorders>
              <w:top w:val="single" w:sz="8" w:space="0" w:color="000000"/>
              <w:bottom w:val="single" w:sz="4" w:space="0" w:color="7E7E7E"/>
            </w:tcBorders>
          </w:tcPr>
          <w:p>
            <w:pPr>
              <w:pStyle w:val="TableParagraph"/>
              <w:spacing w:line="186" w:lineRule="exact"/>
              <w:ind w:left="192"/>
              <w:rPr>
                <w:sz w:val="18"/>
              </w:rPr>
            </w:pPr>
            <w:r>
              <w:rPr>
                <w:sz w:val="18"/>
              </w:rPr>
              <w:t>72</w:t>
            </w:r>
          </w:p>
        </w:tc>
        <w:tc>
          <w:tcPr>
            <w:tcW w:w="887" w:type="dxa"/>
            <w:tcBorders>
              <w:top w:val="single" w:sz="8" w:space="0" w:color="000000"/>
              <w:bottom w:val="single" w:sz="4" w:space="0" w:color="7E7E7E"/>
            </w:tcBorders>
          </w:tcPr>
          <w:p>
            <w:pPr>
              <w:pStyle w:val="TableParagraph"/>
              <w:ind w:left="0"/>
              <w:rPr>
                <w:sz w:val="14"/>
              </w:rPr>
            </w:pPr>
          </w:p>
        </w:tc>
        <w:tc>
          <w:tcPr>
            <w:tcW w:w="1037" w:type="dxa"/>
            <w:tcBorders>
              <w:top w:val="single" w:sz="8" w:space="0" w:color="000000"/>
              <w:bottom w:val="single" w:sz="4" w:space="0" w:color="7E7E7E"/>
            </w:tcBorders>
          </w:tcPr>
          <w:p>
            <w:pPr>
              <w:pStyle w:val="TableParagraph"/>
              <w:ind w:left="0"/>
              <w:rPr>
                <w:sz w:val="14"/>
              </w:rPr>
            </w:pPr>
          </w:p>
        </w:tc>
        <w:tc>
          <w:tcPr>
            <w:tcW w:w="948" w:type="dxa"/>
            <w:tcBorders>
              <w:top w:val="single" w:sz="8" w:space="0" w:color="000000"/>
              <w:bottom w:val="single" w:sz="4" w:space="0" w:color="7E7E7E"/>
            </w:tcBorders>
          </w:tcPr>
          <w:p>
            <w:pPr>
              <w:pStyle w:val="TableParagraph"/>
              <w:ind w:left="0"/>
              <w:rPr>
                <w:sz w:val="14"/>
              </w:rPr>
            </w:pPr>
          </w:p>
        </w:tc>
        <w:tc>
          <w:tcPr>
            <w:tcW w:w="1163" w:type="dxa"/>
            <w:tcBorders>
              <w:top w:val="single" w:sz="8" w:space="0" w:color="000000"/>
              <w:bottom w:val="single" w:sz="4" w:space="0" w:color="7E7E7E"/>
            </w:tcBorders>
          </w:tcPr>
          <w:p>
            <w:pPr>
              <w:pStyle w:val="TableParagraph"/>
              <w:ind w:left="0"/>
              <w:rPr>
                <w:sz w:val="14"/>
              </w:rPr>
            </w:pPr>
          </w:p>
        </w:tc>
        <w:tc>
          <w:tcPr>
            <w:tcW w:w="1291" w:type="dxa"/>
            <w:tcBorders>
              <w:top w:val="single" w:sz="8" w:space="0" w:color="000000"/>
              <w:bottom w:val="single" w:sz="4" w:space="0" w:color="7E7E7E"/>
            </w:tcBorders>
          </w:tcPr>
          <w:p>
            <w:pPr>
              <w:pStyle w:val="TableParagraph"/>
              <w:ind w:left="0"/>
              <w:rPr>
                <w:sz w:val="14"/>
              </w:rPr>
            </w:pPr>
          </w:p>
        </w:tc>
      </w:tr>
      <w:tr>
        <w:trPr>
          <w:trHeight w:val="208"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8" w:lineRule="exact"/>
              <w:rPr>
                <w:sz w:val="18"/>
              </w:rPr>
            </w:pPr>
            <w:r>
              <w:rPr>
                <w:sz w:val="18"/>
              </w:rPr>
              <w:t>Satış Sıralaması</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8" w:lineRule="exact"/>
              <w:ind w:left="225"/>
              <w:rPr>
                <w:sz w:val="18"/>
              </w:rPr>
            </w:pPr>
            <w:r>
              <w:rPr>
                <w:sz w:val="18"/>
              </w:rPr>
              <w:t>5989</w:t>
            </w:r>
          </w:p>
        </w:tc>
        <w:tc>
          <w:tcPr>
            <w:tcW w:w="1037" w:type="dxa"/>
            <w:tcBorders>
              <w:top w:val="single" w:sz="4" w:space="0" w:color="7E7E7E"/>
              <w:bottom w:val="single" w:sz="4" w:space="0" w:color="7E7E7E"/>
            </w:tcBorders>
          </w:tcPr>
          <w:p>
            <w:pPr>
              <w:pStyle w:val="TableParagraph"/>
              <w:spacing w:line="188" w:lineRule="exact"/>
              <w:ind w:left="164"/>
              <w:rPr>
                <w:sz w:val="18"/>
              </w:rPr>
            </w:pPr>
            <w:r>
              <w:rPr>
                <w:sz w:val="18"/>
              </w:rPr>
              <w:t>12923642</w:t>
            </w:r>
          </w:p>
        </w:tc>
        <w:tc>
          <w:tcPr>
            <w:tcW w:w="948" w:type="dxa"/>
            <w:tcBorders>
              <w:top w:val="single" w:sz="4" w:space="0" w:color="7E7E7E"/>
              <w:bottom w:val="single" w:sz="4" w:space="0" w:color="7E7E7E"/>
            </w:tcBorders>
          </w:tcPr>
          <w:p>
            <w:pPr>
              <w:pStyle w:val="TableParagraph"/>
              <w:spacing w:line="188" w:lineRule="exact"/>
              <w:ind w:left="150"/>
              <w:rPr>
                <w:sz w:val="18"/>
              </w:rPr>
            </w:pPr>
            <w:r>
              <w:rPr>
                <w:sz w:val="18"/>
              </w:rPr>
              <w:t>581817</w:t>
            </w:r>
          </w:p>
        </w:tc>
        <w:tc>
          <w:tcPr>
            <w:tcW w:w="1163" w:type="dxa"/>
            <w:tcBorders>
              <w:top w:val="single" w:sz="4" w:space="0" w:color="7E7E7E"/>
              <w:bottom w:val="single" w:sz="4" w:space="0" w:color="7E7E7E"/>
            </w:tcBorders>
          </w:tcPr>
          <w:p>
            <w:pPr>
              <w:pStyle w:val="TableParagraph"/>
              <w:spacing w:line="188" w:lineRule="exact"/>
              <w:ind w:left="164"/>
              <w:rPr>
                <w:sz w:val="18"/>
              </w:rPr>
            </w:pPr>
            <w:r>
              <w:rPr>
                <w:sz w:val="18"/>
              </w:rPr>
              <w:t>1137031,97</w:t>
            </w:r>
          </w:p>
        </w:tc>
        <w:tc>
          <w:tcPr>
            <w:tcW w:w="1291" w:type="dxa"/>
            <w:tcBorders>
              <w:top w:val="single" w:sz="4" w:space="0" w:color="7E7E7E"/>
              <w:bottom w:val="single" w:sz="4" w:space="0" w:color="7E7E7E"/>
            </w:tcBorders>
          </w:tcPr>
          <w:p>
            <w:pPr>
              <w:pStyle w:val="TableParagraph"/>
              <w:spacing w:line="188" w:lineRule="exact"/>
              <w:ind w:left="144"/>
              <w:rPr>
                <w:sz w:val="18"/>
              </w:rPr>
            </w:pPr>
            <w:r>
              <w:rPr>
                <w:sz w:val="18"/>
              </w:rPr>
              <w:t>1278154,45</w:t>
            </w:r>
          </w:p>
        </w:tc>
      </w:tr>
      <w:tr>
        <w:trPr>
          <w:trHeight w:val="205"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6" w:lineRule="exact"/>
              <w:rPr>
                <w:sz w:val="18"/>
              </w:rPr>
            </w:pPr>
            <w:r>
              <w:rPr>
                <w:sz w:val="18"/>
              </w:rPr>
              <w:t>Toplam Yorum Sayısı</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1</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824</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24,5</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108,39</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162,69</w:t>
            </w:r>
          </w:p>
        </w:tc>
      </w:tr>
      <w:tr>
        <w:trPr>
          <w:trHeight w:val="206"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6" w:lineRule="exact"/>
              <w:rPr>
                <w:sz w:val="18"/>
              </w:rPr>
            </w:pPr>
            <w:r>
              <w:rPr>
                <w:sz w:val="18"/>
              </w:rPr>
              <w:t>Ortalama Puan</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0</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5</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4,2</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4,07</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,70</w:t>
            </w:r>
          </w:p>
        </w:tc>
      </w:tr>
      <w:tr>
        <w:trPr>
          <w:trHeight w:val="208" w:hRule="atLeast"/>
        </w:trPr>
        <w:tc>
          <w:tcPr>
            <w:tcW w:w="1133" w:type="dxa"/>
            <w:vMerge w:val="restart"/>
            <w:textDirection w:val="btLr"/>
          </w:tcPr>
          <w:p>
            <w:pPr>
              <w:pStyle w:val="TableParagraph"/>
              <w:ind w:left="0"/>
              <w:rPr>
                <w:sz w:val="20"/>
              </w:rPr>
            </w:pPr>
          </w:p>
          <w:p>
            <w:pPr>
              <w:pStyle w:val="TableParagraph"/>
              <w:spacing w:before="5"/>
              <w:ind w:left="0"/>
              <w:rPr>
                <w:sz w:val="20"/>
              </w:rPr>
            </w:pPr>
          </w:p>
          <w:p>
            <w:pPr>
              <w:pStyle w:val="TableParagraph"/>
              <w:ind w:left="-1"/>
              <w:rPr>
                <w:b/>
                <w:sz w:val="18"/>
              </w:rPr>
            </w:pPr>
            <w:r>
              <w:rPr>
                <w:b/>
                <w:sz w:val="18"/>
              </w:rPr>
              <w:t>Mobilya</w:t>
            </w:r>
          </w:p>
        </w:tc>
        <w:tc>
          <w:tcPr>
            <w:tcW w:w="1903" w:type="dxa"/>
            <w:tcBorders>
              <w:top w:val="single" w:sz="4" w:space="0" w:color="7E7E7E"/>
              <w:bottom w:val="single" w:sz="4" w:space="0" w:color="7E7E7E"/>
            </w:tcBorders>
          </w:tcPr>
          <w:p>
            <w:pPr>
              <w:pStyle w:val="TableParagraph"/>
              <w:spacing w:line="186" w:lineRule="exact" w:before="2"/>
              <w:rPr>
                <w:sz w:val="18"/>
              </w:rPr>
            </w:pPr>
            <w:r>
              <w:rPr>
                <w:sz w:val="18"/>
              </w:rPr>
              <w:t>1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before="2"/>
              <w:ind w:left="225"/>
              <w:rPr>
                <w:sz w:val="18"/>
              </w:rPr>
            </w:pPr>
            <w:r>
              <w:rPr>
                <w:sz w:val="18"/>
              </w:rPr>
              <w:t>0</w:t>
            </w:r>
          </w:p>
        </w:tc>
        <w:tc>
          <w:tcPr>
            <w:tcW w:w="1037" w:type="dxa"/>
            <w:tcBorders>
              <w:top w:val="single" w:sz="4" w:space="0" w:color="7E7E7E"/>
              <w:bottom w:val="single" w:sz="4" w:space="0" w:color="7E7E7E"/>
            </w:tcBorders>
          </w:tcPr>
          <w:p>
            <w:pPr>
              <w:pStyle w:val="TableParagraph"/>
              <w:spacing w:line="186" w:lineRule="exact" w:before="2"/>
              <w:ind w:left="164"/>
              <w:rPr>
                <w:sz w:val="18"/>
              </w:rPr>
            </w:pPr>
            <w:r>
              <w:rPr>
                <w:sz w:val="18"/>
              </w:rPr>
              <w:t>100</w:t>
            </w:r>
          </w:p>
        </w:tc>
        <w:tc>
          <w:tcPr>
            <w:tcW w:w="948" w:type="dxa"/>
            <w:tcBorders>
              <w:top w:val="single" w:sz="4" w:space="0" w:color="7E7E7E"/>
              <w:bottom w:val="single" w:sz="4" w:space="0" w:color="7E7E7E"/>
            </w:tcBorders>
          </w:tcPr>
          <w:p>
            <w:pPr>
              <w:pStyle w:val="TableParagraph"/>
              <w:spacing w:line="186" w:lineRule="exact" w:before="2"/>
              <w:ind w:left="150"/>
              <w:rPr>
                <w:sz w:val="18"/>
              </w:rPr>
            </w:pPr>
            <w:r>
              <w:rPr>
                <w:sz w:val="18"/>
              </w:rPr>
              <w:t>5</w:t>
            </w:r>
          </w:p>
        </w:tc>
        <w:tc>
          <w:tcPr>
            <w:tcW w:w="1163" w:type="dxa"/>
            <w:tcBorders>
              <w:top w:val="single" w:sz="4" w:space="0" w:color="7E7E7E"/>
              <w:bottom w:val="single" w:sz="4" w:space="0" w:color="7E7E7E"/>
            </w:tcBorders>
          </w:tcPr>
          <w:p>
            <w:pPr>
              <w:pStyle w:val="TableParagraph"/>
              <w:spacing w:line="186" w:lineRule="exact" w:before="2"/>
              <w:ind w:left="164"/>
              <w:rPr>
                <w:sz w:val="18"/>
              </w:rPr>
            </w:pPr>
            <w:r>
              <w:rPr>
                <w:sz w:val="18"/>
              </w:rPr>
              <w:t>9,64</w:t>
            </w:r>
          </w:p>
        </w:tc>
        <w:tc>
          <w:tcPr>
            <w:tcW w:w="1291" w:type="dxa"/>
            <w:tcBorders>
              <w:top w:val="single" w:sz="4" w:space="0" w:color="7E7E7E"/>
              <w:bottom w:val="single" w:sz="4" w:space="0" w:color="7E7E7E"/>
            </w:tcBorders>
          </w:tcPr>
          <w:p>
            <w:pPr>
              <w:pStyle w:val="TableParagraph"/>
              <w:spacing w:line="186" w:lineRule="exact" w:before="2"/>
              <w:ind w:left="144"/>
              <w:rPr>
                <w:sz w:val="18"/>
              </w:rPr>
            </w:pPr>
            <w:r>
              <w:rPr>
                <w:sz w:val="18"/>
              </w:rPr>
              <w:t>14,94</w:t>
            </w:r>
          </w:p>
        </w:tc>
      </w:tr>
      <w:tr>
        <w:trPr>
          <w:trHeight w:val="206" w:hRule="atLeast"/>
        </w:trPr>
        <w:tc>
          <w:tcPr>
            <w:tcW w:w="1133" w:type="dxa"/>
            <w:vMerge/>
            <w:tcBorders>
              <w:top w:val="nil"/>
            </w:tcBorders>
            <w:textDirection w:val="btLr"/>
          </w:tcPr>
          <w:p>
            <w:pPr>
              <w:rPr>
                <w:sz w:val="2"/>
                <w:szCs w:val="2"/>
              </w:rPr>
            </w:pPr>
          </w:p>
        </w:tc>
        <w:tc>
          <w:tcPr>
            <w:tcW w:w="1903" w:type="dxa"/>
            <w:tcBorders>
              <w:top w:val="single" w:sz="4" w:space="0" w:color="7E7E7E"/>
              <w:bottom w:val="single" w:sz="4" w:space="0" w:color="7E7E7E"/>
            </w:tcBorders>
          </w:tcPr>
          <w:p>
            <w:pPr>
              <w:pStyle w:val="TableParagraph"/>
              <w:spacing w:line="186" w:lineRule="exact"/>
              <w:rPr>
                <w:sz w:val="18"/>
              </w:rPr>
            </w:pPr>
            <w:r>
              <w:rPr>
                <w:sz w:val="18"/>
              </w:rPr>
              <w:t>2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0</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50</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2</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3,85</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5,81</w:t>
            </w:r>
          </w:p>
        </w:tc>
      </w:tr>
      <w:tr>
        <w:trPr>
          <w:trHeight w:val="208" w:hRule="atLeast"/>
        </w:trPr>
        <w:tc>
          <w:tcPr>
            <w:tcW w:w="1133" w:type="dxa"/>
            <w:vMerge/>
            <w:tcBorders>
              <w:top w:val="nil"/>
            </w:tcBorders>
            <w:textDirection w:val="btLr"/>
          </w:tcPr>
          <w:p>
            <w:pPr>
              <w:rPr>
                <w:sz w:val="2"/>
                <w:szCs w:val="2"/>
              </w:rPr>
            </w:pPr>
          </w:p>
        </w:tc>
        <w:tc>
          <w:tcPr>
            <w:tcW w:w="1903" w:type="dxa"/>
            <w:tcBorders>
              <w:top w:val="single" w:sz="4" w:space="0" w:color="7E7E7E"/>
              <w:bottom w:val="single" w:sz="4" w:space="0" w:color="7E7E7E"/>
            </w:tcBorders>
          </w:tcPr>
          <w:p>
            <w:pPr>
              <w:pStyle w:val="TableParagraph"/>
              <w:spacing w:line="188" w:lineRule="exact"/>
              <w:rPr>
                <w:sz w:val="18"/>
              </w:rPr>
            </w:pPr>
            <w:r>
              <w:rPr>
                <w:sz w:val="18"/>
              </w:rPr>
              <w:t>3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8" w:lineRule="exact"/>
              <w:ind w:left="225"/>
              <w:rPr>
                <w:sz w:val="18"/>
              </w:rPr>
            </w:pPr>
            <w:r>
              <w:rPr>
                <w:sz w:val="18"/>
              </w:rPr>
              <w:t>0</w:t>
            </w:r>
          </w:p>
        </w:tc>
        <w:tc>
          <w:tcPr>
            <w:tcW w:w="1037" w:type="dxa"/>
            <w:tcBorders>
              <w:top w:val="single" w:sz="4" w:space="0" w:color="7E7E7E"/>
              <w:bottom w:val="single" w:sz="4" w:space="0" w:color="7E7E7E"/>
            </w:tcBorders>
          </w:tcPr>
          <w:p>
            <w:pPr>
              <w:pStyle w:val="TableParagraph"/>
              <w:spacing w:line="188" w:lineRule="exact"/>
              <w:ind w:left="164"/>
              <w:rPr>
                <w:sz w:val="18"/>
              </w:rPr>
            </w:pPr>
            <w:r>
              <w:rPr>
                <w:sz w:val="18"/>
              </w:rPr>
              <w:t>50</w:t>
            </w:r>
          </w:p>
        </w:tc>
        <w:tc>
          <w:tcPr>
            <w:tcW w:w="948" w:type="dxa"/>
            <w:tcBorders>
              <w:top w:val="single" w:sz="4" w:space="0" w:color="7E7E7E"/>
              <w:bottom w:val="single" w:sz="4" w:space="0" w:color="7E7E7E"/>
            </w:tcBorders>
          </w:tcPr>
          <w:p>
            <w:pPr>
              <w:pStyle w:val="TableParagraph"/>
              <w:spacing w:line="188" w:lineRule="exact"/>
              <w:ind w:left="150"/>
              <w:rPr>
                <w:sz w:val="18"/>
              </w:rPr>
            </w:pPr>
            <w:r>
              <w:rPr>
                <w:sz w:val="18"/>
              </w:rPr>
              <w:t>7</w:t>
            </w:r>
          </w:p>
        </w:tc>
        <w:tc>
          <w:tcPr>
            <w:tcW w:w="1163" w:type="dxa"/>
            <w:tcBorders>
              <w:top w:val="single" w:sz="4" w:space="0" w:color="7E7E7E"/>
              <w:bottom w:val="single" w:sz="4" w:space="0" w:color="7E7E7E"/>
            </w:tcBorders>
          </w:tcPr>
          <w:p>
            <w:pPr>
              <w:pStyle w:val="TableParagraph"/>
              <w:spacing w:line="188" w:lineRule="exact"/>
              <w:ind w:left="164"/>
              <w:rPr>
                <w:sz w:val="18"/>
              </w:rPr>
            </w:pPr>
            <w:r>
              <w:rPr>
                <w:sz w:val="18"/>
              </w:rPr>
              <w:t>8,37</w:t>
            </w:r>
          </w:p>
        </w:tc>
        <w:tc>
          <w:tcPr>
            <w:tcW w:w="1291" w:type="dxa"/>
            <w:tcBorders>
              <w:top w:val="single" w:sz="4" w:space="0" w:color="7E7E7E"/>
              <w:bottom w:val="single" w:sz="4" w:space="0" w:color="7E7E7E"/>
            </w:tcBorders>
          </w:tcPr>
          <w:p>
            <w:pPr>
              <w:pStyle w:val="TableParagraph"/>
              <w:spacing w:line="188" w:lineRule="exact"/>
              <w:ind w:left="144"/>
              <w:rPr>
                <w:sz w:val="18"/>
              </w:rPr>
            </w:pPr>
            <w:r>
              <w:rPr>
                <w:sz w:val="18"/>
              </w:rPr>
              <w:t>9,87</w:t>
            </w:r>
          </w:p>
        </w:tc>
      </w:tr>
      <w:tr>
        <w:trPr>
          <w:trHeight w:val="205"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6" w:lineRule="exact"/>
              <w:rPr>
                <w:sz w:val="18"/>
              </w:rPr>
            </w:pPr>
            <w:r>
              <w:rPr>
                <w:sz w:val="18"/>
              </w:rPr>
              <w:t>4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0</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100</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17</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16,60</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15,13</w:t>
            </w:r>
          </w:p>
        </w:tc>
      </w:tr>
      <w:tr>
        <w:trPr>
          <w:trHeight w:val="206"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6" w:lineRule="exact"/>
              <w:rPr>
                <w:sz w:val="18"/>
              </w:rPr>
            </w:pPr>
            <w:r>
              <w:rPr>
                <w:sz w:val="18"/>
              </w:rPr>
              <w:t>5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0</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100</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63</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61,54</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21,4</w:t>
            </w:r>
          </w:p>
        </w:tc>
      </w:tr>
      <w:tr>
        <w:trPr>
          <w:trHeight w:val="208"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6" w:lineRule="exact" w:before="2"/>
              <w:rPr>
                <w:sz w:val="18"/>
              </w:rPr>
            </w:pPr>
            <w:r>
              <w:rPr>
                <w:sz w:val="18"/>
              </w:rPr>
              <w:t>Fiyat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before="2"/>
              <w:ind w:left="225"/>
              <w:rPr>
                <w:sz w:val="18"/>
              </w:rPr>
            </w:pPr>
            <w:r>
              <w:rPr>
                <w:sz w:val="18"/>
              </w:rPr>
              <w:t>44,81</w:t>
            </w:r>
          </w:p>
        </w:tc>
        <w:tc>
          <w:tcPr>
            <w:tcW w:w="1037" w:type="dxa"/>
            <w:tcBorders>
              <w:top w:val="single" w:sz="4" w:space="0" w:color="7E7E7E"/>
              <w:bottom w:val="single" w:sz="4" w:space="0" w:color="7E7E7E"/>
            </w:tcBorders>
          </w:tcPr>
          <w:p>
            <w:pPr>
              <w:pStyle w:val="TableParagraph"/>
              <w:spacing w:line="186" w:lineRule="exact" w:before="2"/>
              <w:ind w:left="164"/>
              <w:rPr>
                <w:sz w:val="18"/>
              </w:rPr>
            </w:pPr>
            <w:r>
              <w:rPr>
                <w:sz w:val="18"/>
              </w:rPr>
              <w:t>1650</w:t>
            </w:r>
          </w:p>
        </w:tc>
        <w:tc>
          <w:tcPr>
            <w:tcW w:w="948" w:type="dxa"/>
            <w:tcBorders>
              <w:top w:val="single" w:sz="4" w:space="0" w:color="7E7E7E"/>
              <w:bottom w:val="single" w:sz="4" w:space="0" w:color="7E7E7E"/>
            </w:tcBorders>
          </w:tcPr>
          <w:p>
            <w:pPr>
              <w:pStyle w:val="TableParagraph"/>
              <w:spacing w:line="186" w:lineRule="exact" w:before="2"/>
              <w:ind w:left="150"/>
              <w:rPr>
                <w:sz w:val="18"/>
              </w:rPr>
            </w:pPr>
            <w:r>
              <w:rPr>
                <w:sz w:val="18"/>
              </w:rPr>
              <w:t>225,4</w:t>
            </w:r>
          </w:p>
        </w:tc>
        <w:tc>
          <w:tcPr>
            <w:tcW w:w="1163" w:type="dxa"/>
            <w:tcBorders>
              <w:top w:val="single" w:sz="4" w:space="0" w:color="7E7E7E"/>
              <w:bottom w:val="single" w:sz="4" w:space="0" w:color="7E7E7E"/>
            </w:tcBorders>
          </w:tcPr>
          <w:p>
            <w:pPr>
              <w:pStyle w:val="TableParagraph"/>
              <w:spacing w:line="186" w:lineRule="exact" w:before="2"/>
              <w:ind w:left="164"/>
              <w:rPr>
                <w:sz w:val="18"/>
              </w:rPr>
            </w:pPr>
            <w:r>
              <w:rPr>
                <w:sz w:val="18"/>
              </w:rPr>
              <w:t>320,12</w:t>
            </w:r>
          </w:p>
        </w:tc>
        <w:tc>
          <w:tcPr>
            <w:tcW w:w="1291" w:type="dxa"/>
            <w:tcBorders>
              <w:top w:val="single" w:sz="4" w:space="0" w:color="7E7E7E"/>
              <w:bottom w:val="single" w:sz="4" w:space="0" w:color="7E7E7E"/>
            </w:tcBorders>
          </w:tcPr>
          <w:p>
            <w:pPr>
              <w:pStyle w:val="TableParagraph"/>
              <w:spacing w:line="186" w:lineRule="exact" w:before="2"/>
              <w:ind w:left="144"/>
              <w:rPr>
                <w:sz w:val="18"/>
              </w:rPr>
            </w:pPr>
            <w:r>
              <w:rPr>
                <w:sz w:val="18"/>
              </w:rPr>
              <w:t>266,74</w:t>
            </w:r>
          </w:p>
        </w:tc>
      </w:tr>
      <w:tr>
        <w:trPr>
          <w:trHeight w:val="205" w:hRule="atLeast"/>
        </w:trPr>
        <w:tc>
          <w:tcPr>
            <w:tcW w:w="1133" w:type="dxa"/>
            <w:tcBorders>
              <w:bottom w:val="single" w:sz="8" w:space="0" w:color="000000"/>
            </w:tcBorders>
          </w:tcPr>
          <w:p>
            <w:pPr>
              <w:pStyle w:val="TableParagraph"/>
              <w:ind w:left="0"/>
              <w:rPr>
                <w:sz w:val="14"/>
              </w:rPr>
            </w:pPr>
          </w:p>
        </w:tc>
        <w:tc>
          <w:tcPr>
            <w:tcW w:w="1903" w:type="dxa"/>
            <w:tcBorders>
              <w:top w:val="single" w:sz="4" w:space="0" w:color="7E7E7E"/>
              <w:bottom w:val="single" w:sz="8" w:space="0" w:color="000000"/>
            </w:tcBorders>
          </w:tcPr>
          <w:p>
            <w:pPr>
              <w:pStyle w:val="TableParagraph"/>
              <w:spacing w:line="186" w:lineRule="exact"/>
              <w:rPr>
                <w:sz w:val="18"/>
              </w:rPr>
            </w:pPr>
            <w:r>
              <w:rPr>
                <w:sz w:val="18"/>
              </w:rPr>
              <w:t>İndirim Oranı (%)</w:t>
            </w:r>
          </w:p>
        </w:tc>
        <w:tc>
          <w:tcPr>
            <w:tcW w:w="550" w:type="dxa"/>
            <w:tcBorders>
              <w:top w:val="single" w:sz="4" w:space="0" w:color="7E7E7E"/>
              <w:bottom w:val="single" w:sz="8" w:space="0" w:color="000000"/>
            </w:tcBorders>
          </w:tcPr>
          <w:p>
            <w:pPr>
              <w:pStyle w:val="TableParagraph"/>
              <w:ind w:left="0"/>
              <w:rPr>
                <w:sz w:val="14"/>
              </w:rPr>
            </w:pPr>
          </w:p>
        </w:tc>
        <w:tc>
          <w:tcPr>
            <w:tcW w:w="887" w:type="dxa"/>
            <w:tcBorders>
              <w:top w:val="single" w:sz="4" w:space="0" w:color="7E7E7E"/>
              <w:bottom w:val="single" w:sz="8" w:space="0" w:color="000000"/>
            </w:tcBorders>
          </w:tcPr>
          <w:p>
            <w:pPr>
              <w:pStyle w:val="TableParagraph"/>
              <w:spacing w:line="186" w:lineRule="exact"/>
              <w:ind w:left="225"/>
              <w:rPr>
                <w:sz w:val="18"/>
              </w:rPr>
            </w:pPr>
            <w:r>
              <w:rPr>
                <w:sz w:val="18"/>
              </w:rPr>
              <w:t>0</w:t>
            </w:r>
          </w:p>
        </w:tc>
        <w:tc>
          <w:tcPr>
            <w:tcW w:w="1037" w:type="dxa"/>
            <w:tcBorders>
              <w:top w:val="single" w:sz="4" w:space="0" w:color="7E7E7E"/>
              <w:bottom w:val="single" w:sz="8" w:space="0" w:color="000000"/>
            </w:tcBorders>
          </w:tcPr>
          <w:p>
            <w:pPr>
              <w:pStyle w:val="TableParagraph"/>
              <w:spacing w:line="186" w:lineRule="exact"/>
              <w:ind w:left="164"/>
              <w:rPr>
                <w:sz w:val="18"/>
              </w:rPr>
            </w:pPr>
            <w:r>
              <w:rPr>
                <w:sz w:val="18"/>
              </w:rPr>
              <w:t>57</w:t>
            </w:r>
          </w:p>
        </w:tc>
        <w:tc>
          <w:tcPr>
            <w:tcW w:w="948" w:type="dxa"/>
            <w:tcBorders>
              <w:top w:val="single" w:sz="4" w:space="0" w:color="7E7E7E"/>
              <w:bottom w:val="single" w:sz="8" w:space="0" w:color="000000"/>
            </w:tcBorders>
          </w:tcPr>
          <w:p>
            <w:pPr>
              <w:pStyle w:val="TableParagraph"/>
              <w:spacing w:line="186" w:lineRule="exact"/>
              <w:ind w:left="150"/>
              <w:rPr>
                <w:sz w:val="18"/>
              </w:rPr>
            </w:pPr>
            <w:r>
              <w:rPr>
                <w:sz w:val="18"/>
              </w:rPr>
              <w:t>0</w:t>
            </w:r>
          </w:p>
        </w:tc>
        <w:tc>
          <w:tcPr>
            <w:tcW w:w="1163" w:type="dxa"/>
            <w:tcBorders>
              <w:top w:val="single" w:sz="4" w:space="0" w:color="7E7E7E"/>
              <w:bottom w:val="single" w:sz="8" w:space="0" w:color="000000"/>
            </w:tcBorders>
          </w:tcPr>
          <w:p>
            <w:pPr>
              <w:pStyle w:val="TableParagraph"/>
              <w:spacing w:line="186" w:lineRule="exact"/>
              <w:ind w:left="164"/>
              <w:rPr>
                <w:sz w:val="18"/>
              </w:rPr>
            </w:pPr>
            <w:r>
              <w:rPr>
                <w:sz w:val="18"/>
              </w:rPr>
              <w:t>4,37</w:t>
            </w:r>
          </w:p>
        </w:tc>
        <w:tc>
          <w:tcPr>
            <w:tcW w:w="1291" w:type="dxa"/>
            <w:tcBorders>
              <w:top w:val="single" w:sz="4" w:space="0" w:color="7E7E7E"/>
              <w:bottom w:val="single" w:sz="8" w:space="0" w:color="000000"/>
            </w:tcBorders>
          </w:tcPr>
          <w:p>
            <w:pPr>
              <w:pStyle w:val="TableParagraph"/>
              <w:spacing w:line="186" w:lineRule="exact"/>
              <w:ind w:left="144"/>
              <w:rPr>
                <w:sz w:val="18"/>
              </w:rPr>
            </w:pPr>
            <w:r>
              <w:rPr>
                <w:sz w:val="18"/>
              </w:rPr>
              <w:t>11,30</w:t>
            </w:r>
          </w:p>
        </w:tc>
      </w:tr>
      <w:tr>
        <w:trPr>
          <w:trHeight w:val="208" w:hRule="atLeast"/>
        </w:trPr>
        <w:tc>
          <w:tcPr>
            <w:tcW w:w="1133" w:type="dxa"/>
            <w:tcBorders>
              <w:top w:val="single" w:sz="8" w:space="0" w:color="000000"/>
            </w:tcBorders>
          </w:tcPr>
          <w:p>
            <w:pPr>
              <w:pStyle w:val="TableParagraph"/>
              <w:ind w:left="0"/>
              <w:rPr>
                <w:sz w:val="14"/>
              </w:rPr>
            </w:pPr>
          </w:p>
        </w:tc>
        <w:tc>
          <w:tcPr>
            <w:tcW w:w="1903" w:type="dxa"/>
            <w:tcBorders>
              <w:top w:val="single" w:sz="8" w:space="0" w:color="000000"/>
              <w:bottom w:val="single" w:sz="4" w:space="0" w:color="7E7E7E"/>
            </w:tcBorders>
          </w:tcPr>
          <w:p>
            <w:pPr>
              <w:pStyle w:val="TableParagraph"/>
              <w:spacing w:line="186" w:lineRule="exact" w:before="2"/>
              <w:rPr>
                <w:sz w:val="18"/>
              </w:rPr>
            </w:pPr>
            <w:r>
              <w:rPr>
                <w:sz w:val="18"/>
              </w:rPr>
              <w:t>Ürün</w:t>
            </w:r>
          </w:p>
        </w:tc>
        <w:tc>
          <w:tcPr>
            <w:tcW w:w="550" w:type="dxa"/>
            <w:tcBorders>
              <w:top w:val="single" w:sz="8" w:space="0" w:color="000000"/>
              <w:bottom w:val="single" w:sz="4" w:space="0" w:color="7E7E7E"/>
            </w:tcBorders>
          </w:tcPr>
          <w:p>
            <w:pPr>
              <w:pStyle w:val="TableParagraph"/>
              <w:spacing w:line="186" w:lineRule="exact" w:before="2"/>
              <w:ind w:left="192"/>
              <w:rPr>
                <w:sz w:val="18"/>
              </w:rPr>
            </w:pPr>
            <w:r>
              <w:rPr>
                <w:sz w:val="18"/>
              </w:rPr>
              <w:t>18</w:t>
            </w:r>
          </w:p>
        </w:tc>
        <w:tc>
          <w:tcPr>
            <w:tcW w:w="887" w:type="dxa"/>
            <w:tcBorders>
              <w:top w:val="single" w:sz="8" w:space="0" w:color="000000"/>
              <w:bottom w:val="single" w:sz="4" w:space="0" w:color="7E7E7E"/>
            </w:tcBorders>
          </w:tcPr>
          <w:p>
            <w:pPr>
              <w:pStyle w:val="TableParagraph"/>
              <w:ind w:left="0"/>
              <w:rPr>
                <w:sz w:val="14"/>
              </w:rPr>
            </w:pPr>
          </w:p>
        </w:tc>
        <w:tc>
          <w:tcPr>
            <w:tcW w:w="1037" w:type="dxa"/>
            <w:tcBorders>
              <w:top w:val="single" w:sz="8" w:space="0" w:color="000000"/>
              <w:bottom w:val="single" w:sz="4" w:space="0" w:color="7E7E7E"/>
            </w:tcBorders>
          </w:tcPr>
          <w:p>
            <w:pPr>
              <w:pStyle w:val="TableParagraph"/>
              <w:ind w:left="0"/>
              <w:rPr>
                <w:sz w:val="14"/>
              </w:rPr>
            </w:pPr>
          </w:p>
        </w:tc>
        <w:tc>
          <w:tcPr>
            <w:tcW w:w="948" w:type="dxa"/>
            <w:tcBorders>
              <w:top w:val="single" w:sz="8" w:space="0" w:color="000000"/>
              <w:bottom w:val="single" w:sz="4" w:space="0" w:color="7E7E7E"/>
            </w:tcBorders>
          </w:tcPr>
          <w:p>
            <w:pPr>
              <w:pStyle w:val="TableParagraph"/>
              <w:ind w:left="0"/>
              <w:rPr>
                <w:sz w:val="14"/>
              </w:rPr>
            </w:pPr>
          </w:p>
        </w:tc>
        <w:tc>
          <w:tcPr>
            <w:tcW w:w="1163" w:type="dxa"/>
            <w:tcBorders>
              <w:top w:val="single" w:sz="8" w:space="0" w:color="000000"/>
              <w:bottom w:val="single" w:sz="4" w:space="0" w:color="7E7E7E"/>
            </w:tcBorders>
          </w:tcPr>
          <w:p>
            <w:pPr>
              <w:pStyle w:val="TableParagraph"/>
              <w:ind w:left="0"/>
              <w:rPr>
                <w:sz w:val="14"/>
              </w:rPr>
            </w:pPr>
          </w:p>
        </w:tc>
        <w:tc>
          <w:tcPr>
            <w:tcW w:w="1291" w:type="dxa"/>
            <w:tcBorders>
              <w:top w:val="single" w:sz="8" w:space="0" w:color="000000"/>
              <w:bottom w:val="single" w:sz="4" w:space="0" w:color="7E7E7E"/>
            </w:tcBorders>
          </w:tcPr>
          <w:p>
            <w:pPr>
              <w:pStyle w:val="TableParagraph"/>
              <w:ind w:left="0"/>
              <w:rPr>
                <w:sz w:val="14"/>
              </w:rPr>
            </w:pPr>
          </w:p>
        </w:tc>
      </w:tr>
      <w:tr>
        <w:trPr>
          <w:trHeight w:val="206"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6" w:lineRule="exact"/>
              <w:rPr>
                <w:sz w:val="18"/>
              </w:rPr>
            </w:pPr>
            <w:r>
              <w:rPr>
                <w:sz w:val="18"/>
              </w:rPr>
              <w:t>Satış Sıralaması</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18412</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7071368</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1810146</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2246962</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1701548,2</w:t>
            </w:r>
          </w:p>
        </w:tc>
      </w:tr>
      <w:tr>
        <w:trPr>
          <w:trHeight w:val="208"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9" w:lineRule="exact"/>
              <w:rPr>
                <w:sz w:val="18"/>
              </w:rPr>
            </w:pPr>
            <w:r>
              <w:rPr>
                <w:sz w:val="18"/>
              </w:rPr>
              <w:t>Toplam Yorum Sayısı</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9" w:lineRule="exact"/>
              <w:ind w:left="225"/>
              <w:rPr>
                <w:sz w:val="18"/>
              </w:rPr>
            </w:pPr>
            <w:r>
              <w:rPr>
                <w:sz w:val="18"/>
              </w:rPr>
              <w:t>1</w:t>
            </w:r>
          </w:p>
        </w:tc>
        <w:tc>
          <w:tcPr>
            <w:tcW w:w="1037" w:type="dxa"/>
            <w:tcBorders>
              <w:top w:val="single" w:sz="4" w:space="0" w:color="7E7E7E"/>
              <w:bottom w:val="single" w:sz="4" w:space="0" w:color="7E7E7E"/>
            </w:tcBorders>
          </w:tcPr>
          <w:p>
            <w:pPr>
              <w:pStyle w:val="TableParagraph"/>
              <w:spacing w:line="189" w:lineRule="exact"/>
              <w:ind w:left="164"/>
              <w:rPr>
                <w:sz w:val="18"/>
              </w:rPr>
            </w:pPr>
            <w:r>
              <w:rPr>
                <w:sz w:val="18"/>
              </w:rPr>
              <w:t>793</w:t>
            </w:r>
          </w:p>
        </w:tc>
        <w:tc>
          <w:tcPr>
            <w:tcW w:w="948" w:type="dxa"/>
            <w:tcBorders>
              <w:top w:val="single" w:sz="4" w:space="0" w:color="7E7E7E"/>
              <w:bottom w:val="single" w:sz="4" w:space="0" w:color="7E7E7E"/>
            </w:tcBorders>
          </w:tcPr>
          <w:p>
            <w:pPr>
              <w:pStyle w:val="TableParagraph"/>
              <w:spacing w:line="189" w:lineRule="exact"/>
              <w:ind w:left="150"/>
              <w:rPr>
                <w:sz w:val="18"/>
              </w:rPr>
            </w:pPr>
            <w:r>
              <w:rPr>
                <w:sz w:val="18"/>
              </w:rPr>
              <w:t>11,5</w:t>
            </w:r>
          </w:p>
        </w:tc>
        <w:tc>
          <w:tcPr>
            <w:tcW w:w="1163" w:type="dxa"/>
            <w:tcBorders>
              <w:top w:val="single" w:sz="4" w:space="0" w:color="7E7E7E"/>
              <w:bottom w:val="single" w:sz="4" w:space="0" w:color="7E7E7E"/>
            </w:tcBorders>
          </w:tcPr>
          <w:p>
            <w:pPr>
              <w:pStyle w:val="TableParagraph"/>
              <w:spacing w:line="189" w:lineRule="exact"/>
              <w:ind w:left="164"/>
              <w:rPr>
                <w:sz w:val="18"/>
              </w:rPr>
            </w:pPr>
            <w:r>
              <w:rPr>
                <w:sz w:val="18"/>
              </w:rPr>
              <w:t>169,46</w:t>
            </w:r>
          </w:p>
        </w:tc>
        <w:tc>
          <w:tcPr>
            <w:tcW w:w="1291" w:type="dxa"/>
            <w:tcBorders>
              <w:top w:val="single" w:sz="4" w:space="0" w:color="7E7E7E"/>
              <w:bottom w:val="single" w:sz="4" w:space="0" w:color="7E7E7E"/>
            </w:tcBorders>
          </w:tcPr>
          <w:p>
            <w:pPr>
              <w:pStyle w:val="TableParagraph"/>
              <w:spacing w:line="189" w:lineRule="exact"/>
              <w:ind w:left="144"/>
              <w:rPr>
                <w:sz w:val="18"/>
              </w:rPr>
            </w:pPr>
            <w:r>
              <w:rPr>
                <w:sz w:val="18"/>
              </w:rPr>
              <w:t>285,48</w:t>
            </w:r>
          </w:p>
        </w:tc>
      </w:tr>
      <w:tr>
        <w:trPr>
          <w:trHeight w:val="206"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6" w:lineRule="exact"/>
              <w:rPr>
                <w:sz w:val="18"/>
              </w:rPr>
            </w:pPr>
            <w:r>
              <w:rPr>
                <w:sz w:val="18"/>
              </w:rPr>
              <w:t>Ortalama Puan</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1,4</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4,7</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3,2</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3,14</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,80</w:t>
            </w:r>
          </w:p>
        </w:tc>
      </w:tr>
      <w:tr>
        <w:trPr>
          <w:trHeight w:val="206" w:hRule="atLeast"/>
        </w:trPr>
        <w:tc>
          <w:tcPr>
            <w:tcW w:w="1133" w:type="dxa"/>
            <w:vMerge w:val="restart"/>
            <w:textDirection w:val="btLr"/>
          </w:tcPr>
          <w:p>
            <w:pPr>
              <w:pStyle w:val="TableParagraph"/>
              <w:ind w:left="0"/>
              <w:rPr>
                <w:sz w:val="20"/>
              </w:rPr>
            </w:pPr>
          </w:p>
          <w:p>
            <w:pPr>
              <w:pStyle w:val="TableParagraph"/>
              <w:spacing w:before="5"/>
              <w:ind w:left="0"/>
              <w:rPr>
                <w:sz w:val="20"/>
              </w:rPr>
            </w:pPr>
          </w:p>
          <w:p>
            <w:pPr>
              <w:pStyle w:val="TableParagraph"/>
              <w:ind w:left="47"/>
              <w:rPr>
                <w:b/>
                <w:sz w:val="18"/>
              </w:rPr>
            </w:pPr>
            <w:r>
              <w:rPr>
                <w:b/>
                <w:sz w:val="18"/>
              </w:rPr>
              <w:t>Koltuk</w:t>
            </w:r>
          </w:p>
        </w:tc>
        <w:tc>
          <w:tcPr>
            <w:tcW w:w="1903" w:type="dxa"/>
            <w:tcBorders>
              <w:top w:val="single" w:sz="4" w:space="0" w:color="7E7E7E"/>
              <w:bottom w:val="single" w:sz="4" w:space="0" w:color="7E7E7E"/>
            </w:tcBorders>
          </w:tcPr>
          <w:p>
            <w:pPr>
              <w:pStyle w:val="TableParagraph"/>
              <w:spacing w:line="186" w:lineRule="exact"/>
              <w:rPr>
                <w:sz w:val="18"/>
              </w:rPr>
            </w:pPr>
            <w:r>
              <w:rPr>
                <w:sz w:val="18"/>
              </w:rPr>
              <w:t>1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0</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73</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16</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22,08</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18,72</w:t>
            </w:r>
          </w:p>
        </w:tc>
      </w:tr>
      <w:tr>
        <w:trPr>
          <w:trHeight w:val="208" w:hRule="atLeast"/>
        </w:trPr>
        <w:tc>
          <w:tcPr>
            <w:tcW w:w="1133" w:type="dxa"/>
            <w:vMerge/>
            <w:tcBorders>
              <w:top w:val="nil"/>
            </w:tcBorders>
            <w:textDirection w:val="btLr"/>
          </w:tcPr>
          <w:p>
            <w:pPr>
              <w:rPr>
                <w:sz w:val="2"/>
                <w:szCs w:val="2"/>
              </w:rPr>
            </w:pPr>
          </w:p>
        </w:tc>
        <w:tc>
          <w:tcPr>
            <w:tcW w:w="1903" w:type="dxa"/>
            <w:tcBorders>
              <w:top w:val="single" w:sz="4" w:space="0" w:color="7E7E7E"/>
              <w:bottom w:val="single" w:sz="4" w:space="0" w:color="7E7E7E"/>
            </w:tcBorders>
          </w:tcPr>
          <w:p>
            <w:pPr>
              <w:pStyle w:val="TableParagraph"/>
              <w:spacing w:line="186" w:lineRule="exact" w:before="2"/>
              <w:rPr>
                <w:sz w:val="18"/>
              </w:rPr>
            </w:pPr>
            <w:r>
              <w:rPr>
                <w:sz w:val="18"/>
              </w:rPr>
              <w:t>2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before="2"/>
              <w:ind w:left="225"/>
              <w:rPr>
                <w:sz w:val="18"/>
              </w:rPr>
            </w:pPr>
            <w:r>
              <w:rPr>
                <w:sz w:val="18"/>
              </w:rPr>
              <w:t>0</w:t>
            </w:r>
          </w:p>
        </w:tc>
        <w:tc>
          <w:tcPr>
            <w:tcW w:w="1037" w:type="dxa"/>
            <w:tcBorders>
              <w:top w:val="single" w:sz="4" w:space="0" w:color="7E7E7E"/>
              <w:bottom w:val="single" w:sz="4" w:space="0" w:color="7E7E7E"/>
            </w:tcBorders>
          </w:tcPr>
          <w:p>
            <w:pPr>
              <w:pStyle w:val="TableParagraph"/>
              <w:spacing w:line="186" w:lineRule="exact" w:before="2"/>
              <w:ind w:left="164"/>
              <w:rPr>
                <w:sz w:val="18"/>
              </w:rPr>
            </w:pPr>
            <w:r>
              <w:rPr>
                <w:sz w:val="18"/>
              </w:rPr>
              <w:t>50</w:t>
            </w:r>
          </w:p>
        </w:tc>
        <w:tc>
          <w:tcPr>
            <w:tcW w:w="948" w:type="dxa"/>
            <w:tcBorders>
              <w:top w:val="single" w:sz="4" w:space="0" w:color="7E7E7E"/>
              <w:bottom w:val="single" w:sz="4" w:space="0" w:color="7E7E7E"/>
            </w:tcBorders>
          </w:tcPr>
          <w:p>
            <w:pPr>
              <w:pStyle w:val="TableParagraph"/>
              <w:spacing w:line="186" w:lineRule="exact" w:before="2"/>
              <w:ind w:left="150"/>
              <w:rPr>
                <w:sz w:val="18"/>
              </w:rPr>
            </w:pPr>
            <w:r>
              <w:rPr>
                <w:sz w:val="18"/>
              </w:rPr>
              <w:t>9</w:t>
            </w:r>
          </w:p>
        </w:tc>
        <w:tc>
          <w:tcPr>
            <w:tcW w:w="1163" w:type="dxa"/>
            <w:tcBorders>
              <w:top w:val="single" w:sz="4" w:space="0" w:color="7E7E7E"/>
              <w:bottom w:val="single" w:sz="4" w:space="0" w:color="7E7E7E"/>
            </w:tcBorders>
          </w:tcPr>
          <w:p>
            <w:pPr>
              <w:pStyle w:val="TableParagraph"/>
              <w:spacing w:line="186" w:lineRule="exact" w:before="2"/>
              <w:ind w:left="164"/>
              <w:rPr>
                <w:sz w:val="18"/>
              </w:rPr>
            </w:pPr>
            <w:r>
              <w:rPr>
                <w:sz w:val="18"/>
              </w:rPr>
              <w:t>11,99</w:t>
            </w:r>
          </w:p>
        </w:tc>
        <w:tc>
          <w:tcPr>
            <w:tcW w:w="1291" w:type="dxa"/>
            <w:tcBorders>
              <w:top w:val="single" w:sz="4" w:space="0" w:color="7E7E7E"/>
              <w:bottom w:val="single" w:sz="4" w:space="0" w:color="7E7E7E"/>
            </w:tcBorders>
          </w:tcPr>
          <w:p>
            <w:pPr>
              <w:pStyle w:val="TableParagraph"/>
              <w:spacing w:line="186" w:lineRule="exact" w:before="2"/>
              <w:ind w:left="144"/>
              <w:rPr>
                <w:sz w:val="18"/>
              </w:rPr>
            </w:pPr>
            <w:r>
              <w:rPr>
                <w:sz w:val="18"/>
              </w:rPr>
              <w:t>13,39</w:t>
            </w:r>
          </w:p>
        </w:tc>
      </w:tr>
      <w:tr>
        <w:trPr>
          <w:trHeight w:val="206" w:hRule="atLeast"/>
        </w:trPr>
        <w:tc>
          <w:tcPr>
            <w:tcW w:w="1133" w:type="dxa"/>
            <w:vMerge/>
            <w:tcBorders>
              <w:top w:val="nil"/>
            </w:tcBorders>
            <w:textDirection w:val="btLr"/>
          </w:tcPr>
          <w:p>
            <w:pPr>
              <w:rPr>
                <w:sz w:val="2"/>
                <w:szCs w:val="2"/>
              </w:rPr>
            </w:pPr>
          </w:p>
        </w:tc>
        <w:tc>
          <w:tcPr>
            <w:tcW w:w="1903" w:type="dxa"/>
            <w:tcBorders>
              <w:top w:val="single" w:sz="4" w:space="0" w:color="7E7E7E"/>
              <w:bottom w:val="single" w:sz="4" w:space="0" w:color="7E7E7E"/>
            </w:tcBorders>
          </w:tcPr>
          <w:p>
            <w:pPr>
              <w:pStyle w:val="TableParagraph"/>
              <w:spacing w:line="186" w:lineRule="exact"/>
              <w:rPr>
                <w:sz w:val="18"/>
              </w:rPr>
            </w:pPr>
            <w:r>
              <w:rPr>
                <w:sz w:val="18"/>
              </w:rPr>
              <w:t>3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0</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100</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12</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14,92</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19,92</w:t>
            </w:r>
          </w:p>
        </w:tc>
      </w:tr>
      <w:tr>
        <w:trPr>
          <w:trHeight w:val="208"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8" w:lineRule="exact"/>
              <w:rPr>
                <w:sz w:val="18"/>
              </w:rPr>
            </w:pPr>
            <w:r>
              <w:rPr>
                <w:sz w:val="18"/>
              </w:rPr>
              <w:t>4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8" w:lineRule="exact"/>
              <w:ind w:left="225"/>
              <w:rPr>
                <w:sz w:val="18"/>
              </w:rPr>
            </w:pPr>
            <w:r>
              <w:rPr>
                <w:sz w:val="18"/>
              </w:rPr>
              <w:t>0</w:t>
            </w:r>
          </w:p>
        </w:tc>
        <w:tc>
          <w:tcPr>
            <w:tcW w:w="1037" w:type="dxa"/>
            <w:tcBorders>
              <w:top w:val="single" w:sz="4" w:space="0" w:color="7E7E7E"/>
              <w:bottom w:val="single" w:sz="4" w:space="0" w:color="7E7E7E"/>
            </w:tcBorders>
          </w:tcPr>
          <w:p>
            <w:pPr>
              <w:pStyle w:val="TableParagraph"/>
              <w:spacing w:line="188" w:lineRule="exact"/>
              <w:ind w:left="164"/>
              <w:rPr>
                <w:sz w:val="18"/>
              </w:rPr>
            </w:pPr>
            <w:r>
              <w:rPr>
                <w:sz w:val="18"/>
              </w:rPr>
              <w:t>100</w:t>
            </w:r>
          </w:p>
        </w:tc>
        <w:tc>
          <w:tcPr>
            <w:tcW w:w="948" w:type="dxa"/>
            <w:tcBorders>
              <w:top w:val="single" w:sz="4" w:space="0" w:color="7E7E7E"/>
              <w:bottom w:val="single" w:sz="4" w:space="0" w:color="7E7E7E"/>
            </w:tcBorders>
          </w:tcPr>
          <w:p>
            <w:pPr>
              <w:pStyle w:val="TableParagraph"/>
              <w:spacing w:line="188" w:lineRule="exact"/>
              <w:ind w:left="150"/>
              <w:rPr>
                <w:sz w:val="18"/>
              </w:rPr>
            </w:pPr>
            <w:r>
              <w:rPr>
                <w:sz w:val="18"/>
              </w:rPr>
              <w:t>19</w:t>
            </w:r>
          </w:p>
        </w:tc>
        <w:tc>
          <w:tcPr>
            <w:tcW w:w="1163" w:type="dxa"/>
            <w:tcBorders>
              <w:top w:val="single" w:sz="4" w:space="0" w:color="7E7E7E"/>
              <w:bottom w:val="single" w:sz="4" w:space="0" w:color="7E7E7E"/>
            </w:tcBorders>
          </w:tcPr>
          <w:p>
            <w:pPr>
              <w:pStyle w:val="TableParagraph"/>
              <w:spacing w:line="188" w:lineRule="exact"/>
              <w:ind w:left="164"/>
              <w:rPr>
                <w:sz w:val="18"/>
              </w:rPr>
            </w:pPr>
            <w:r>
              <w:rPr>
                <w:sz w:val="18"/>
              </w:rPr>
              <w:t>21,65</w:t>
            </w:r>
          </w:p>
        </w:tc>
        <w:tc>
          <w:tcPr>
            <w:tcW w:w="1291" w:type="dxa"/>
            <w:tcBorders>
              <w:top w:val="single" w:sz="4" w:space="0" w:color="7E7E7E"/>
              <w:bottom w:val="single" w:sz="4" w:space="0" w:color="7E7E7E"/>
            </w:tcBorders>
          </w:tcPr>
          <w:p>
            <w:pPr>
              <w:pStyle w:val="TableParagraph"/>
              <w:spacing w:line="188" w:lineRule="exact"/>
              <w:ind w:left="144"/>
              <w:rPr>
                <w:sz w:val="18"/>
              </w:rPr>
            </w:pPr>
            <w:r>
              <w:rPr>
                <w:sz w:val="18"/>
              </w:rPr>
              <w:t>22,8</w:t>
            </w:r>
          </w:p>
        </w:tc>
      </w:tr>
      <w:tr>
        <w:trPr>
          <w:trHeight w:val="206"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6" w:lineRule="exact"/>
              <w:rPr>
                <w:sz w:val="18"/>
              </w:rPr>
            </w:pPr>
            <w:r>
              <w:rPr>
                <w:sz w:val="18"/>
              </w:rPr>
              <w:t>5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0</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71</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36</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29,35</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20,79</w:t>
            </w:r>
          </w:p>
        </w:tc>
      </w:tr>
      <w:tr>
        <w:trPr>
          <w:trHeight w:val="205"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6" w:lineRule="exact"/>
              <w:rPr>
                <w:sz w:val="18"/>
              </w:rPr>
            </w:pPr>
            <w:r>
              <w:rPr>
                <w:sz w:val="18"/>
              </w:rPr>
              <w:t>Fiyat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132,84</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2655,44</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493,94</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703,22</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563,82</w:t>
            </w:r>
          </w:p>
        </w:tc>
      </w:tr>
      <w:tr>
        <w:trPr>
          <w:trHeight w:val="208" w:hRule="atLeast"/>
        </w:trPr>
        <w:tc>
          <w:tcPr>
            <w:tcW w:w="1133" w:type="dxa"/>
            <w:tcBorders>
              <w:bottom w:val="single" w:sz="8" w:space="0" w:color="000000"/>
            </w:tcBorders>
          </w:tcPr>
          <w:p>
            <w:pPr>
              <w:pStyle w:val="TableParagraph"/>
              <w:ind w:left="0"/>
              <w:rPr>
                <w:sz w:val="14"/>
              </w:rPr>
            </w:pPr>
          </w:p>
        </w:tc>
        <w:tc>
          <w:tcPr>
            <w:tcW w:w="1903" w:type="dxa"/>
            <w:tcBorders>
              <w:top w:val="single" w:sz="4" w:space="0" w:color="7E7E7E"/>
              <w:bottom w:val="single" w:sz="8" w:space="0" w:color="000000"/>
            </w:tcBorders>
          </w:tcPr>
          <w:p>
            <w:pPr>
              <w:pStyle w:val="TableParagraph"/>
              <w:spacing w:line="186" w:lineRule="exact" w:before="2"/>
              <w:rPr>
                <w:sz w:val="18"/>
              </w:rPr>
            </w:pPr>
            <w:r>
              <w:rPr>
                <w:sz w:val="18"/>
              </w:rPr>
              <w:t>İndirim Oranı (%)</w:t>
            </w:r>
          </w:p>
        </w:tc>
        <w:tc>
          <w:tcPr>
            <w:tcW w:w="550" w:type="dxa"/>
            <w:tcBorders>
              <w:top w:val="single" w:sz="4" w:space="0" w:color="7E7E7E"/>
              <w:bottom w:val="single" w:sz="8" w:space="0" w:color="000000"/>
            </w:tcBorders>
          </w:tcPr>
          <w:p>
            <w:pPr>
              <w:pStyle w:val="TableParagraph"/>
              <w:ind w:left="0"/>
              <w:rPr>
                <w:sz w:val="14"/>
              </w:rPr>
            </w:pPr>
          </w:p>
        </w:tc>
        <w:tc>
          <w:tcPr>
            <w:tcW w:w="887" w:type="dxa"/>
            <w:tcBorders>
              <w:top w:val="single" w:sz="4" w:space="0" w:color="7E7E7E"/>
              <w:bottom w:val="single" w:sz="8" w:space="0" w:color="000000"/>
            </w:tcBorders>
          </w:tcPr>
          <w:p>
            <w:pPr>
              <w:pStyle w:val="TableParagraph"/>
              <w:spacing w:line="186" w:lineRule="exact" w:before="2"/>
              <w:ind w:left="225"/>
              <w:rPr>
                <w:sz w:val="18"/>
              </w:rPr>
            </w:pPr>
            <w:r>
              <w:rPr>
                <w:sz w:val="18"/>
              </w:rPr>
              <w:t>0</w:t>
            </w:r>
          </w:p>
        </w:tc>
        <w:tc>
          <w:tcPr>
            <w:tcW w:w="1037" w:type="dxa"/>
            <w:tcBorders>
              <w:top w:val="single" w:sz="4" w:space="0" w:color="7E7E7E"/>
              <w:bottom w:val="single" w:sz="8" w:space="0" w:color="000000"/>
            </w:tcBorders>
          </w:tcPr>
          <w:p>
            <w:pPr>
              <w:pStyle w:val="TableParagraph"/>
              <w:spacing w:line="186" w:lineRule="exact" w:before="2"/>
              <w:ind w:left="164"/>
              <w:rPr>
                <w:sz w:val="18"/>
              </w:rPr>
            </w:pPr>
            <w:r>
              <w:rPr>
                <w:sz w:val="18"/>
              </w:rPr>
              <w:t>52</w:t>
            </w:r>
          </w:p>
        </w:tc>
        <w:tc>
          <w:tcPr>
            <w:tcW w:w="948" w:type="dxa"/>
            <w:tcBorders>
              <w:top w:val="single" w:sz="4" w:space="0" w:color="7E7E7E"/>
              <w:bottom w:val="single" w:sz="8" w:space="0" w:color="000000"/>
            </w:tcBorders>
          </w:tcPr>
          <w:p>
            <w:pPr>
              <w:pStyle w:val="TableParagraph"/>
              <w:spacing w:line="186" w:lineRule="exact" w:before="2"/>
              <w:ind w:left="150"/>
              <w:rPr>
                <w:sz w:val="18"/>
              </w:rPr>
            </w:pPr>
            <w:r>
              <w:rPr>
                <w:sz w:val="18"/>
              </w:rPr>
              <w:t>0</w:t>
            </w:r>
          </w:p>
        </w:tc>
        <w:tc>
          <w:tcPr>
            <w:tcW w:w="1163" w:type="dxa"/>
            <w:tcBorders>
              <w:top w:val="single" w:sz="4" w:space="0" w:color="7E7E7E"/>
              <w:bottom w:val="single" w:sz="8" w:space="0" w:color="000000"/>
            </w:tcBorders>
          </w:tcPr>
          <w:p>
            <w:pPr>
              <w:pStyle w:val="TableParagraph"/>
              <w:spacing w:line="186" w:lineRule="exact" w:before="2"/>
              <w:ind w:left="164"/>
              <w:rPr>
                <w:sz w:val="18"/>
              </w:rPr>
            </w:pPr>
            <w:r>
              <w:rPr>
                <w:sz w:val="18"/>
              </w:rPr>
              <w:t>7,94</w:t>
            </w:r>
          </w:p>
        </w:tc>
        <w:tc>
          <w:tcPr>
            <w:tcW w:w="1291" w:type="dxa"/>
            <w:tcBorders>
              <w:top w:val="single" w:sz="4" w:space="0" w:color="7E7E7E"/>
              <w:bottom w:val="single" w:sz="8" w:space="0" w:color="000000"/>
            </w:tcBorders>
          </w:tcPr>
          <w:p>
            <w:pPr>
              <w:pStyle w:val="TableParagraph"/>
              <w:spacing w:line="186" w:lineRule="exact" w:before="2"/>
              <w:ind w:left="144"/>
              <w:rPr>
                <w:sz w:val="18"/>
              </w:rPr>
            </w:pPr>
            <w:r>
              <w:rPr>
                <w:sz w:val="18"/>
              </w:rPr>
              <w:t>13,30</w:t>
            </w:r>
          </w:p>
        </w:tc>
      </w:tr>
      <w:tr>
        <w:trPr>
          <w:trHeight w:val="205" w:hRule="atLeast"/>
        </w:trPr>
        <w:tc>
          <w:tcPr>
            <w:tcW w:w="1133" w:type="dxa"/>
            <w:tcBorders>
              <w:top w:val="single" w:sz="8" w:space="0" w:color="000000"/>
            </w:tcBorders>
          </w:tcPr>
          <w:p>
            <w:pPr>
              <w:pStyle w:val="TableParagraph"/>
              <w:ind w:left="0"/>
              <w:rPr>
                <w:sz w:val="14"/>
              </w:rPr>
            </w:pPr>
          </w:p>
        </w:tc>
        <w:tc>
          <w:tcPr>
            <w:tcW w:w="1903" w:type="dxa"/>
            <w:tcBorders>
              <w:top w:val="single" w:sz="8" w:space="0" w:color="000000"/>
              <w:bottom w:val="single" w:sz="4" w:space="0" w:color="7E7E7E"/>
            </w:tcBorders>
          </w:tcPr>
          <w:p>
            <w:pPr>
              <w:pStyle w:val="TableParagraph"/>
              <w:spacing w:line="186" w:lineRule="exact"/>
              <w:rPr>
                <w:sz w:val="18"/>
              </w:rPr>
            </w:pPr>
            <w:r>
              <w:rPr>
                <w:sz w:val="18"/>
              </w:rPr>
              <w:t>Ürün</w:t>
            </w:r>
          </w:p>
        </w:tc>
        <w:tc>
          <w:tcPr>
            <w:tcW w:w="550" w:type="dxa"/>
            <w:tcBorders>
              <w:top w:val="single" w:sz="8" w:space="0" w:color="000000"/>
              <w:bottom w:val="single" w:sz="4" w:space="0" w:color="7E7E7E"/>
            </w:tcBorders>
          </w:tcPr>
          <w:p>
            <w:pPr>
              <w:pStyle w:val="TableParagraph"/>
              <w:spacing w:line="186" w:lineRule="exact"/>
              <w:ind w:left="192"/>
              <w:rPr>
                <w:sz w:val="18"/>
              </w:rPr>
            </w:pPr>
            <w:r>
              <w:rPr>
                <w:sz w:val="18"/>
              </w:rPr>
              <w:t>31</w:t>
            </w:r>
          </w:p>
        </w:tc>
        <w:tc>
          <w:tcPr>
            <w:tcW w:w="887" w:type="dxa"/>
            <w:tcBorders>
              <w:top w:val="single" w:sz="8" w:space="0" w:color="000000"/>
              <w:bottom w:val="single" w:sz="4" w:space="0" w:color="7E7E7E"/>
            </w:tcBorders>
          </w:tcPr>
          <w:p>
            <w:pPr>
              <w:pStyle w:val="TableParagraph"/>
              <w:ind w:left="0"/>
              <w:rPr>
                <w:sz w:val="14"/>
              </w:rPr>
            </w:pPr>
          </w:p>
        </w:tc>
        <w:tc>
          <w:tcPr>
            <w:tcW w:w="1037" w:type="dxa"/>
            <w:tcBorders>
              <w:top w:val="single" w:sz="8" w:space="0" w:color="000000"/>
              <w:bottom w:val="single" w:sz="4" w:space="0" w:color="7E7E7E"/>
            </w:tcBorders>
          </w:tcPr>
          <w:p>
            <w:pPr>
              <w:pStyle w:val="TableParagraph"/>
              <w:ind w:left="0"/>
              <w:rPr>
                <w:sz w:val="14"/>
              </w:rPr>
            </w:pPr>
          </w:p>
        </w:tc>
        <w:tc>
          <w:tcPr>
            <w:tcW w:w="948" w:type="dxa"/>
            <w:tcBorders>
              <w:top w:val="single" w:sz="8" w:space="0" w:color="000000"/>
              <w:bottom w:val="single" w:sz="4" w:space="0" w:color="7E7E7E"/>
            </w:tcBorders>
          </w:tcPr>
          <w:p>
            <w:pPr>
              <w:pStyle w:val="TableParagraph"/>
              <w:ind w:left="0"/>
              <w:rPr>
                <w:sz w:val="14"/>
              </w:rPr>
            </w:pPr>
          </w:p>
        </w:tc>
        <w:tc>
          <w:tcPr>
            <w:tcW w:w="1163" w:type="dxa"/>
            <w:tcBorders>
              <w:top w:val="single" w:sz="8" w:space="0" w:color="000000"/>
              <w:bottom w:val="single" w:sz="4" w:space="0" w:color="7E7E7E"/>
            </w:tcBorders>
          </w:tcPr>
          <w:p>
            <w:pPr>
              <w:pStyle w:val="TableParagraph"/>
              <w:ind w:left="0"/>
              <w:rPr>
                <w:sz w:val="14"/>
              </w:rPr>
            </w:pPr>
          </w:p>
        </w:tc>
        <w:tc>
          <w:tcPr>
            <w:tcW w:w="1291" w:type="dxa"/>
            <w:tcBorders>
              <w:top w:val="single" w:sz="8" w:space="0" w:color="000000"/>
              <w:bottom w:val="single" w:sz="4" w:space="0" w:color="7E7E7E"/>
            </w:tcBorders>
          </w:tcPr>
          <w:p>
            <w:pPr>
              <w:pStyle w:val="TableParagraph"/>
              <w:ind w:left="0"/>
              <w:rPr>
                <w:sz w:val="14"/>
              </w:rPr>
            </w:pPr>
          </w:p>
        </w:tc>
      </w:tr>
      <w:tr>
        <w:trPr>
          <w:trHeight w:val="208"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6" w:lineRule="exact" w:before="2"/>
              <w:rPr>
                <w:sz w:val="18"/>
              </w:rPr>
            </w:pPr>
            <w:r>
              <w:rPr>
                <w:sz w:val="18"/>
              </w:rPr>
              <w:t>Satış Sıralaması</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before="2"/>
              <w:ind w:left="225"/>
              <w:rPr>
                <w:sz w:val="18"/>
              </w:rPr>
            </w:pPr>
            <w:r>
              <w:rPr>
                <w:sz w:val="18"/>
              </w:rPr>
              <w:t>26</w:t>
            </w:r>
          </w:p>
        </w:tc>
        <w:tc>
          <w:tcPr>
            <w:tcW w:w="1037" w:type="dxa"/>
            <w:tcBorders>
              <w:top w:val="single" w:sz="4" w:space="0" w:color="7E7E7E"/>
              <w:bottom w:val="single" w:sz="4" w:space="0" w:color="7E7E7E"/>
            </w:tcBorders>
          </w:tcPr>
          <w:p>
            <w:pPr>
              <w:pStyle w:val="TableParagraph"/>
              <w:spacing w:line="186" w:lineRule="exact" w:before="2"/>
              <w:ind w:left="164"/>
              <w:rPr>
                <w:sz w:val="18"/>
              </w:rPr>
            </w:pPr>
            <w:r>
              <w:rPr>
                <w:sz w:val="18"/>
              </w:rPr>
              <w:t>183687</w:t>
            </w:r>
          </w:p>
        </w:tc>
        <w:tc>
          <w:tcPr>
            <w:tcW w:w="948" w:type="dxa"/>
            <w:tcBorders>
              <w:top w:val="single" w:sz="4" w:space="0" w:color="7E7E7E"/>
              <w:bottom w:val="single" w:sz="4" w:space="0" w:color="7E7E7E"/>
            </w:tcBorders>
          </w:tcPr>
          <w:p>
            <w:pPr>
              <w:pStyle w:val="TableParagraph"/>
              <w:spacing w:line="186" w:lineRule="exact" w:before="2"/>
              <w:ind w:left="150"/>
              <w:rPr>
                <w:sz w:val="18"/>
              </w:rPr>
            </w:pPr>
            <w:r>
              <w:rPr>
                <w:sz w:val="18"/>
              </w:rPr>
              <w:t>5907</w:t>
            </w:r>
          </w:p>
        </w:tc>
        <w:tc>
          <w:tcPr>
            <w:tcW w:w="1163" w:type="dxa"/>
            <w:tcBorders>
              <w:top w:val="single" w:sz="4" w:space="0" w:color="7E7E7E"/>
              <w:bottom w:val="single" w:sz="4" w:space="0" w:color="7E7E7E"/>
            </w:tcBorders>
          </w:tcPr>
          <w:p>
            <w:pPr>
              <w:pStyle w:val="TableParagraph"/>
              <w:spacing w:line="186" w:lineRule="exact" w:before="2"/>
              <w:ind w:left="164"/>
              <w:rPr>
                <w:sz w:val="18"/>
              </w:rPr>
            </w:pPr>
            <w:r>
              <w:rPr>
                <w:sz w:val="18"/>
              </w:rPr>
              <w:t>15491,47</w:t>
            </w:r>
          </w:p>
        </w:tc>
        <w:tc>
          <w:tcPr>
            <w:tcW w:w="1291" w:type="dxa"/>
            <w:tcBorders>
              <w:top w:val="single" w:sz="4" w:space="0" w:color="7E7E7E"/>
              <w:bottom w:val="single" w:sz="4" w:space="0" w:color="7E7E7E"/>
            </w:tcBorders>
          </w:tcPr>
          <w:p>
            <w:pPr>
              <w:pStyle w:val="TableParagraph"/>
              <w:spacing w:line="186" w:lineRule="exact" w:before="2"/>
              <w:ind w:left="144"/>
              <w:rPr>
                <w:sz w:val="18"/>
              </w:rPr>
            </w:pPr>
            <w:r>
              <w:rPr>
                <w:sz w:val="18"/>
              </w:rPr>
              <w:t>26994,21</w:t>
            </w:r>
          </w:p>
        </w:tc>
      </w:tr>
      <w:tr>
        <w:trPr>
          <w:trHeight w:val="206"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6" w:lineRule="exact"/>
              <w:rPr>
                <w:sz w:val="18"/>
              </w:rPr>
            </w:pPr>
            <w:r>
              <w:rPr>
                <w:sz w:val="18"/>
              </w:rPr>
              <w:t>Toplam Yorum Sayısı</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1</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2469</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91</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317,44</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553,52</w:t>
            </w:r>
          </w:p>
        </w:tc>
      </w:tr>
      <w:tr>
        <w:trPr>
          <w:trHeight w:val="208" w:hRule="atLeast"/>
        </w:trPr>
        <w:tc>
          <w:tcPr>
            <w:tcW w:w="1133" w:type="dxa"/>
            <w:vMerge w:val="restart"/>
            <w:textDirection w:val="btLr"/>
          </w:tcPr>
          <w:p>
            <w:pPr>
              <w:pStyle w:val="TableParagraph"/>
              <w:ind w:left="0"/>
              <w:rPr>
                <w:sz w:val="20"/>
              </w:rPr>
            </w:pPr>
          </w:p>
          <w:p>
            <w:pPr>
              <w:pStyle w:val="TableParagraph"/>
              <w:spacing w:before="5"/>
              <w:ind w:left="0"/>
              <w:rPr>
                <w:sz w:val="20"/>
              </w:rPr>
            </w:pPr>
          </w:p>
          <w:p>
            <w:pPr>
              <w:pStyle w:val="TableParagraph"/>
              <w:ind w:left="119"/>
              <w:rPr>
                <w:b/>
                <w:sz w:val="18"/>
              </w:rPr>
            </w:pPr>
            <w:r>
              <w:rPr>
                <w:b/>
                <w:sz w:val="18"/>
              </w:rPr>
              <w:t>Televizyon</w:t>
            </w:r>
          </w:p>
        </w:tc>
        <w:tc>
          <w:tcPr>
            <w:tcW w:w="1903" w:type="dxa"/>
            <w:tcBorders>
              <w:top w:val="single" w:sz="4" w:space="0" w:color="7E7E7E"/>
              <w:bottom w:val="single" w:sz="4" w:space="0" w:color="7E7E7E"/>
            </w:tcBorders>
          </w:tcPr>
          <w:p>
            <w:pPr>
              <w:pStyle w:val="TableParagraph"/>
              <w:spacing w:line="188" w:lineRule="exact"/>
              <w:rPr>
                <w:sz w:val="18"/>
              </w:rPr>
            </w:pPr>
            <w:r>
              <w:rPr>
                <w:sz w:val="18"/>
              </w:rPr>
              <w:t>Ortalama Puan</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8" w:lineRule="exact"/>
              <w:ind w:left="225"/>
              <w:rPr>
                <w:sz w:val="18"/>
              </w:rPr>
            </w:pPr>
            <w:r>
              <w:rPr>
                <w:sz w:val="18"/>
              </w:rPr>
              <w:t>2</w:t>
            </w:r>
          </w:p>
        </w:tc>
        <w:tc>
          <w:tcPr>
            <w:tcW w:w="1037" w:type="dxa"/>
            <w:tcBorders>
              <w:top w:val="single" w:sz="4" w:space="0" w:color="7E7E7E"/>
              <w:bottom w:val="single" w:sz="4" w:space="0" w:color="7E7E7E"/>
            </w:tcBorders>
          </w:tcPr>
          <w:p>
            <w:pPr>
              <w:pStyle w:val="TableParagraph"/>
              <w:spacing w:line="188" w:lineRule="exact"/>
              <w:ind w:left="164"/>
              <w:rPr>
                <w:sz w:val="18"/>
              </w:rPr>
            </w:pPr>
            <w:r>
              <w:rPr>
                <w:sz w:val="18"/>
              </w:rPr>
              <w:t>5</w:t>
            </w:r>
          </w:p>
        </w:tc>
        <w:tc>
          <w:tcPr>
            <w:tcW w:w="948" w:type="dxa"/>
            <w:tcBorders>
              <w:top w:val="single" w:sz="4" w:space="0" w:color="7E7E7E"/>
              <w:bottom w:val="single" w:sz="4" w:space="0" w:color="7E7E7E"/>
            </w:tcBorders>
          </w:tcPr>
          <w:p>
            <w:pPr>
              <w:pStyle w:val="TableParagraph"/>
              <w:spacing w:line="188" w:lineRule="exact"/>
              <w:ind w:left="150"/>
              <w:rPr>
                <w:sz w:val="18"/>
              </w:rPr>
            </w:pPr>
            <w:r>
              <w:rPr>
                <w:sz w:val="18"/>
              </w:rPr>
              <w:t>4,1</w:t>
            </w:r>
          </w:p>
        </w:tc>
        <w:tc>
          <w:tcPr>
            <w:tcW w:w="1163" w:type="dxa"/>
            <w:tcBorders>
              <w:top w:val="single" w:sz="4" w:space="0" w:color="7E7E7E"/>
              <w:bottom w:val="single" w:sz="4" w:space="0" w:color="7E7E7E"/>
            </w:tcBorders>
          </w:tcPr>
          <w:p>
            <w:pPr>
              <w:pStyle w:val="TableParagraph"/>
              <w:spacing w:line="188" w:lineRule="exact"/>
              <w:ind w:left="164"/>
              <w:rPr>
                <w:sz w:val="18"/>
              </w:rPr>
            </w:pPr>
            <w:r>
              <w:rPr>
                <w:sz w:val="18"/>
              </w:rPr>
              <w:t>3,99</w:t>
            </w:r>
          </w:p>
        </w:tc>
        <w:tc>
          <w:tcPr>
            <w:tcW w:w="1291" w:type="dxa"/>
            <w:tcBorders>
              <w:top w:val="single" w:sz="4" w:space="0" w:color="7E7E7E"/>
              <w:bottom w:val="single" w:sz="4" w:space="0" w:color="7E7E7E"/>
            </w:tcBorders>
          </w:tcPr>
          <w:p>
            <w:pPr>
              <w:pStyle w:val="TableParagraph"/>
              <w:spacing w:line="188" w:lineRule="exact"/>
              <w:ind w:left="144"/>
              <w:rPr>
                <w:sz w:val="18"/>
              </w:rPr>
            </w:pPr>
            <w:r>
              <w:rPr>
                <w:sz w:val="18"/>
              </w:rPr>
              <w:t>,40</w:t>
            </w:r>
          </w:p>
        </w:tc>
      </w:tr>
      <w:tr>
        <w:trPr>
          <w:trHeight w:val="206" w:hRule="atLeast"/>
        </w:trPr>
        <w:tc>
          <w:tcPr>
            <w:tcW w:w="1133" w:type="dxa"/>
            <w:vMerge/>
            <w:tcBorders>
              <w:top w:val="nil"/>
            </w:tcBorders>
            <w:textDirection w:val="btLr"/>
          </w:tcPr>
          <w:p>
            <w:pPr>
              <w:rPr>
                <w:sz w:val="2"/>
                <w:szCs w:val="2"/>
              </w:rPr>
            </w:pPr>
          </w:p>
        </w:tc>
        <w:tc>
          <w:tcPr>
            <w:tcW w:w="1903" w:type="dxa"/>
            <w:tcBorders>
              <w:top w:val="single" w:sz="4" w:space="0" w:color="7E7E7E"/>
              <w:bottom w:val="single" w:sz="4" w:space="0" w:color="7E7E7E"/>
            </w:tcBorders>
          </w:tcPr>
          <w:p>
            <w:pPr>
              <w:pStyle w:val="TableParagraph"/>
              <w:spacing w:line="186" w:lineRule="exact"/>
              <w:rPr>
                <w:sz w:val="18"/>
              </w:rPr>
            </w:pPr>
            <w:r>
              <w:rPr>
                <w:sz w:val="18"/>
              </w:rPr>
              <w:t>1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0</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72</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12</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13,86</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9,66</w:t>
            </w:r>
          </w:p>
        </w:tc>
      </w:tr>
      <w:tr>
        <w:trPr>
          <w:trHeight w:val="208" w:hRule="atLeast"/>
        </w:trPr>
        <w:tc>
          <w:tcPr>
            <w:tcW w:w="1133" w:type="dxa"/>
            <w:vMerge/>
            <w:tcBorders>
              <w:top w:val="nil"/>
            </w:tcBorders>
            <w:textDirection w:val="btLr"/>
          </w:tcPr>
          <w:p>
            <w:pPr>
              <w:rPr>
                <w:sz w:val="2"/>
                <w:szCs w:val="2"/>
              </w:rPr>
            </w:pPr>
          </w:p>
        </w:tc>
        <w:tc>
          <w:tcPr>
            <w:tcW w:w="1903" w:type="dxa"/>
            <w:tcBorders>
              <w:top w:val="single" w:sz="4" w:space="0" w:color="7E7E7E"/>
              <w:bottom w:val="single" w:sz="4" w:space="0" w:color="7E7E7E"/>
            </w:tcBorders>
          </w:tcPr>
          <w:p>
            <w:pPr>
              <w:pStyle w:val="TableParagraph"/>
              <w:spacing w:line="188" w:lineRule="exact"/>
              <w:rPr>
                <w:sz w:val="18"/>
              </w:rPr>
            </w:pPr>
            <w:r>
              <w:rPr>
                <w:sz w:val="18"/>
              </w:rPr>
              <w:t>2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8" w:lineRule="exact"/>
              <w:ind w:left="225"/>
              <w:rPr>
                <w:sz w:val="18"/>
              </w:rPr>
            </w:pPr>
            <w:r>
              <w:rPr>
                <w:sz w:val="18"/>
              </w:rPr>
              <w:t>0</w:t>
            </w:r>
          </w:p>
        </w:tc>
        <w:tc>
          <w:tcPr>
            <w:tcW w:w="1037" w:type="dxa"/>
            <w:tcBorders>
              <w:top w:val="single" w:sz="4" w:space="0" w:color="7E7E7E"/>
              <w:bottom w:val="single" w:sz="4" w:space="0" w:color="7E7E7E"/>
            </w:tcBorders>
          </w:tcPr>
          <w:p>
            <w:pPr>
              <w:pStyle w:val="TableParagraph"/>
              <w:spacing w:line="188" w:lineRule="exact"/>
              <w:ind w:left="164"/>
              <w:rPr>
                <w:sz w:val="18"/>
              </w:rPr>
            </w:pPr>
            <w:r>
              <w:rPr>
                <w:sz w:val="18"/>
              </w:rPr>
              <w:t>100</w:t>
            </w:r>
          </w:p>
        </w:tc>
        <w:tc>
          <w:tcPr>
            <w:tcW w:w="948" w:type="dxa"/>
            <w:tcBorders>
              <w:top w:val="single" w:sz="4" w:space="0" w:color="7E7E7E"/>
              <w:bottom w:val="single" w:sz="4" w:space="0" w:color="7E7E7E"/>
            </w:tcBorders>
          </w:tcPr>
          <w:p>
            <w:pPr>
              <w:pStyle w:val="TableParagraph"/>
              <w:spacing w:line="188" w:lineRule="exact"/>
              <w:ind w:left="150"/>
              <w:rPr>
                <w:sz w:val="18"/>
              </w:rPr>
            </w:pPr>
            <w:r>
              <w:rPr>
                <w:sz w:val="18"/>
              </w:rPr>
              <w:t>5</w:t>
            </w:r>
          </w:p>
        </w:tc>
        <w:tc>
          <w:tcPr>
            <w:tcW w:w="1163" w:type="dxa"/>
            <w:tcBorders>
              <w:top w:val="single" w:sz="4" w:space="0" w:color="7E7E7E"/>
              <w:bottom w:val="single" w:sz="4" w:space="0" w:color="7E7E7E"/>
            </w:tcBorders>
          </w:tcPr>
          <w:p>
            <w:pPr>
              <w:pStyle w:val="TableParagraph"/>
              <w:spacing w:line="188" w:lineRule="exact"/>
              <w:ind w:left="164"/>
              <w:rPr>
                <w:sz w:val="18"/>
              </w:rPr>
            </w:pPr>
            <w:r>
              <w:rPr>
                <w:sz w:val="18"/>
              </w:rPr>
              <w:t>5,55</w:t>
            </w:r>
          </w:p>
        </w:tc>
        <w:tc>
          <w:tcPr>
            <w:tcW w:w="1291" w:type="dxa"/>
            <w:tcBorders>
              <w:top w:val="single" w:sz="4" w:space="0" w:color="7E7E7E"/>
              <w:bottom w:val="single" w:sz="4" w:space="0" w:color="7E7E7E"/>
            </w:tcBorders>
          </w:tcPr>
          <w:p>
            <w:pPr>
              <w:pStyle w:val="TableParagraph"/>
              <w:spacing w:line="188" w:lineRule="exact"/>
              <w:ind w:left="144"/>
              <w:rPr>
                <w:sz w:val="18"/>
              </w:rPr>
            </w:pPr>
            <w:r>
              <w:rPr>
                <w:sz w:val="18"/>
              </w:rPr>
              <w:t>6,86</w:t>
            </w:r>
          </w:p>
        </w:tc>
      </w:tr>
      <w:tr>
        <w:trPr>
          <w:trHeight w:val="206" w:hRule="atLeast"/>
        </w:trPr>
        <w:tc>
          <w:tcPr>
            <w:tcW w:w="1133" w:type="dxa"/>
            <w:vMerge/>
            <w:tcBorders>
              <w:top w:val="nil"/>
            </w:tcBorders>
            <w:textDirection w:val="btLr"/>
          </w:tcPr>
          <w:p>
            <w:pPr>
              <w:rPr>
                <w:sz w:val="2"/>
                <w:szCs w:val="2"/>
              </w:rPr>
            </w:pPr>
          </w:p>
        </w:tc>
        <w:tc>
          <w:tcPr>
            <w:tcW w:w="1903" w:type="dxa"/>
            <w:tcBorders>
              <w:top w:val="single" w:sz="4" w:space="0" w:color="7E7E7E"/>
              <w:bottom w:val="single" w:sz="4" w:space="0" w:color="7E7E7E"/>
            </w:tcBorders>
          </w:tcPr>
          <w:p>
            <w:pPr>
              <w:pStyle w:val="TableParagraph"/>
              <w:spacing w:line="186" w:lineRule="exact"/>
              <w:rPr>
                <w:sz w:val="18"/>
              </w:rPr>
            </w:pPr>
            <w:r>
              <w:rPr>
                <w:sz w:val="18"/>
              </w:rPr>
              <w:t>3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0</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25</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7</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6,68</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3,87</w:t>
            </w:r>
          </w:p>
        </w:tc>
      </w:tr>
      <w:tr>
        <w:trPr>
          <w:trHeight w:val="206" w:hRule="atLeast"/>
        </w:trPr>
        <w:tc>
          <w:tcPr>
            <w:tcW w:w="1133" w:type="dxa"/>
            <w:vMerge/>
            <w:tcBorders>
              <w:top w:val="nil"/>
            </w:tcBorders>
            <w:textDirection w:val="btLr"/>
          </w:tcPr>
          <w:p>
            <w:pPr>
              <w:rPr>
                <w:sz w:val="2"/>
                <w:szCs w:val="2"/>
              </w:rPr>
            </w:pPr>
          </w:p>
        </w:tc>
        <w:tc>
          <w:tcPr>
            <w:tcW w:w="1903" w:type="dxa"/>
            <w:tcBorders>
              <w:top w:val="single" w:sz="4" w:space="0" w:color="7E7E7E"/>
              <w:bottom w:val="single" w:sz="4" w:space="0" w:color="7E7E7E"/>
            </w:tcBorders>
          </w:tcPr>
          <w:p>
            <w:pPr>
              <w:pStyle w:val="TableParagraph"/>
              <w:spacing w:line="186" w:lineRule="exact"/>
              <w:rPr>
                <w:sz w:val="18"/>
              </w:rPr>
            </w:pPr>
            <w:r>
              <w:rPr>
                <w:sz w:val="18"/>
              </w:rPr>
              <w:t>4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0</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50</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16</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16,08</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7,22</w:t>
            </w:r>
          </w:p>
        </w:tc>
      </w:tr>
      <w:tr>
        <w:trPr>
          <w:trHeight w:val="208"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6" w:lineRule="exact" w:before="2"/>
              <w:rPr>
                <w:sz w:val="18"/>
              </w:rPr>
            </w:pPr>
            <w:r>
              <w:rPr>
                <w:sz w:val="18"/>
              </w:rPr>
              <w:t>5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before="2"/>
              <w:ind w:left="225"/>
              <w:rPr>
                <w:sz w:val="18"/>
              </w:rPr>
            </w:pPr>
            <w:r>
              <w:rPr>
                <w:sz w:val="18"/>
              </w:rPr>
              <w:t>0</w:t>
            </w:r>
          </w:p>
        </w:tc>
        <w:tc>
          <w:tcPr>
            <w:tcW w:w="1037" w:type="dxa"/>
            <w:tcBorders>
              <w:top w:val="single" w:sz="4" w:space="0" w:color="7E7E7E"/>
              <w:bottom w:val="single" w:sz="4" w:space="0" w:color="7E7E7E"/>
            </w:tcBorders>
          </w:tcPr>
          <w:p>
            <w:pPr>
              <w:pStyle w:val="TableParagraph"/>
              <w:spacing w:line="186" w:lineRule="exact" w:before="2"/>
              <w:ind w:left="164"/>
              <w:rPr>
                <w:sz w:val="18"/>
              </w:rPr>
            </w:pPr>
            <w:r>
              <w:rPr>
                <w:sz w:val="18"/>
              </w:rPr>
              <w:t>100</w:t>
            </w:r>
          </w:p>
        </w:tc>
        <w:tc>
          <w:tcPr>
            <w:tcW w:w="948" w:type="dxa"/>
            <w:tcBorders>
              <w:top w:val="single" w:sz="4" w:space="0" w:color="7E7E7E"/>
              <w:bottom w:val="single" w:sz="4" w:space="0" w:color="7E7E7E"/>
            </w:tcBorders>
          </w:tcPr>
          <w:p>
            <w:pPr>
              <w:pStyle w:val="TableParagraph"/>
              <w:spacing w:line="186" w:lineRule="exact" w:before="2"/>
              <w:ind w:left="150"/>
              <w:rPr>
                <w:sz w:val="18"/>
              </w:rPr>
            </w:pPr>
            <w:r>
              <w:rPr>
                <w:sz w:val="18"/>
              </w:rPr>
              <w:t>59</w:t>
            </w:r>
          </w:p>
        </w:tc>
        <w:tc>
          <w:tcPr>
            <w:tcW w:w="1163" w:type="dxa"/>
            <w:tcBorders>
              <w:top w:val="single" w:sz="4" w:space="0" w:color="7E7E7E"/>
              <w:bottom w:val="single" w:sz="4" w:space="0" w:color="7E7E7E"/>
            </w:tcBorders>
          </w:tcPr>
          <w:p>
            <w:pPr>
              <w:pStyle w:val="TableParagraph"/>
              <w:spacing w:line="186" w:lineRule="exact" w:before="2"/>
              <w:ind w:left="164"/>
              <w:rPr>
                <w:sz w:val="18"/>
              </w:rPr>
            </w:pPr>
            <w:r>
              <w:rPr>
                <w:sz w:val="18"/>
              </w:rPr>
              <w:t>57,83</w:t>
            </w:r>
          </w:p>
        </w:tc>
        <w:tc>
          <w:tcPr>
            <w:tcW w:w="1291" w:type="dxa"/>
            <w:tcBorders>
              <w:top w:val="single" w:sz="4" w:space="0" w:color="7E7E7E"/>
              <w:bottom w:val="single" w:sz="4" w:space="0" w:color="7E7E7E"/>
            </w:tcBorders>
          </w:tcPr>
          <w:p>
            <w:pPr>
              <w:pStyle w:val="TableParagraph"/>
              <w:spacing w:line="186" w:lineRule="exact" w:before="2"/>
              <w:ind w:left="144"/>
              <w:rPr>
                <w:sz w:val="18"/>
              </w:rPr>
            </w:pPr>
            <w:r>
              <w:rPr>
                <w:sz w:val="18"/>
              </w:rPr>
              <w:t>10,13</w:t>
            </w:r>
          </w:p>
        </w:tc>
      </w:tr>
      <w:tr>
        <w:trPr>
          <w:trHeight w:val="206"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6" w:lineRule="exact"/>
              <w:rPr>
                <w:sz w:val="18"/>
              </w:rPr>
            </w:pPr>
            <w:r>
              <w:rPr>
                <w:sz w:val="18"/>
              </w:rPr>
              <w:t>Fiyat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ind w:left="225"/>
              <w:rPr>
                <w:sz w:val="18"/>
              </w:rPr>
            </w:pPr>
            <w:r>
              <w:rPr>
                <w:sz w:val="18"/>
              </w:rPr>
              <w:t>87,99</w:t>
            </w:r>
          </w:p>
        </w:tc>
        <w:tc>
          <w:tcPr>
            <w:tcW w:w="1037" w:type="dxa"/>
            <w:tcBorders>
              <w:top w:val="single" w:sz="4" w:space="0" w:color="7E7E7E"/>
              <w:bottom w:val="single" w:sz="4" w:space="0" w:color="7E7E7E"/>
            </w:tcBorders>
          </w:tcPr>
          <w:p>
            <w:pPr>
              <w:pStyle w:val="TableParagraph"/>
              <w:spacing w:line="186" w:lineRule="exact"/>
              <w:ind w:left="164"/>
              <w:rPr>
                <w:sz w:val="18"/>
              </w:rPr>
            </w:pPr>
            <w:r>
              <w:rPr>
                <w:sz w:val="18"/>
              </w:rPr>
              <w:t>8998</w:t>
            </w:r>
          </w:p>
        </w:tc>
        <w:tc>
          <w:tcPr>
            <w:tcW w:w="948" w:type="dxa"/>
            <w:tcBorders>
              <w:top w:val="single" w:sz="4" w:space="0" w:color="7E7E7E"/>
              <w:bottom w:val="single" w:sz="4" w:space="0" w:color="7E7E7E"/>
            </w:tcBorders>
          </w:tcPr>
          <w:p>
            <w:pPr>
              <w:pStyle w:val="TableParagraph"/>
              <w:spacing w:line="186" w:lineRule="exact"/>
              <w:ind w:left="150"/>
              <w:rPr>
                <w:sz w:val="18"/>
              </w:rPr>
            </w:pPr>
            <w:r>
              <w:rPr>
                <w:sz w:val="18"/>
              </w:rPr>
              <w:t>349,99</w:t>
            </w:r>
          </w:p>
        </w:tc>
        <w:tc>
          <w:tcPr>
            <w:tcW w:w="1163" w:type="dxa"/>
            <w:tcBorders>
              <w:top w:val="single" w:sz="4" w:space="0" w:color="7E7E7E"/>
              <w:bottom w:val="single" w:sz="4" w:space="0" w:color="7E7E7E"/>
            </w:tcBorders>
          </w:tcPr>
          <w:p>
            <w:pPr>
              <w:pStyle w:val="TableParagraph"/>
              <w:spacing w:line="186" w:lineRule="exact"/>
              <w:ind w:left="164"/>
              <w:rPr>
                <w:sz w:val="18"/>
              </w:rPr>
            </w:pPr>
            <w:r>
              <w:rPr>
                <w:sz w:val="18"/>
              </w:rPr>
              <w:t>1020,12</w:t>
            </w:r>
          </w:p>
        </w:tc>
        <w:tc>
          <w:tcPr>
            <w:tcW w:w="1291" w:type="dxa"/>
            <w:tcBorders>
              <w:top w:val="single" w:sz="4" w:space="0" w:color="7E7E7E"/>
              <w:bottom w:val="single" w:sz="4" w:space="0" w:color="7E7E7E"/>
            </w:tcBorders>
          </w:tcPr>
          <w:p>
            <w:pPr>
              <w:pStyle w:val="TableParagraph"/>
              <w:spacing w:line="186" w:lineRule="exact"/>
              <w:ind w:left="144"/>
              <w:rPr>
                <w:sz w:val="18"/>
              </w:rPr>
            </w:pPr>
            <w:r>
              <w:rPr>
                <w:sz w:val="18"/>
              </w:rPr>
              <w:t>1511,11</w:t>
            </w:r>
          </w:p>
        </w:tc>
      </w:tr>
      <w:tr>
        <w:trPr>
          <w:trHeight w:val="208" w:hRule="atLeast"/>
        </w:trPr>
        <w:tc>
          <w:tcPr>
            <w:tcW w:w="1133" w:type="dxa"/>
            <w:tcBorders>
              <w:bottom w:val="single" w:sz="8" w:space="0" w:color="000000"/>
            </w:tcBorders>
          </w:tcPr>
          <w:p>
            <w:pPr>
              <w:pStyle w:val="TableParagraph"/>
              <w:ind w:left="0"/>
              <w:rPr>
                <w:sz w:val="14"/>
              </w:rPr>
            </w:pPr>
          </w:p>
        </w:tc>
        <w:tc>
          <w:tcPr>
            <w:tcW w:w="1903" w:type="dxa"/>
            <w:tcBorders>
              <w:top w:val="single" w:sz="4" w:space="0" w:color="7E7E7E"/>
              <w:bottom w:val="single" w:sz="8" w:space="0" w:color="000000"/>
            </w:tcBorders>
          </w:tcPr>
          <w:p>
            <w:pPr>
              <w:pStyle w:val="TableParagraph"/>
              <w:spacing w:line="188" w:lineRule="exact"/>
              <w:rPr>
                <w:sz w:val="18"/>
              </w:rPr>
            </w:pPr>
            <w:r>
              <w:rPr>
                <w:sz w:val="18"/>
              </w:rPr>
              <w:t>İndirim Oranı (%)</w:t>
            </w:r>
          </w:p>
        </w:tc>
        <w:tc>
          <w:tcPr>
            <w:tcW w:w="550" w:type="dxa"/>
            <w:tcBorders>
              <w:top w:val="single" w:sz="4" w:space="0" w:color="7E7E7E"/>
              <w:bottom w:val="single" w:sz="8" w:space="0" w:color="000000"/>
            </w:tcBorders>
          </w:tcPr>
          <w:p>
            <w:pPr>
              <w:pStyle w:val="TableParagraph"/>
              <w:ind w:left="0"/>
              <w:rPr>
                <w:sz w:val="14"/>
              </w:rPr>
            </w:pPr>
          </w:p>
        </w:tc>
        <w:tc>
          <w:tcPr>
            <w:tcW w:w="887" w:type="dxa"/>
            <w:tcBorders>
              <w:top w:val="single" w:sz="4" w:space="0" w:color="7E7E7E"/>
              <w:bottom w:val="single" w:sz="8" w:space="0" w:color="000000"/>
            </w:tcBorders>
          </w:tcPr>
          <w:p>
            <w:pPr>
              <w:pStyle w:val="TableParagraph"/>
              <w:spacing w:line="188" w:lineRule="exact"/>
              <w:ind w:left="225"/>
              <w:rPr>
                <w:sz w:val="18"/>
              </w:rPr>
            </w:pPr>
            <w:r>
              <w:rPr>
                <w:sz w:val="18"/>
              </w:rPr>
              <w:t>0</w:t>
            </w:r>
          </w:p>
        </w:tc>
        <w:tc>
          <w:tcPr>
            <w:tcW w:w="1037" w:type="dxa"/>
            <w:tcBorders>
              <w:top w:val="single" w:sz="4" w:space="0" w:color="7E7E7E"/>
              <w:bottom w:val="single" w:sz="8" w:space="0" w:color="000000"/>
            </w:tcBorders>
          </w:tcPr>
          <w:p>
            <w:pPr>
              <w:pStyle w:val="TableParagraph"/>
              <w:spacing w:line="188" w:lineRule="exact"/>
              <w:ind w:left="164"/>
              <w:rPr>
                <w:sz w:val="18"/>
              </w:rPr>
            </w:pPr>
            <w:r>
              <w:rPr>
                <w:sz w:val="18"/>
              </w:rPr>
              <w:t>96</w:t>
            </w:r>
          </w:p>
        </w:tc>
        <w:tc>
          <w:tcPr>
            <w:tcW w:w="948" w:type="dxa"/>
            <w:tcBorders>
              <w:top w:val="single" w:sz="4" w:space="0" w:color="7E7E7E"/>
              <w:bottom w:val="single" w:sz="8" w:space="0" w:color="000000"/>
            </w:tcBorders>
          </w:tcPr>
          <w:p>
            <w:pPr>
              <w:pStyle w:val="TableParagraph"/>
              <w:spacing w:line="188" w:lineRule="exact"/>
              <w:ind w:left="150"/>
              <w:rPr>
                <w:sz w:val="18"/>
              </w:rPr>
            </w:pPr>
            <w:r>
              <w:rPr>
                <w:sz w:val="18"/>
              </w:rPr>
              <w:t>9</w:t>
            </w:r>
          </w:p>
        </w:tc>
        <w:tc>
          <w:tcPr>
            <w:tcW w:w="1163" w:type="dxa"/>
            <w:tcBorders>
              <w:top w:val="single" w:sz="4" w:space="0" w:color="7E7E7E"/>
              <w:bottom w:val="single" w:sz="8" w:space="0" w:color="000000"/>
            </w:tcBorders>
          </w:tcPr>
          <w:p>
            <w:pPr>
              <w:pStyle w:val="TableParagraph"/>
              <w:spacing w:line="188" w:lineRule="exact"/>
              <w:ind w:left="164"/>
              <w:rPr>
                <w:sz w:val="18"/>
              </w:rPr>
            </w:pPr>
            <w:r>
              <w:rPr>
                <w:sz w:val="18"/>
              </w:rPr>
              <w:t>10,99</w:t>
            </w:r>
          </w:p>
        </w:tc>
        <w:tc>
          <w:tcPr>
            <w:tcW w:w="1291" w:type="dxa"/>
            <w:tcBorders>
              <w:top w:val="single" w:sz="4" w:space="0" w:color="7E7E7E"/>
              <w:bottom w:val="single" w:sz="8" w:space="0" w:color="000000"/>
            </w:tcBorders>
          </w:tcPr>
          <w:p>
            <w:pPr>
              <w:pStyle w:val="TableParagraph"/>
              <w:spacing w:line="188" w:lineRule="exact"/>
              <w:ind w:left="144"/>
              <w:rPr>
                <w:sz w:val="18"/>
              </w:rPr>
            </w:pPr>
            <w:r>
              <w:rPr>
                <w:sz w:val="18"/>
              </w:rPr>
              <w:t>13,11</w:t>
            </w:r>
          </w:p>
        </w:tc>
      </w:tr>
      <w:tr>
        <w:trPr>
          <w:trHeight w:val="205" w:hRule="atLeast"/>
        </w:trPr>
        <w:tc>
          <w:tcPr>
            <w:tcW w:w="1133" w:type="dxa"/>
            <w:tcBorders>
              <w:top w:val="single" w:sz="8" w:space="0" w:color="000000"/>
            </w:tcBorders>
          </w:tcPr>
          <w:p>
            <w:pPr>
              <w:pStyle w:val="TableParagraph"/>
              <w:ind w:left="0"/>
              <w:rPr>
                <w:sz w:val="14"/>
              </w:rPr>
            </w:pPr>
          </w:p>
        </w:tc>
        <w:tc>
          <w:tcPr>
            <w:tcW w:w="1903" w:type="dxa"/>
            <w:tcBorders>
              <w:top w:val="single" w:sz="8" w:space="0" w:color="000000"/>
              <w:bottom w:val="single" w:sz="4" w:space="0" w:color="7E7E7E"/>
            </w:tcBorders>
          </w:tcPr>
          <w:p>
            <w:pPr>
              <w:pStyle w:val="TableParagraph"/>
              <w:spacing w:line="186" w:lineRule="exact"/>
              <w:rPr>
                <w:sz w:val="18"/>
              </w:rPr>
            </w:pPr>
            <w:r>
              <w:rPr>
                <w:sz w:val="18"/>
              </w:rPr>
              <w:t>Ürün</w:t>
            </w:r>
          </w:p>
        </w:tc>
        <w:tc>
          <w:tcPr>
            <w:tcW w:w="550" w:type="dxa"/>
            <w:tcBorders>
              <w:top w:val="single" w:sz="8" w:space="0" w:color="000000"/>
              <w:bottom w:val="single" w:sz="4" w:space="0" w:color="7E7E7E"/>
            </w:tcBorders>
          </w:tcPr>
          <w:p>
            <w:pPr>
              <w:pStyle w:val="TableParagraph"/>
              <w:spacing w:line="186" w:lineRule="exact"/>
              <w:ind w:left="192"/>
              <w:rPr>
                <w:sz w:val="18"/>
              </w:rPr>
            </w:pPr>
            <w:r>
              <w:rPr>
                <w:sz w:val="18"/>
              </w:rPr>
              <w:t>40</w:t>
            </w:r>
          </w:p>
        </w:tc>
        <w:tc>
          <w:tcPr>
            <w:tcW w:w="887" w:type="dxa"/>
            <w:tcBorders>
              <w:top w:val="single" w:sz="8" w:space="0" w:color="000000"/>
              <w:bottom w:val="single" w:sz="4" w:space="0" w:color="7E7E7E"/>
            </w:tcBorders>
          </w:tcPr>
          <w:p>
            <w:pPr>
              <w:pStyle w:val="TableParagraph"/>
              <w:ind w:left="0"/>
              <w:rPr>
                <w:sz w:val="14"/>
              </w:rPr>
            </w:pPr>
          </w:p>
        </w:tc>
        <w:tc>
          <w:tcPr>
            <w:tcW w:w="1037" w:type="dxa"/>
            <w:tcBorders>
              <w:top w:val="single" w:sz="8" w:space="0" w:color="000000"/>
              <w:bottom w:val="single" w:sz="4" w:space="0" w:color="7E7E7E"/>
            </w:tcBorders>
          </w:tcPr>
          <w:p>
            <w:pPr>
              <w:pStyle w:val="TableParagraph"/>
              <w:ind w:left="0"/>
              <w:rPr>
                <w:sz w:val="14"/>
              </w:rPr>
            </w:pPr>
          </w:p>
        </w:tc>
        <w:tc>
          <w:tcPr>
            <w:tcW w:w="948" w:type="dxa"/>
            <w:tcBorders>
              <w:top w:val="single" w:sz="8" w:space="0" w:color="000000"/>
              <w:bottom w:val="single" w:sz="4" w:space="0" w:color="7E7E7E"/>
            </w:tcBorders>
          </w:tcPr>
          <w:p>
            <w:pPr>
              <w:pStyle w:val="TableParagraph"/>
              <w:ind w:left="0"/>
              <w:rPr>
                <w:sz w:val="14"/>
              </w:rPr>
            </w:pPr>
          </w:p>
        </w:tc>
        <w:tc>
          <w:tcPr>
            <w:tcW w:w="1163" w:type="dxa"/>
            <w:tcBorders>
              <w:top w:val="single" w:sz="8" w:space="0" w:color="000000"/>
              <w:bottom w:val="single" w:sz="4" w:space="0" w:color="7E7E7E"/>
            </w:tcBorders>
          </w:tcPr>
          <w:p>
            <w:pPr>
              <w:pStyle w:val="TableParagraph"/>
              <w:ind w:left="0"/>
              <w:rPr>
                <w:sz w:val="14"/>
              </w:rPr>
            </w:pPr>
          </w:p>
        </w:tc>
        <w:tc>
          <w:tcPr>
            <w:tcW w:w="1291" w:type="dxa"/>
            <w:tcBorders>
              <w:top w:val="single" w:sz="8" w:space="0" w:color="000000"/>
              <w:bottom w:val="single" w:sz="4" w:space="0" w:color="7E7E7E"/>
            </w:tcBorders>
          </w:tcPr>
          <w:p>
            <w:pPr>
              <w:pStyle w:val="TableParagraph"/>
              <w:ind w:left="0"/>
              <w:rPr>
                <w:sz w:val="14"/>
              </w:rPr>
            </w:pPr>
          </w:p>
        </w:tc>
      </w:tr>
      <w:tr>
        <w:trPr>
          <w:trHeight w:val="217"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9" w:lineRule="exact" w:before="9"/>
              <w:rPr>
                <w:sz w:val="18"/>
              </w:rPr>
            </w:pPr>
            <w:r>
              <w:rPr>
                <w:sz w:val="18"/>
              </w:rPr>
              <w:t>Satış Sıralaması</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9" w:lineRule="exact" w:before="9"/>
              <w:ind w:left="225"/>
              <w:rPr>
                <w:sz w:val="18"/>
              </w:rPr>
            </w:pPr>
            <w:r>
              <w:rPr>
                <w:sz w:val="18"/>
              </w:rPr>
              <w:t>5</w:t>
            </w:r>
          </w:p>
        </w:tc>
        <w:tc>
          <w:tcPr>
            <w:tcW w:w="1037" w:type="dxa"/>
            <w:tcBorders>
              <w:top w:val="single" w:sz="4" w:space="0" w:color="7E7E7E"/>
              <w:bottom w:val="single" w:sz="4" w:space="0" w:color="7E7E7E"/>
            </w:tcBorders>
          </w:tcPr>
          <w:p>
            <w:pPr>
              <w:pStyle w:val="TableParagraph"/>
              <w:spacing w:line="189" w:lineRule="exact" w:before="9"/>
              <w:ind w:left="164"/>
              <w:rPr>
                <w:sz w:val="18"/>
              </w:rPr>
            </w:pPr>
            <w:r>
              <w:rPr>
                <w:sz w:val="18"/>
              </w:rPr>
              <w:t>63423</w:t>
            </w:r>
          </w:p>
        </w:tc>
        <w:tc>
          <w:tcPr>
            <w:tcW w:w="948" w:type="dxa"/>
            <w:tcBorders>
              <w:top w:val="single" w:sz="4" w:space="0" w:color="7E7E7E"/>
              <w:bottom w:val="single" w:sz="4" w:space="0" w:color="7E7E7E"/>
            </w:tcBorders>
          </w:tcPr>
          <w:p>
            <w:pPr>
              <w:pStyle w:val="TableParagraph"/>
              <w:spacing w:line="189" w:lineRule="exact" w:before="9"/>
              <w:ind w:left="150"/>
              <w:rPr>
                <w:sz w:val="18"/>
              </w:rPr>
            </w:pPr>
            <w:r>
              <w:rPr>
                <w:sz w:val="18"/>
              </w:rPr>
              <w:t>2365</w:t>
            </w:r>
          </w:p>
        </w:tc>
        <w:tc>
          <w:tcPr>
            <w:tcW w:w="1163" w:type="dxa"/>
            <w:tcBorders>
              <w:top w:val="single" w:sz="4" w:space="0" w:color="7E7E7E"/>
              <w:bottom w:val="single" w:sz="4" w:space="0" w:color="7E7E7E"/>
            </w:tcBorders>
          </w:tcPr>
          <w:p>
            <w:pPr>
              <w:pStyle w:val="TableParagraph"/>
              <w:spacing w:line="189" w:lineRule="exact" w:before="9"/>
              <w:ind w:left="164"/>
              <w:rPr>
                <w:sz w:val="18"/>
              </w:rPr>
            </w:pPr>
            <w:r>
              <w:rPr>
                <w:sz w:val="18"/>
              </w:rPr>
              <w:t>5133,61</w:t>
            </w:r>
          </w:p>
        </w:tc>
        <w:tc>
          <w:tcPr>
            <w:tcW w:w="1291" w:type="dxa"/>
            <w:tcBorders>
              <w:top w:val="single" w:sz="4" w:space="0" w:color="7E7E7E"/>
              <w:bottom w:val="single" w:sz="4" w:space="0" w:color="7E7E7E"/>
            </w:tcBorders>
          </w:tcPr>
          <w:p>
            <w:pPr>
              <w:pStyle w:val="TableParagraph"/>
              <w:spacing w:line="189" w:lineRule="exact" w:before="9"/>
              <w:ind w:left="144"/>
              <w:rPr>
                <w:sz w:val="18"/>
              </w:rPr>
            </w:pPr>
            <w:r>
              <w:rPr>
                <w:sz w:val="18"/>
              </w:rPr>
              <w:t>6694,37</w:t>
            </w:r>
          </w:p>
        </w:tc>
      </w:tr>
      <w:tr>
        <w:trPr>
          <w:trHeight w:val="215" w:hRule="atLeast"/>
        </w:trPr>
        <w:tc>
          <w:tcPr>
            <w:tcW w:w="1133" w:type="dxa"/>
            <w:vMerge w:val="restart"/>
            <w:textDirection w:val="btLr"/>
          </w:tcPr>
          <w:p>
            <w:pPr>
              <w:pStyle w:val="TableParagraph"/>
              <w:ind w:left="0"/>
              <w:rPr>
                <w:sz w:val="20"/>
              </w:rPr>
            </w:pPr>
          </w:p>
          <w:p>
            <w:pPr>
              <w:pStyle w:val="TableParagraph"/>
              <w:spacing w:before="5"/>
              <w:ind w:left="0"/>
              <w:rPr>
                <w:sz w:val="20"/>
              </w:rPr>
            </w:pPr>
          </w:p>
          <w:p>
            <w:pPr>
              <w:pStyle w:val="TableParagraph"/>
              <w:ind w:left="76"/>
              <w:rPr>
                <w:b/>
                <w:sz w:val="18"/>
              </w:rPr>
            </w:pPr>
            <w:r>
              <w:rPr>
                <w:b/>
                <w:sz w:val="18"/>
              </w:rPr>
              <w:t>Dizüstü Bilgisayar</w:t>
            </w:r>
          </w:p>
        </w:tc>
        <w:tc>
          <w:tcPr>
            <w:tcW w:w="1903" w:type="dxa"/>
            <w:tcBorders>
              <w:top w:val="single" w:sz="4" w:space="0" w:color="7E7E7E"/>
              <w:bottom w:val="single" w:sz="4" w:space="0" w:color="7E7E7E"/>
            </w:tcBorders>
          </w:tcPr>
          <w:p>
            <w:pPr>
              <w:pStyle w:val="TableParagraph"/>
              <w:spacing w:line="186" w:lineRule="exact" w:before="9"/>
              <w:rPr>
                <w:sz w:val="18"/>
              </w:rPr>
            </w:pPr>
            <w:r>
              <w:rPr>
                <w:sz w:val="18"/>
              </w:rPr>
              <w:t>Toplam Yorum Sayısı</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before="9"/>
              <w:ind w:left="225"/>
              <w:rPr>
                <w:sz w:val="18"/>
              </w:rPr>
            </w:pPr>
            <w:r>
              <w:rPr>
                <w:sz w:val="18"/>
              </w:rPr>
              <w:t>4</w:t>
            </w:r>
          </w:p>
        </w:tc>
        <w:tc>
          <w:tcPr>
            <w:tcW w:w="1037" w:type="dxa"/>
            <w:tcBorders>
              <w:top w:val="single" w:sz="4" w:space="0" w:color="7E7E7E"/>
              <w:bottom w:val="single" w:sz="4" w:space="0" w:color="7E7E7E"/>
            </w:tcBorders>
          </w:tcPr>
          <w:p>
            <w:pPr>
              <w:pStyle w:val="TableParagraph"/>
              <w:spacing w:line="186" w:lineRule="exact" w:before="9"/>
              <w:ind w:left="164"/>
              <w:rPr>
                <w:sz w:val="18"/>
              </w:rPr>
            </w:pPr>
            <w:r>
              <w:rPr>
                <w:sz w:val="18"/>
              </w:rPr>
              <w:t>2982</w:t>
            </w:r>
          </w:p>
        </w:tc>
        <w:tc>
          <w:tcPr>
            <w:tcW w:w="948" w:type="dxa"/>
            <w:tcBorders>
              <w:top w:val="single" w:sz="4" w:space="0" w:color="7E7E7E"/>
              <w:bottom w:val="single" w:sz="4" w:space="0" w:color="7E7E7E"/>
            </w:tcBorders>
          </w:tcPr>
          <w:p>
            <w:pPr>
              <w:pStyle w:val="TableParagraph"/>
              <w:spacing w:line="186" w:lineRule="exact" w:before="9"/>
              <w:ind w:left="150"/>
              <w:rPr>
                <w:sz w:val="18"/>
              </w:rPr>
            </w:pPr>
            <w:r>
              <w:rPr>
                <w:sz w:val="18"/>
              </w:rPr>
              <w:t>186,5</w:t>
            </w:r>
          </w:p>
        </w:tc>
        <w:tc>
          <w:tcPr>
            <w:tcW w:w="1163" w:type="dxa"/>
            <w:tcBorders>
              <w:top w:val="single" w:sz="4" w:space="0" w:color="7E7E7E"/>
              <w:bottom w:val="single" w:sz="4" w:space="0" w:color="7E7E7E"/>
            </w:tcBorders>
          </w:tcPr>
          <w:p>
            <w:pPr>
              <w:pStyle w:val="TableParagraph"/>
              <w:spacing w:line="186" w:lineRule="exact" w:before="9"/>
              <w:ind w:left="164"/>
              <w:rPr>
                <w:sz w:val="18"/>
              </w:rPr>
            </w:pPr>
            <w:r>
              <w:rPr>
                <w:sz w:val="18"/>
              </w:rPr>
              <w:t>378,3</w:t>
            </w:r>
          </w:p>
        </w:tc>
        <w:tc>
          <w:tcPr>
            <w:tcW w:w="1291" w:type="dxa"/>
            <w:tcBorders>
              <w:top w:val="single" w:sz="4" w:space="0" w:color="7E7E7E"/>
              <w:bottom w:val="single" w:sz="4" w:space="0" w:color="7E7E7E"/>
            </w:tcBorders>
          </w:tcPr>
          <w:p>
            <w:pPr>
              <w:pStyle w:val="TableParagraph"/>
              <w:spacing w:line="186" w:lineRule="exact" w:before="9"/>
              <w:ind w:left="144"/>
              <w:rPr>
                <w:sz w:val="18"/>
              </w:rPr>
            </w:pPr>
            <w:r>
              <w:rPr>
                <w:sz w:val="18"/>
              </w:rPr>
              <w:t>514,42</w:t>
            </w:r>
          </w:p>
        </w:tc>
      </w:tr>
      <w:tr>
        <w:trPr>
          <w:trHeight w:val="217" w:hRule="atLeast"/>
        </w:trPr>
        <w:tc>
          <w:tcPr>
            <w:tcW w:w="1133" w:type="dxa"/>
            <w:vMerge/>
            <w:tcBorders>
              <w:top w:val="nil"/>
            </w:tcBorders>
            <w:textDirection w:val="btLr"/>
          </w:tcPr>
          <w:p>
            <w:pPr>
              <w:rPr>
                <w:sz w:val="2"/>
                <w:szCs w:val="2"/>
              </w:rPr>
            </w:pPr>
          </w:p>
        </w:tc>
        <w:tc>
          <w:tcPr>
            <w:tcW w:w="1903" w:type="dxa"/>
            <w:tcBorders>
              <w:top w:val="single" w:sz="4" w:space="0" w:color="7E7E7E"/>
              <w:bottom w:val="single" w:sz="4" w:space="0" w:color="7E7E7E"/>
            </w:tcBorders>
          </w:tcPr>
          <w:p>
            <w:pPr>
              <w:pStyle w:val="TableParagraph"/>
              <w:spacing w:line="186" w:lineRule="exact" w:before="11"/>
              <w:rPr>
                <w:sz w:val="18"/>
              </w:rPr>
            </w:pPr>
            <w:r>
              <w:rPr>
                <w:sz w:val="18"/>
              </w:rPr>
              <w:t>Ortalama Puan</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before="11"/>
              <w:ind w:left="225"/>
              <w:rPr>
                <w:sz w:val="18"/>
              </w:rPr>
            </w:pPr>
            <w:r>
              <w:rPr>
                <w:sz w:val="18"/>
              </w:rPr>
              <w:t>2,6</w:t>
            </w:r>
          </w:p>
        </w:tc>
        <w:tc>
          <w:tcPr>
            <w:tcW w:w="1037" w:type="dxa"/>
            <w:tcBorders>
              <w:top w:val="single" w:sz="4" w:space="0" w:color="7E7E7E"/>
              <w:bottom w:val="single" w:sz="4" w:space="0" w:color="7E7E7E"/>
            </w:tcBorders>
          </w:tcPr>
          <w:p>
            <w:pPr>
              <w:pStyle w:val="TableParagraph"/>
              <w:spacing w:line="186" w:lineRule="exact" w:before="11"/>
              <w:ind w:left="164"/>
              <w:rPr>
                <w:sz w:val="18"/>
              </w:rPr>
            </w:pPr>
            <w:r>
              <w:rPr>
                <w:sz w:val="18"/>
              </w:rPr>
              <w:t>4,8</w:t>
            </w:r>
          </w:p>
        </w:tc>
        <w:tc>
          <w:tcPr>
            <w:tcW w:w="948" w:type="dxa"/>
            <w:tcBorders>
              <w:top w:val="single" w:sz="4" w:space="0" w:color="7E7E7E"/>
              <w:bottom w:val="single" w:sz="4" w:space="0" w:color="7E7E7E"/>
            </w:tcBorders>
          </w:tcPr>
          <w:p>
            <w:pPr>
              <w:pStyle w:val="TableParagraph"/>
              <w:spacing w:line="186" w:lineRule="exact" w:before="11"/>
              <w:ind w:left="150"/>
              <w:rPr>
                <w:sz w:val="18"/>
              </w:rPr>
            </w:pPr>
            <w:r>
              <w:rPr>
                <w:sz w:val="18"/>
              </w:rPr>
              <w:t>4</w:t>
            </w:r>
          </w:p>
        </w:tc>
        <w:tc>
          <w:tcPr>
            <w:tcW w:w="1163" w:type="dxa"/>
            <w:tcBorders>
              <w:top w:val="single" w:sz="4" w:space="0" w:color="7E7E7E"/>
              <w:bottom w:val="single" w:sz="4" w:space="0" w:color="7E7E7E"/>
            </w:tcBorders>
          </w:tcPr>
          <w:p>
            <w:pPr>
              <w:pStyle w:val="TableParagraph"/>
              <w:spacing w:line="186" w:lineRule="exact" w:before="11"/>
              <w:ind w:left="164"/>
              <w:rPr>
                <w:sz w:val="18"/>
              </w:rPr>
            </w:pPr>
            <w:r>
              <w:rPr>
                <w:sz w:val="18"/>
              </w:rPr>
              <w:t>3,92</w:t>
            </w:r>
          </w:p>
        </w:tc>
        <w:tc>
          <w:tcPr>
            <w:tcW w:w="1291" w:type="dxa"/>
            <w:tcBorders>
              <w:top w:val="single" w:sz="4" w:space="0" w:color="7E7E7E"/>
              <w:bottom w:val="single" w:sz="4" w:space="0" w:color="7E7E7E"/>
            </w:tcBorders>
          </w:tcPr>
          <w:p>
            <w:pPr>
              <w:pStyle w:val="TableParagraph"/>
              <w:spacing w:line="186" w:lineRule="exact" w:before="11"/>
              <w:ind w:left="144"/>
              <w:rPr>
                <w:sz w:val="18"/>
              </w:rPr>
            </w:pPr>
            <w:r>
              <w:rPr>
                <w:sz w:val="18"/>
              </w:rPr>
              <w:t>,40</w:t>
            </w:r>
          </w:p>
        </w:tc>
      </w:tr>
      <w:tr>
        <w:trPr>
          <w:trHeight w:val="215" w:hRule="atLeast"/>
        </w:trPr>
        <w:tc>
          <w:tcPr>
            <w:tcW w:w="1133" w:type="dxa"/>
            <w:vMerge/>
            <w:tcBorders>
              <w:top w:val="nil"/>
            </w:tcBorders>
            <w:textDirection w:val="btLr"/>
          </w:tcPr>
          <w:p>
            <w:pPr>
              <w:rPr>
                <w:sz w:val="2"/>
                <w:szCs w:val="2"/>
              </w:rPr>
            </w:pPr>
          </w:p>
        </w:tc>
        <w:tc>
          <w:tcPr>
            <w:tcW w:w="1903" w:type="dxa"/>
            <w:tcBorders>
              <w:top w:val="single" w:sz="4" w:space="0" w:color="7E7E7E"/>
              <w:bottom w:val="single" w:sz="4" w:space="0" w:color="7E7E7E"/>
            </w:tcBorders>
          </w:tcPr>
          <w:p>
            <w:pPr>
              <w:pStyle w:val="TableParagraph"/>
              <w:spacing w:line="186" w:lineRule="exact" w:before="9"/>
              <w:rPr>
                <w:sz w:val="18"/>
              </w:rPr>
            </w:pPr>
            <w:r>
              <w:rPr>
                <w:sz w:val="18"/>
              </w:rPr>
              <w:t>1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before="9"/>
              <w:ind w:left="225"/>
              <w:rPr>
                <w:sz w:val="18"/>
              </w:rPr>
            </w:pPr>
            <w:r>
              <w:rPr>
                <w:sz w:val="18"/>
              </w:rPr>
              <w:t>0</w:t>
            </w:r>
          </w:p>
        </w:tc>
        <w:tc>
          <w:tcPr>
            <w:tcW w:w="1037" w:type="dxa"/>
            <w:tcBorders>
              <w:top w:val="single" w:sz="4" w:space="0" w:color="7E7E7E"/>
              <w:bottom w:val="single" w:sz="4" w:space="0" w:color="7E7E7E"/>
            </w:tcBorders>
          </w:tcPr>
          <w:p>
            <w:pPr>
              <w:pStyle w:val="TableParagraph"/>
              <w:spacing w:line="186" w:lineRule="exact" w:before="9"/>
              <w:ind w:left="164"/>
              <w:rPr>
                <w:sz w:val="18"/>
              </w:rPr>
            </w:pPr>
            <w:r>
              <w:rPr>
                <w:sz w:val="18"/>
              </w:rPr>
              <w:t>43</w:t>
            </w:r>
          </w:p>
        </w:tc>
        <w:tc>
          <w:tcPr>
            <w:tcW w:w="948" w:type="dxa"/>
            <w:tcBorders>
              <w:top w:val="single" w:sz="4" w:space="0" w:color="7E7E7E"/>
              <w:bottom w:val="single" w:sz="4" w:space="0" w:color="7E7E7E"/>
            </w:tcBorders>
          </w:tcPr>
          <w:p>
            <w:pPr>
              <w:pStyle w:val="TableParagraph"/>
              <w:spacing w:line="186" w:lineRule="exact" w:before="9"/>
              <w:ind w:left="150"/>
              <w:rPr>
                <w:sz w:val="18"/>
              </w:rPr>
            </w:pPr>
            <w:r>
              <w:rPr>
                <w:sz w:val="18"/>
              </w:rPr>
              <w:t>13</w:t>
            </w:r>
          </w:p>
        </w:tc>
        <w:tc>
          <w:tcPr>
            <w:tcW w:w="1163" w:type="dxa"/>
            <w:tcBorders>
              <w:top w:val="single" w:sz="4" w:space="0" w:color="7E7E7E"/>
              <w:bottom w:val="single" w:sz="4" w:space="0" w:color="7E7E7E"/>
            </w:tcBorders>
          </w:tcPr>
          <w:p>
            <w:pPr>
              <w:pStyle w:val="TableParagraph"/>
              <w:spacing w:line="186" w:lineRule="exact" w:before="9"/>
              <w:ind w:left="164"/>
              <w:rPr>
                <w:sz w:val="18"/>
              </w:rPr>
            </w:pPr>
            <w:r>
              <w:rPr>
                <w:sz w:val="18"/>
              </w:rPr>
              <w:t>15,77</w:t>
            </w:r>
          </w:p>
        </w:tc>
        <w:tc>
          <w:tcPr>
            <w:tcW w:w="1291" w:type="dxa"/>
            <w:tcBorders>
              <w:top w:val="single" w:sz="4" w:space="0" w:color="7E7E7E"/>
              <w:bottom w:val="single" w:sz="4" w:space="0" w:color="7E7E7E"/>
            </w:tcBorders>
          </w:tcPr>
          <w:p>
            <w:pPr>
              <w:pStyle w:val="TableParagraph"/>
              <w:spacing w:line="186" w:lineRule="exact" w:before="9"/>
              <w:ind w:left="144"/>
              <w:rPr>
                <w:sz w:val="18"/>
              </w:rPr>
            </w:pPr>
            <w:r>
              <w:rPr>
                <w:sz w:val="18"/>
              </w:rPr>
              <w:t>8,45</w:t>
            </w:r>
          </w:p>
        </w:tc>
      </w:tr>
      <w:tr>
        <w:trPr>
          <w:trHeight w:val="217" w:hRule="atLeast"/>
        </w:trPr>
        <w:tc>
          <w:tcPr>
            <w:tcW w:w="1133" w:type="dxa"/>
            <w:vMerge/>
            <w:tcBorders>
              <w:top w:val="nil"/>
            </w:tcBorders>
            <w:textDirection w:val="btLr"/>
          </w:tcPr>
          <w:p>
            <w:pPr>
              <w:rPr>
                <w:sz w:val="2"/>
                <w:szCs w:val="2"/>
              </w:rPr>
            </w:pPr>
          </w:p>
        </w:tc>
        <w:tc>
          <w:tcPr>
            <w:tcW w:w="1903" w:type="dxa"/>
            <w:tcBorders>
              <w:top w:val="single" w:sz="4" w:space="0" w:color="7E7E7E"/>
              <w:bottom w:val="single" w:sz="4" w:space="0" w:color="7E7E7E"/>
            </w:tcBorders>
          </w:tcPr>
          <w:p>
            <w:pPr>
              <w:pStyle w:val="TableParagraph"/>
              <w:spacing w:line="186" w:lineRule="exact" w:before="11"/>
              <w:rPr>
                <w:sz w:val="18"/>
              </w:rPr>
            </w:pPr>
            <w:r>
              <w:rPr>
                <w:sz w:val="18"/>
              </w:rPr>
              <w:t>2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before="11"/>
              <w:ind w:left="225"/>
              <w:rPr>
                <w:sz w:val="18"/>
              </w:rPr>
            </w:pPr>
            <w:r>
              <w:rPr>
                <w:sz w:val="18"/>
              </w:rPr>
              <w:t>0</w:t>
            </w:r>
          </w:p>
        </w:tc>
        <w:tc>
          <w:tcPr>
            <w:tcW w:w="1037" w:type="dxa"/>
            <w:tcBorders>
              <w:top w:val="single" w:sz="4" w:space="0" w:color="7E7E7E"/>
              <w:bottom w:val="single" w:sz="4" w:space="0" w:color="7E7E7E"/>
            </w:tcBorders>
          </w:tcPr>
          <w:p>
            <w:pPr>
              <w:pStyle w:val="TableParagraph"/>
              <w:spacing w:line="186" w:lineRule="exact" w:before="11"/>
              <w:ind w:left="164"/>
              <w:rPr>
                <w:sz w:val="18"/>
              </w:rPr>
            </w:pPr>
            <w:r>
              <w:rPr>
                <w:sz w:val="18"/>
              </w:rPr>
              <w:t>25</w:t>
            </w:r>
          </w:p>
        </w:tc>
        <w:tc>
          <w:tcPr>
            <w:tcW w:w="948" w:type="dxa"/>
            <w:tcBorders>
              <w:top w:val="single" w:sz="4" w:space="0" w:color="7E7E7E"/>
              <w:bottom w:val="single" w:sz="4" w:space="0" w:color="7E7E7E"/>
            </w:tcBorders>
          </w:tcPr>
          <w:p>
            <w:pPr>
              <w:pStyle w:val="TableParagraph"/>
              <w:spacing w:line="186" w:lineRule="exact" w:before="11"/>
              <w:ind w:left="150"/>
              <w:rPr>
                <w:sz w:val="18"/>
              </w:rPr>
            </w:pPr>
            <w:r>
              <w:rPr>
                <w:sz w:val="18"/>
              </w:rPr>
              <w:t>6</w:t>
            </w:r>
          </w:p>
        </w:tc>
        <w:tc>
          <w:tcPr>
            <w:tcW w:w="1163" w:type="dxa"/>
            <w:tcBorders>
              <w:top w:val="single" w:sz="4" w:space="0" w:color="7E7E7E"/>
              <w:bottom w:val="single" w:sz="4" w:space="0" w:color="7E7E7E"/>
            </w:tcBorders>
          </w:tcPr>
          <w:p>
            <w:pPr>
              <w:pStyle w:val="TableParagraph"/>
              <w:spacing w:line="186" w:lineRule="exact" w:before="11"/>
              <w:ind w:left="164"/>
              <w:rPr>
                <w:sz w:val="18"/>
              </w:rPr>
            </w:pPr>
            <w:r>
              <w:rPr>
                <w:sz w:val="18"/>
              </w:rPr>
              <w:t>6,56</w:t>
            </w:r>
          </w:p>
        </w:tc>
        <w:tc>
          <w:tcPr>
            <w:tcW w:w="1291" w:type="dxa"/>
            <w:tcBorders>
              <w:top w:val="single" w:sz="4" w:space="0" w:color="7E7E7E"/>
              <w:bottom w:val="single" w:sz="4" w:space="0" w:color="7E7E7E"/>
            </w:tcBorders>
          </w:tcPr>
          <w:p>
            <w:pPr>
              <w:pStyle w:val="TableParagraph"/>
              <w:spacing w:line="186" w:lineRule="exact" w:before="11"/>
              <w:ind w:left="144"/>
              <w:rPr>
                <w:sz w:val="18"/>
              </w:rPr>
            </w:pPr>
            <w:r>
              <w:rPr>
                <w:sz w:val="18"/>
              </w:rPr>
              <w:t>3,85</w:t>
            </w:r>
          </w:p>
        </w:tc>
      </w:tr>
      <w:tr>
        <w:trPr>
          <w:trHeight w:val="218" w:hRule="atLeast"/>
        </w:trPr>
        <w:tc>
          <w:tcPr>
            <w:tcW w:w="1133" w:type="dxa"/>
            <w:vMerge/>
            <w:tcBorders>
              <w:top w:val="nil"/>
            </w:tcBorders>
            <w:textDirection w:val="btLr"/>
          </w:tcPr>
          <w:p>
            <w:pPr>
              <w:rPr>
                <w:sz w:val="2"/>
                <w:szCs w:val="2"/>
              </w:rPr>
            </w:pPr>
          </w:p>
        </w:tc>
        <w:tc>
          <w:tcPr>
            <w:tcW w:w="1903" w:type="dxa"/>
            <w:tcBorders>
              <w:top w:val="single" w:sz="4" w:space="0" w:color="7E7E7E"/>
              <w:bottom w:val="single" w:sz="4" w:space="0" w:color="7E7E7E"/>
            </w:tcBorders>
          </w:tcPr>
          <w:p>
            <w:pPr>
              <w:pStyle w:val="TableParagraph"/>
              <w:spacing w:line="189" w:lineRule="exact" w:before="9"/>
              <w:rPr>
                <w:sz w:val="18"/>
              </w:rPr>
            </w:pPr>
            <w:r>
              <w:rPr>
                <w:sz w:val="18"/>
              </w:rPr>
              <w:t>3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9" w:lineRule="exact" w:before="9"/>
              <w:ind w:left="225"/>
              <w:rPr>
                <w:sz w:val="18"/>
              </w:rPr>
            </w:pPr>
            <w:r>
              <w:rPr>
                <w:sz w:val="18"/>
              </w:rPr>
              <w:t>0</w:t>
            </w:r>
          </w:p>
        </w:tc>
        <w:tc>
          <w:tcPr>
            <w:tcW w:w="1037" w:type="dxa"/>
            <w:tcBorders>
              <w:top w:val="single" w:sz="4" w:space="0" w:color="7E7E7E"/>
              <w:bottom w:val="single" w:sz="4" w:space="0" w:color="7E7E7E"/>
            </w:tcBorders>
          </w:tcPr>
          <w:p>
            <w:pPr>
              <w:pStyle w:val="TableParagraph"/>
              <w:spacing w:line="189" w:lineRule="exact" w:before="9"/>
              <w:ind w:left="164"/>
              <w:rPr>
                <w:sz w:val="18"/>
              </w:rPr>
            </w:pPr>
            <w:r>
              <w:rPr>
                <w:sz w:val="18"/>
              </w:rPr>
              <w:t>25</w:t>
            </w:r>
          </w:p>
        </w:tc>
        <w:tc>
          <w:tcPr>
            <w:tcW w:w="948" w:type="dxa"/>
            <w:tcBorders>
              <w:top w:val="single" w:sz="4" w:space="0" w:color="7E7E7E"/>
              <w:bottom w:val="single" w:sz="4" w:space="0" w:color="7E7E7E"/>
            </w:tcBorders>
          </w:tcPr>
          <w:p>
            <w:pPr>
              <w:pStyle w:val="TableParagraph"/>
              <w:spacing w:line="189" w:lineRule="exact" w:before="9"/>
              <w:ind w:left="150"/>
              <w:rPr>
                <w:sz w:val="18"/>
              </w:rPr>
            </w:pPr>
            <w:r>
              <w:rPr>
                <w:sz w:val="18"/>
              </w:rPr>
              <w:t>6</w:t>
            </w:r>
          </w:p>
        </w:tc>
        <w:tc>
          <w:tcPr>
            <w:tcW w:w="1163" w:type="dxa"/>
            <w:tcBorders>
              <w:top w:val="single" w:sz="4" w:space="0" w:color="7E7E7E"/>
              <w:bottom w:val="single" w:sz="4" w:space="0" w:color="7E7E7E"/>
            </w:tcBorders>
          </w:tcPr>
          <w:p>
            <w:pPr>
              <w:pStyle w:val="TableParagraph"/>
              <w:spacing w:line="189" w:lineRule="exact" w:before="9"/>
              <w:ind w:left="164"/>
              <w:rPr>
                <w:sz w:val="18"/>
              </w:rPr>
            </w:pPr>
            <w:r>
              <w:rPr>
                <w:sz w:val="18"/>
              </w:rPr>
              <w:t>6,38</w:t>
            </w:r>
          </w:p>
        </w:tc>
        <w:tc>
          <w:tcPr>
            <w:tcW w:w="1291" w:type="dxa"/>
            <w:tcBorders>
              <w:top w:val="single" w:sz="4" w:space="0" w:color="7E7E7E"/>
              <w:bottom w:val="single" w:sz="4" w:space="0" w:color="7E7E7E"/>
            </w:tcBorders>
          </w:tcPr>
          <w:p>
            <w:pPr>
              <w:pStyle w:val="TableParagraph"/>
              <w:spacing w:line="189" w:lineRule="exact" w:before="9"/>
              <w:ind w:left="144"/>
              <w:rPr>
                <w:sz w:val="18"/>
              </w:rPr>
            </w:pPr>
            <w:r>
              <w:rPr>
                <w:sz w:val="18"/>
              </w:rPr>
              <w:t>3,71</w:t>
            </w:r>
          </w:p>
        </w:tc>
      </w:tr>
      <w:tr>
        <w:trPr>
          <w:trHeight w:val="215" w:hRule="atLeast"/>
        </w:trPr>
        <w:tc>
          <w:tcPr>
            <w:tcW w:w="1133" w:type="dxa"/>
            <w:vMerge/>
            <w:tcBorders>
              <w:top w:val="nil"/>
            </w:tcBorders>
            <w:textDirection w:val="btLr"/>
          </w:tcPr>
          <w:p>
            <w:pPr>
              <w:rPr>
                <w:sz w:val="2"/>
                <w:szCs w:val="2"/>
              </w:rPr>
            </w:pPr>
          </w:p>
        </w:tc>
        <w:tc>
          <w:tcPr>
            <w:tcW w:w="1903" w:type="dxa"/>
            <w:tcBorders>
              <w:top w:val="single" w:sz="4" w:space="0" w:color="7E7E7E"/>
              <w:bottom w:val="single" w:sz="4" w:space="0" w:color="7E7E7E"/>
            </w:tcBorders>
          </w:tcPr>
          <w:p>
            <w:pPr>
              <w:pStyle w:val="TableParagraph"/>
              <w:spacing w:line="186" w:lineRule="exact" w:before="9"/>
              <w:rPr>
                <w:sz w:val="18"/>
              </w:rPr>
            </w:pPr>
            <w:r>
              <w:rPr>
                <w:sz w:val="18"/>
              </w:rPr>
              <w:t>4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before="9"/>
              <w:ind w:left="225"/>
              <w:rPr>
                <w:sz w:val="18"/>
              </w:rPr>
            </w:pPr>
            <w:r>
              <w:rPr>
                <w:sz w:val="18"/>
              </w:rPr>
              <w:t>3</w:t>
            </w:r>
          </w:p>
        </w:tc>
        <w:tc>
          <w:tcPr>
            <w:tcW w:w="1037" w:type="dxa"/>
            <w:tcBorders>
              <w:top w:val="single" w:sz="4" w:space="0" w:color="7E7E7E"/>
              <w:bottom w:val="single" w:sz="4" w:space="0" w:color="7E7E7E"/>
            </w:tcBorders>
          </w:tcPr>
          <w:p>
            <w:pPr>
              <w:pStyle w:val="TableParagraph"/>
              <w:spacing w:line="186" w:lineRule="exact" w:before="9"/>
              <w:ind w:left="164"/>
              <w:rPr>
                <w:sz w:val="18"/>
              </w:rPr>
            </w:pPr>
            <w:r>
              <w:rPr>
                <w:sz w:val="18"/>
              </w:rPr>
              <w:t>38</w:t>
            </w:r>
          </w:p>
        </w:tc>
        <w:tc>
          <w:tcPr>
            <w:tcW w:w="948" w:type="dxa"/>
            <w:tcBorders>
              <w:top w:val="single" w:sz="4" w:space="0" w:color="7E7E7E"/>
              <w:bottom w:val="single" w:sz="4" w:space="0" w:color="7E7E7E"/>
            </w:tcBorders>
          </w:tcPr>
          <w:p>
            <w:pPr>
              <w:pStyle w:val="TableParagraph"/>
              <w:spacing w:line="186" w:lineRule="exact" w:before="9"/>
              <w:ind w:left="150"/>
              <w:rPr>
                <w:sz w:val="18"/>
              </w:rPr>
            </w:pPr>
            <w:r>
              <w:rPr>
                <w:sz w:val="18"/>
              </w:rPr>
              <w:t>15</w:t>
            </w:r>
          </w:p>
        </w:tc>
        <w:tc>
          <w:tcPr>
            <w:tcW w:w="1163" w:type="dxa"/>
            <w:tcBorders>
              <w:top w:val="single" w:sz="4" w:space="0" w:color="7E7E7E"/>
              <w:bottom w:val="single" w:sz="4" w:space="0" w:color="7E7E7E"/>
            </w:tcBorders>
          </w:tcPr>
          <w:p>
            <w:pPr>
              <w:pStyle w:val="TableParagraph"/>
              <w:spacing w:line="186" w:lineRule="exact" w:before="9"/>
              <w:ind w:left="164"/>
              <w:rPr>
                <w:sz w:val="18"/>
              </w:rPr>
            </w:pPr>
            <w:r>
              <w:rPr>
                <w:sz w:val="18"/>
              </w:rPr>
              <w:t>13,64</w:t>
            </w:r>
          </w:p>
        </w:tc>
        <w:tc>
          <w:tcPr>
            <w:tcW w:w="1291" w:type="dxa"/>
            <w:tcBorders>
              <w:top w:val="single" w:sz="4" w:space="0" w:color="7E7E7E"/>
              <w:bottom w:val="single" w:sz="4" w:space="0" w:color="7E7E7E"/>
            </w:tcBorders>
          </w:tcPr>
          <w:p>
            <w:pPr>
              <w:pStyle w:val="TableParagraph"/>
              <w:spacing w:line="186" w:lineRule="exact" w:before="9"/>
              <w:ind w:left="144"/>
              <w:rPr>
                <w:sz w:val="18"/>
              </w:rPr>
            </w:pPr>
            <w:r>
              <w:rPr>
                <w:sz w:val="18"/>
              </w:rPr>
              <w:t>4,91</w:t>
            </w:r>
          </w:p>
        </w:tc>
      </w:tr>
      <w:tr>
        <w:trPr>
          <w:trHeight w:val="218" w:hRule="atLeast"/>
        </w:trPr>
        <w:tc>
          <w:tcPr>
            <w:tcW w:w="1133" w:type="dxa"/>
            <w:vMerge/>
            <w:tcBorders>
              <w:top w:val="nil"/>
            </w:tcBorders>
            <w:textDirection w:val="btLr"/>
          </w:tcPr>
          <w:p>
            <w:pPr>
              <w:rPr>
                <w:sz w:val="2"/>
                <w:szCs w:val="2"/>
              </w:rPr>
            </w:pPr>
          </w:p>
        </w:tc>
        <w:tc>
          <w:tcPr>
            <w:tcW w:w="1903" w:type="dxa"/>
            <w:tcBorders>
              <w:top w:val="single" w:sz="4" w:space="0" w:color="7E7E7E"/>
              <w:bottom w:val="single" w:sz="4" w:space="0" w:color="7E7E7E"/>
            </w:tcBorders>
          </w:tcPr>
          <w:p>
            <w:pPr>
              <w:pStyle w:val="TableParagraph"/>
              <w:spacing w:line="186" w:lineRule="exact" w:before="11"/>
              <w:rPr>
                <w:sz w:val="18"/>
              </w:rPr>
            </w:pPr>
            <w:r>
              <w:rPr>
                <w:sz w:val="18"/>
              </w:rPr>
              <w:t>5 Yıldız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before="11"/>
              <w:ind w:left="225"/>
              <w:rPr>
                <w:sz w:val="18"/>
              </w:rPr>
            </w:pPr>
            <w:r>
              <w:rPr>
                <w:sz w:val="18"/>
              </w:rPr>
              <w:t>25</w:t>
            </w:r>
          </w:p>
        </w:tc>
        <w:tc>
          <w:tcPr>
            <w:tcW w:w="1037" w:type="dxa"/>
            <w:tcBorders>
              <w:top w:val="single" w:sz="4" w:space="0" w:color="7E7E7E"/>
              <w:bottom w:val="single" w:sz="4" w:space="0" w:color="7E7E7E"/>
            </w:tcBorders>
          </w:tcPr>
          <w:p>
            <w:pPr>
              <w:pStyle w:val="TableParagraph"/>
              <w:spacing w:line="186" w:lineRule="exact" w:before="11"/>
              <w:ind w:left="164"/>
              <w:rPr>
                <w:sz w:val="18"/>
              </w:rPr>
            </w:pPr>
            <w:r>
              <w:rPr>
                <w:sz w:val="18"/>
              </w:rPr>
              <w:t>86</w:t>
            </w:r>
          </w:p>
        </w:tc>
        <w:tc>
          <w:tcPr>
            <w:tcW w:w="948" w:type="dxa"/>
            <w:tcBorders>
              <w:top w:val="single" w:sz="4" w:space="0" w:color="7E7E7E"/>
              <w:bottom w:val="single" w:sz="4" w:space="0" w:color="7E7E7E"/>
            </w:tcBorders>
          </w:tcPr>
          <w:p>
            <w:pPr>
              <w:pStyle w:val="TableParagraph"/>
              <w:spacing w:line="186" w:lineRule="exact" w:before="11"/>
              <w:ind w:left="150"/>
              <w:rPr>
                <w:sz w:val="18"/>
              </w:rPr>
            </w:pPr>
            <w:r>
              <w:rPr>
                <w:sz w:val="18"/>
              </w:rPr>
              <w:t>59,5</w:t>
            </w:r>
          </w:p>
        </w:tc>
        <w:tc>
          <w:tcPr>
            <w:tcW w:w="1163" w:type="dxa"/>
            <w:tcBorders>
              <w:top w:val="single" w:sz="4" w:space="0" w:color="7E7E7E"/>
              <w:bottom w:val="single" w:sz="4" w:space="0" w:color="7E7E7E"/>
            </w:tcBorders>
          </w:tcPr>
          <w:p>
            <w:pPr>
              <w:pStyle w:val="TableParagraph"/>
              <w:spacing w:line="186" w:lineRule="exact" w:before="11"/>
              <w:ind w:left="164"/>
              <w:rPr>
                <w:sz w:val="18"/>
              </w:rPr>
            </w:pPr>
            <w:r>
              <w:rPr>
                <w:sz w:val="18"/>
              </w:rPr>
              <w:t>57,66</w:t>
            </w:r>
          </w:p>
        </w:tc>
        <w:tc>
          <w:tcPr>
            <w:tcW w:w="1291" w:type="dxa"/>
            <w:tcBorders>
              <w:top w:val="single" w:sz="4" w:space="0" w:color="7E7E7E"/>
              <w:bottom w:val="single" w:sz="4" w:space="0" w:color="7E7E7E"/>
            </w:tcBorders>
          </w:tcPr>
          <w:p>
            <w:pPr>
              <w:pStyle w:val="TableParagraph"/>
              <w:spacing w:line="186" w:lineRule="exact" w:before="11"/>
              <w:ind w:left="144"/>
              <w:rPr>
                <w:sz w:val="18"/>
              </w:rPr>
            </w:pPr>
            <w:r>
              <w:rPr>
                <w:sz w:val="18"/>
              </w:rPr>
              <w:t>12,95</w:t>
            </w:r>
          </w:p>
        </w:tc>
      </w:tr>
      <w:tr>
        <w:trPr>
          <w:trHeight w:val="215" w:hRule="atLeast"/>
        </w:trPr>
        <w:tc>
          <w:tcPr>
            <w:tcW w:w="1133" w:type="dxa"/>
          </w:tcPr>
          <w:p>
            <w:pPr>
              <w:pStyle w:val="TableParagraph"/>
              <w:ind w:left="0"/>
              <w:rPr>
                <w:sz w:val="14"/>
              </w:rPr>
            </w:pPr>
          </w:p>
        </w:tc>
        <w:tc>
          <w:tcPr>
            <w:tcW w:w="1903" w:type="dxa"/>
            <w:tcBorders>
              <w:top w:val="single" w:sz="4" w:space="0" w:color="7E7E7E"/>
              <w:bottom w:val="single" w:sz="4" w:space="0" w:color="7E7E7E"/>
            </w:tcBorders>
          </w:tcPr>
          <w:p>
            <w:pPr>
              <w:pStyle w:val="TableParagraph"/>
              <w:spacing w:line="186" w:lineRule="exact" w:before="9"/>
              <w:rPr>
                <w:sz w:val="18"/>
              </w:rPr>
            </w:pPr>
            <w:r>
              <w:rPr>
                <w:sz w:val="18"/>
              </w:rPr>
              <w:t>Fiyat ($)</w:t>
            </w:r>
          </w:p>
        </w:tc>
        <w:tc>
          <w:tcPr>
            <w:tcW w:w="550" w:type="dxa"/>
            <w:tcBorders>
              <w:top w:val="single" w:sz="4" w:space="0" w:color="7E7E7E"/>
              <w:bottom w:val="single" w:sz="4" w:space="0" w:color="7E7E7E"/>
            </w:tcBorders>
          </w:tcPr>
          <w:p>
            <w:pPr>
              <w:pStyle w:val="TableParagraph"/>
              <w:ind w:left="0"/>
              <w:rPr>
                <w:sz w:val="14"/>
              </w:rPr>
            </w:pPr>
          </w:p>
        </w:tc>
        <w:tc>
          <w:tcPr>
            <w:tcW w:w="887" w:type="dxa"/>
            <w:tcBorders>
              <w:top w:val="single" w:sz="4" w:space="0" w:color="7E7E7E"/>
              <w:bottom w:val="single" w:sz="4" w:space="0" w:color="7E7E7E"/>
            </w:tcBorders>
          </w:tcPr>
          <w:p>
            <w:pPr>
              <w:pStyle w:val="TableParagraph"/>
              <w:spacing w:line="186" w:lineRule="exact" w:before="9"/>
              <w:ind w:left="225"/>
              <w:rPr>
                <w:sz w:val="18"/>
              </w:rPr>
            </w:pPr>
            <w:r>
              <w:rPr>
                <w:sz w:val="18"/>
              </w:rPr>
              <w:t>178,86</w:t>
            </w:r>
          </w:p>
        </w:tc>
        <w:tc>
          <w:tcPr>
            <w:tcW w:w="1037" w:type="dxa"/>
            <w:tcBorders>
              <w:top w:val="single" w:sz="4" w:space="0" w:color="7E7E7E"/>
              <w:bottom w:val="single" w:sz="4" w:space="0" w:color="7E7E7E"/>
            </w:tcBorders>
          </w:tcPr>
          <w:p>
            <w:pPr>
              <w:pStyle w:val="TableParagraph"/>
              <w:spacing w:line="186" w:lineRule="exact" w:before="9"/>
              <w:ind w:left="164"/>
              <w:rPr>
                <w:sz w:val="18"/>
              </w:rPr>
            </w:pPr>
            <w:r>
              <w:rPr>
                <w:sz w:val="18"/>
              </w:rPr>
              <w:t>3200</w:t>
            </w:r>
          </w:p>
        </w:tc>
        <w:tc>
          <w:tcPr>
            <w:tcW w:w="948" w:type="dxa"/>
            <w:tcBorders>
              <w:top w:val="single" w:sz="4" w:space="0" w:color="7E7E7E"/>
              <w:bottom w:val="single" w:sz="4" w:space="0" w:color="7E7E7E"/>
            </w:tcBorders>
          </w:tcPr>
          <w:p>
            <w:pPr>
              <w:pStyle w:val="TableParagraph"/>
              <w:spacing w:line="186" w:lineRule="exact" w:before="9"/>
              <w:ind w:left="150"/>
              <w:rPr>
                <w:sz w:val="18"/>
              </w:rPr>
            </w:pPr>
            <w:r>
              <w:rPr>
                <w:sz w:val="18"/>
              </w:rPr>
              <w:t>999</w:t>
            </w:r>
          </w:p>
        </w:tc>
        <w:tc>
          <w:tcPr>
            <w:tcW w:w="1163" w:type="dxa"/>
            <w:tcBorders>
              <w:top w:val="single" w:sz="4" w:space="0" w:color="7E7E7E"/>
              <w:bottom w:val="single" w:sz="4" w:space="0" w:color="7E7E7E"/>
            </w:tcBorders>
          </w:tcPr>
          <w:p>
            <w:pPr>
              <w:pStyle w:val="TableParagraph"/>
              <w:spacing w:line="186" w:lineRule="exact" w:before="9"/>
              <w:ind w:left="164"/>
              <w:rPr>
                <w:sz w:val="18"/>
              </w:rPr>
            </w:pPr>
            <w:r>
              <w:rPr>
                <w:sz w:val="18"/>
              </w:rPr>
              <w:t>1162,51</w:t>
            </w:r>
          </w:p>
        </w:tc>
        <w:tc>
          <w:tcPr>
            <w:tcW w:w="1291" w:type="dxa"/>
            <w:tcBorders>
              <w:top w:val="single" w:sz="4" w:space="0" w:color="7E7E7E"/>
              <w:bottom w:val="single" w:sz="4" w:space="0" w:color="7E7E7E"/>
            </w:tcBorders>
          </w:tcPr>
          <w:p>
            <w:pPr>
              <w:pStyle w:val="TableParagraph"/>
              <w:spacing w:line="186" w:lineRule="exact" w:before="9"/>
              <w:ind w:left="144"/>
              <w:rPr>
                <w:sz w:val="18"/>
              </w:rPr>
            </w:pPr>
            <w:r>
              <w:rPr>
                <w:sz w:val="18"/>
              </w:rPr>
              <w:t>748,95</w:t>
            </w:r>
          </w:p>
        </w:tc>
      </w:tr>
      <w:tr>
        <w:trPr>
          <w:trHeight w:val="217" w:hRule="atLeast"/>
        </w:trPr>
        <w:tc>
          <w:tcPr>
            <w:tcW w:w="1133" w:type="dxa"/>
            <w:tcBorders>
              <w:bottom w:val="single" w:sz="8" w:space="0" w:color="000000"/>
            </w:tcBorders>
          </w:tcPr>
          <w:p>
            <w:pPr>
              <w:pStyle w:val="TableParagraph"/>
              <w:ind w:left="0"/>
              <w:rPr>
                <w:sz w:val="14"/>
              </w:rPr>
            </w:pPr>
          </w:p>
        </w:tc>
        <w:tc>
          <w:tcPr>
            <w:tcW w:w="1903" w:type="dxa"/>
            <w:tcBorders>
              <w:top w:val="single" w:sz="4" w:space="0" w:color="7E7E7E"/>
              <w:bottom w:val="single" w:sz="8" w:space="0" w:color="000000"/>
            </w:tcBorders>
          </w:tcPr>
          <w:p>
            <w:pPr>
              <w:pStyle w:val="TableParagraph"/>
              <w:spacing w:line="186" w:lineRule="exact" w:before="11"/>
              <w:rPr>
                <w:sz w:val="18"/>
              </w:rPr>
            </w:pPr>
            <w:r>
              <w:rPr>
                <w:sz w:val="18"/>
              </w:rPr>
              <w:t>İndirim Oranı (%)</w:t>
            </w:r>
          </w:p>
        </w:tc>
        <w:tc>
          <w:tcPr>
            <w:tcW w:w="550" w:type="dxa"/>
            <w:tcBorders>
              <w:top w:val="single" w:sz="4" w:space="0" w:color="7E7E7E"/>
              <w:bottom w:val="single" w:sz="8" w:space="0" w:color="000000"/>
            </w:tcBorders>
          </w:tcPr>
          <w:p>
            <w:pPr>
              <w:pStyle w:val="TableParagraph"/>
              <w:ind w:left="0"/>
              <w:rPr>
                <w:sz w:val="14"/>
              </w:rPr>
            </w:pPr>
          </w:p>
        </w:tc>
        <w:tc>
          <w:tcPr>
            <w:tcW w:w="887" w:type="dxa"/>
            <w:tcBorders>
              <w:top w:val="single" w:sz="4" w:space="0" w:color="7E7E7E"/>
              <w:bottom w:val="single" w:sz="8" w:space="0" w:color="000000"/>
            </w:tcBorders>
          </w:tcPr>
          <w:p>
            <w:pPr>
              <w:pStyle w:val="TableParagraph"/>
              <w:spacing w:line="186" w:lineRule="exact" w:before="11"/>
              <w:ind w:left="225"/>
              <w:rPr>
                <w:sz w:val="18"/>
              </w:rPr>
            </w:pPr>
            <w:r>
              <w:rPr>
                <w:sz w:val="18"/>
              </w:rPr>
              <w:t>0</w:t>
            </w:r>
          </w:p>
        </w:tc>
        <w:tc>
          <w:tcPr>
            <w:tcW w:w="1037" w:type="dxa"/>
            <w:tcBorders>
              <w:top w:val="single" w:sz="4" w:space="0" w:color="7E7E7E"/>
              <w:bottom w:val="single" w:sz="8" w:space="0" w:color="000000"/>
            </w:tcBorders>
          </w:tcPr>
          <w:p>
            <w:pPr>
              <w:pStyle w:val="TableParagraph"/>
              <w:spacing w:line="186" w:lineRule="exact" w:before="11"/>
              <w:ind w:left="164"/>
              <w:rPr>
                <w:sz w:val="18"/>
              </w:rPr>
            </w:pPr>
            <w:r>
              <w:rPr>
                <w:sz w:val="18"/>
              </w:rPr>
              <w:t>47</w:t>
            </w:r>
          </w:p>
        </w:tc>
        <w:tc>
          <w:tcPr>
            <w:tcW w:w="948" w:type="dxa"/>
            <w:tcBorders>
              <w:top w:val="single" w:sz="4" w:space="0" w:color="7E7E7E"/>
              <w:bottom w:val="single" w:sz="8" w:space="0" w:color="000000"/>
            </w:tcBorders>
          </w:tcPr>
          <w:p>
            <w:pPr>
              <w:pStyle w:val="TableParagraph"/>
              <w:spacing w:line="186" w:lineRule="exact" w:before="11"/>
              <w:ind w:left="150"/>
              <w:rPr>
                <w:sz w:val="18"/>
              </w:rPr>
            </w:pPr>
            <w:r>
              <w:rPr>
                <w:sz w:val="18"/>
              </w:rPr>
              <w:t>0</w:t>
            </w:r>
          </w:p>
        </w:tc>
        <w:tc>
          <w:tcPr>
            <w:tcW w:w="1163" w:type="dxa"/>
            <w:tcBorders>
              <w:top w:val="single" w:sz="4" w:space="0" w:color="7E7E7E"/>
              <w:bottom w:val="single" w:sz="8" w:space="0" w:color="000000"/>
            </w:tcBorders>
          </w:tcPr>
          <w:p>
            <w:pPr>
              <w:pStyle w:val="TableParagraph"/>
              <w:spacing w:line="186" w:lineRule="exact" w:before="11"/>
              <w:ind w:left="164"/>
              <w:rPr>
                <w:sz w:val="18"/>
              </w:rPr>
            </w:pPr>
            <w:r>
              <w:rPr>
                <w:sz w:val="18"/>
              </w:rPr>
              <w:t>3,66</w:t>
            </w:r>
          </w:p>
        </w:tc>
        <w:tc>
          <w:tcPr>
            <w:tcW w:w="1291" w:type="dxa"/>
            <w:tcBorders>
              <w:top w:val="single" w:sz="4" w:space="0" w:color="7E7E7E"/>
              <w:bottom w:val="single" w:sz="8" w:space="0" w:color="000000"/>
            </w:tcBorders>
          </w:tcPr>
          <w:p>
            <w:pPr>
              <w:pStyle w:val="TableParagraph"/>
              <w:spacing w:line="186" w:lineRule="exact" w:before="11"/>
              <w:ind w:left="144"/>
              <w:rPr>
                <w:sz w:val="18"/>
              </w:rPr>
            </w:pPr>
            <w:r>
              <w:rPr>
                <w:sz w:val="18"/>
              </w:rPr>
              <w:t>8,91</w:t>
            </w:r>
          </w:p>
        </w:tc>
      </w:tr>
    </w:tbl>
    <w:p>
      <w:pPr>
        <w:pStyle w:val="Heading1"/>
        <w:numPr>
          <w:ilvl w:val="2"/>
          <w:numId w:val="2"/>
        </w:numPr>
        <w:tabs>
          <w:tab w:pos="1857" w:val="left" w:leader="none"/>
        </w:tabs>
        <w:spacing w:line="240" w:lineRule="auto" w:before="119" w:after="0"/>
        <w:ind w:left="1856" w:right="0" w:hanging="601"/>
        <w:jc w:val="both"/>
      </w:pPr>
      <w:r>
        <w:rPr/>
        <w:t>Değişkenler</w:t>
      </w:r>
    </w:p>
    <w:p>
      <w:pPr>
        <w:pStyle w:val="BodyText"/>
        <w:spacing w:line="360" w:lineRule="auto" w:before="140"/>
        <w:ind w:right="311" w:firstLine="708"/>
      </w:pPr>
      <w:r>
        <w:rPr/>
        <w:t>Bu araştırmanın modellerinde yer alacak değişkenlerin belirlenmesinde literatürde satış-yorum ilişkisinin inceleyen benzer çalışmalar referans alınmıştır (bk. Tablo 6). Bu çalışmaların çoğu, Chevalier ve Mayzlin’i (2006) temel alarak değişkenlerini belirlemişlerdir.</w:t>
      </w:r>
      <w:r>
        <w:rPr>
          <w:spacing w:val="-9"/>
        </w:rPr>
        <w:t> </w:t>
      </w:r>
      <w:r>
        <w:rPr/>
        <w:t>Doğal</w:t>
      </w:r>
      <w:r>
        <w:rPr>
          <w:spacing w:val="-7"/>
        </w:rPr>
        <w:t> </w:t>
      </w:r>
      <w:r>
        <w:rPr/>
        <w:t>olarak,</w:t>
      </w:r>
      <w:r>
        <w:rPr>
          <w:spacing w:val="-8"/>
        </w:rPr>
        <w:t> </w:t>
      </w:r>
      <w:r>
        <w:rPr/>
        <w:t>bu</w:t>
      </w:r>
      <w:r>
        <w:rPr>
          <w:spacing w:val="-7"/>
        </w:rPr>
        <w:t> </w:t>
      </w:r>
      <w:r>
        <w:rPr/>
        <w:t>araştırmanın</w:t>
      </w:r>
      <w:r>
        <w:rPr>
          <w:spacing w:val="-7"/>
        </w:rPr>
        <w:t> </w:t>
      </w:r>
      <w:r>
        <w:rPr/>
        <w:t>değişkenlerinin</w:t>
      </w:r>
      <w:r>
        <w:rPr>
          <w:spacing w:val="-8"/>
        </w:rPr>
        <w:t> </w:t>
      </w:r>
      <w:r>
        <w:rPr/>
        <w:t>ana</w:t>
      </w:r>
      <w:r>
        <w:rPr>
          <w:spacing w:val="-8"/>
        </w:rPr>
        <w:t> </w:t>
      </w:r>
      <w:r>
        <w:rPr/>
        <w:t>dayanağı</w:t>
      </w:r>
      <w:r>
        <w:rPr>
          <w:spacing w:val="-6"/>
        </w:rPr>
        <w:t> </w:t>
      </w:r>
      <w:r>
        <w:rPr/>
        <w:t>da</w:t>
      </w:r>
      <w:r>
        <w:rPr>
          <w:spacing w:val="-8"/>
        </w:rPr>
        <w:t> </w:t>
      </w:r>
      <w:r>
        <w:rPr/>
        <w:t>Chevalier</w:t>
      </w:r>
      <w:r>
        <w:rPr>
          <w:spacing w:val="-8"/>
        </w:rPr>
        <w:t> </w:t>
      </w:r>
      <w:r>
        <w:rPr/>
        <w:t>ve</w:t>
      </w:r>
    </w:p>
    <w:p>
      <w:pPr>
        <w:spacing w:after="0" w:line="360" w:lineRule="auto"/>
        <w:sectPr>
          <w:pgSz w:w="12240" w:h="15840"/>
          <w:pgMar w:header="718" w:footer="0" w:top="1300" w:bottom="280" w:left="1720" w:right="820"/>
        </w:sectPr>
      </w:pPr>
    </w:p>
    <w:p>
      <w:pPr>
        <w:pStyle w:val="BodyText"/>
        <w:spacing w:line="360" w:lineRule="auto" w:before="100"/>
        <w:ind w:right="311"/>
      </w:pPr>
      <w:r>
        <w:rPr/>
        <w:t>Mayzlin’in (2006) çalışmasıdır. Bu çalışmanın yanı sıra, Tablo 6’da yer alan çalışmalar içinde</w:t>
      </w:r>
      <w:r>
        <w:rPr>
          <w:spacing w:val="-12"/>
        </w:rPr>
        <w:t> </w:t>
      </w:r>
      <w:r>
        <w:rPr/>
        <w:t>Sonnier</w:t>
      </w:r>
      <w:r>
        <w:rPr>
          <w:spacing w:val="-11"/>
        </w:rPr>
        <w:t> </w:t>
      </w:r>
      <w:r>
        <w:rPr/>
        <w:t>vd.</w:t>
      </w:r>
      <w:r>
        <w:rPr>
          <w:spacing w:val="-10"/>
        </w:rPr>
        <w:t> </w:t>
      </w:r>
      <w:r>
        <w:rPr/>
        <w:t>(2011),</w:t>
      </w:r>
      <w:r>
        <w:rPr>
          <w:spacing w:val="-10"/>
        </w:rPr>
        <w:t> </w:t>
      </w:r>
      <w:r>
        <w:rPr/>
        <w:t>Cui</w:t>
      </w:r>
      <w:r>
        <w:rPr>
          <w:spacing w:val="-11"/>
        </w:rPr>
        <w:t> </w:t>
      </w:r>
      <w:r>
        <w:rPr/>
        <w:t>vd.</w:t>
      </w:r>
      <w:r>
        <w:rPr>
          <w:spacing w:val="-10"/>
        </w:rPr>
        <w:t> </w:t>
      </w:r>
      <w:r>
        <w:rPr/>
        <w:t>(2012),</w:t>
      </w:r>
      <w:r>
        <w:rPr>
          <w:spacing w:val="-11"/>
        </w:rPr>
        <w:t> </w:t>
      </w:r>
      <w:r>
        <w:rPr/>
        <w:t>Tang</w:t>
      </w:r>
      <w:r>
        <w:rPr>
          <w:spacing w:val="-11"/>
        </w:rPr>
        <w:t> </w:t>
      </w:r>
      <w:r>
        <w:rPr/>
        <w:t>vd.</w:t>
      </w:r>
      <w:r>
        <w:rPr>
          <w:spacing w:val="-8"/>
        </w:rPr>
        <w:t> </w:t>
      </w:r>
      <w:r>
        <w:rPr/>
        <w:t>(2014)</w:t>
      </w:r>
      <w:r>
        <w:rPr>
          <w:spacing w:val="-12"/>
        </w:rPr>
        <w:t> </w:t>
      </w:r>
      <w:r>
        <w:rPr/>
        <w:t>ve</w:t>
      </w:r>
      <w:r>
        <w:rPr>
          <w:spacing w:val="-11"/>
        </w:rPr>
        <w:t> </w:t>
      </w:r>
      <w:r>
        <w:rPr/>
        <w:t>Moen</w:t>
      </w:r>
      <w:r>
        <w:rPr>
          <w:spacing w:val="-11"/>
        </w:rPr>
        <w:t> </w:t>
      </w:r>
      <w:r>
        <w:rPr/>
        <w:t>vd.</w:t>
      </w:r>
      <w:r>
        <w:rPr>
          <w:spacing w:val="-8"/>
        </w:rPr>
        <w:t> </w:t>
      </w:r>
      <w:r>
        <w:rPr/>
        <w:t>(2017)</w:t>
      </w:r>
      <w:r>
        <w:rPr>
          <w:spacing w:val="-11"/>
        </w:rPr>
        <w:t> </w:t>
      </w:r>
      <w:r>
        <w:rPr/>
        <w:t>değişkenlerin belirlenmesinde referans olmuş ana</w:t>
      </w:r>
      <w:r>
        <w:rPr>
          <w:spacing w:val="-1"/>
        </w:rPr>
        <w:t> </w:t>
      </w:r>
      <w:r>
        <w:rPr/>
        <w:t>kaynaklardır.</w:t>
      </w:r>
    </w:p>
    <w:p>
      <w:pPr>
        <w:pStyle w:val="BodyText"/>
        <w:spacing w:before="160"/>
      </w:pPr>
      <w:r>
        <w:rPr>
          <w:b/>
        </w:rPr>
        <w:t>Tablo 6: </w:t>
      </w:r>
      <w:r>
        <w:rPr/>
        <w:t>Değişkenlerin belirlenmesine referans olan literatürdeki örnek çalışmalar</w:t>
      </w: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8"/>
        <w:gridCol w:w="851"/>
        <w:gridCol w:w="1075"/>
        <w:gridCol w:w="902"/>
        <w:gridCol w:w="1006"/>
        <w:gridCol w:w="845"/>
        <w:gridCol w:w="1017"/>
        <w:gridCol w:w="749"/>
        <w:gridCol w:w="982"/>
      </w:tblGrid>
      <w:tr>
        <w:trPr>
          <w:trHeight w:val="460" w:hRule="atLeast"/>
        </w:trPr>
        <w:tc>
          <w:tcPr>
            <w:tcW w:w="1428" w:type="dxa"/>
            <w:tcBorders>
              <w:top w:val="single" w:sz="8" w:space="0" w:color="000000"/>
              <w:bottom w:val="single" w:sz="8" w:space="0" w:color="000000"/>
            </w:tcBorders>
          </w:tcPr>
          <w:p>
            <w:pPr>
              <w:pStyle w:val="TableParagraph"/>
              <w:spacing w:before="115"/>
              <w:ind w:left="111" w:right="102"/>
              <w:jc w:val="center"/>
              <w:rPr>
                <w:b/>
                <w:sz w:val="20"/>
              </w:rPr>
            </w:pPr>
            <w:r>
              <w:rPr>
                <w:b/>
                <w:sz w:val="20"/>
              </w:rPr>
              <w:t>Yayın</w:t>
            </w:r>
          </w:p>
        </w:tc>
        <w:tc>
          <w:tcPr>
            <w:tcW w:w="851" w:type="dxa"/>
            <w:tcBorders>
              <w:top w:val="single" w:sz="8" w:space="0" w:color="000000"/>
              <w:bottom w:val="single" w:sz="8" w:space="0" w:color="000000"/>
            </w:tcBorders>
          </w:tcPr>
          <w:p>
            <w:pPr>
              <w:pStyle w:val="TableParagraph"/>
              <w:spacing w:line="230" w:lineRule="exact" w:before="3"/>
              <w:ind w:left="177" w:right="98" w:hanging="56"/>
              <w:rPr>
                <w:b/>
                <w:sz w:val="20"/>
              </w:rPr>
            </w:pPr>
            <w:r>
              <w:rPr>
                <w:b/>
                <w:sz w:val="20"/>
              </w:rPr>
              <w:t>Yorum Sayısı</w:t>
            </w:r>
          </w:p>
        </w:tc>
        <w:tc>
          <w:tcPr>
            <w:tcW w:w="1075" w:type="dxa"/>
            <w:tcBorders>
              <w:top w:val="single" w:sz="8" w:space="0" w:color="000000"/>
              <w:bottom w:val="single" w:sz="8" w:space="0" w:color="000000"/>
            </w:tcBorders>
          </w:tcPr>
          <w:p>
            <w:pPr>
              <w:pStyle w:val="TableParagraph"/>
              <w:spacing w:line="230" w:lineRule="exact" w:before="3"/>
              <w:ind w:left="313" w:right="103" w:hanging="195"/>
              <w:rPr>
                <w:b/>
                <w:sz w:val="20"/>
              </w:rPr>
            </w:pPr>
            <w:r>
              <w:rPr>
                <w:b/>
                <w:sz w:val="20"/>
              </w:rPr>
              <w:t>Ortalama Puan</w:t>
            </w:r>
          </w:p>
        </w:tc>
        <w:tc>
          <w:tcPr>
            <w:tcW w:w="902" w:type="dxa"/>
            <w:tcBorders>
              <w:top w:val="single" w:sz="8" w:space="0" w:color="000000"/>
              <w:bottom w:val="single" w:sz="8" w:space="0" w:color="000000"/>
            </w:tcBorders>
          </w:tcPr>
          <w:p>
            <w:pPr>
              <w:pStyle w:val="TableParagraph"/>
              <w:spacing w:line="230" w:lineRule="exact" w:before="3"/>
              <w:ind w:left="145" w:right="103" w:hanging="22"/>
              <w:rPr>
                <w:b/>
                <w:sz w:val="20"/>
              </w:rPr>
            </w:pPr>
            <w:r>
              <w:rPr>
                <w:b/>
                <w:sz w:val="20"/>
              </w:rPr>
              <w:t>Olumlu Yorum</w:t>
            </w:r>
          </w:p>
        </w:tc>
        <w:tc>
          <w:tcPr>
            <w:tcW w:w="1006" w:type="dxa"/>
            <w:tcBorders>
              <w:top w:val="single" w:sz="8" w:space="0" w:color="000000"/>
              <w:bottom w:val="single" w:sz="8" w:space="0" w:color="000000"/>
            </w:tcBorders>
          </w:tcPr>
          <w:p>
            <w:pPr>
              <w:pStyle w:val="TableParagraph"/>
              <w:spacing w:line="230" w:lineRule="exact" w:before="3"/>
              <w:ind w:left="225" w:right="95" w:hanging="101"/>
              <w:rPr>
                <w:b/>
                <w:sz w:val="20"/>
              </w:rPr>
            </w:pPr>
            <w:r>
              <w:rPr>
                <w:b/>
                <w:sz w:val="20"/>
              </w:rPr>
              <w:t>Olumsuz yorum</w:t>
            </w:r>
          </w:p>
        </w:tc>
        <w:tc>
          <w:tcPr>
            <w:tcW w:w="845" w:type="dxa"/>
            <w:tcBorders>
              <w:top w:val="single" w:sz="8" w:space="0" w:color="000000"/>
              <w:bottom w:val="single" w:sz="8" w:space="0" w:color="000000"/>
            </w:tcBorders>
          </w:tcPr>
          <w:p>
            <w:pPr>
              <w:pStyle w:val="TableParagraph"/>
              <w:spacing w:line="230" w:lineRule="exact" w:before="3"/>
              <w:ind w:left="119" w:right="94" w:firstLine="105"/>
              <w:rPr>
                <w:b/>
                <w:sz w:val="20"/>
              </w:rPr>
            </w:pPr>
            <w:r>
              <w:rPr>
                <w:b/>
                <w:sz w:val="20"/>
              </w:rPr>
              <w:t>Nötr Yorum</w:t>
            </w:r>
          </w:p>
        </w:tc>
        <w:tc>
          <w:tcPr>
            <w:tcW w:w="1017" w:type="dxa"/>
            <w:tcBorders>
              <w:top w:val="single" w:sz="8" w:space="0" w:color="000000"/>
              <w:bottom w:val="single" w:sz="8" w:space="0" w:color="000000"/>
            </w:tcBorders>
          </w:tcPr>
          <w:p>
            <w:pPr>
              <w:pStyle w:val="TableParagraph"/>
              <w:spacing w:before="115"/>
              <w:ind w:left="104" w:right="117"/>
              <w:jc w:val="center"/>
              <w:rPr>
                <w:b/>
                <w:sz w:val="20"/>
              </w:rPr>
            </w:pPr>
            <w:r>
              <w:rPr>
                <w:b/>
                <w:sz w:val="20"/>
              </w:rPr>
              <w:t>Kategori</w:t>
            </w:r>
          </w:p>
        </w:tc>
        <w:tc>
          <w:tcPr>
            <w:tcW w:w="749" w:type="dxa"/>
            <w:tcBorders>
              <w:top w:val="single" w:sz="8" w:space="0" w:color="000000"/>
              <w:bottom w:val="single" w:sz="8" w:space="0" w:color="000000"/>
            </w:tcBorders>
          </w:tcPr>
          <w:p>
            <w:pPr>
              <w:pStyle w:val="TableParagraph"/>
              <w:spacing w:before="115"/>
              <w:ind w:left="128" w:right="135"/>
              <w:jc w:val="center"/>
              <w:rPr>
                <w:b/>
                <w:sz w:val="20"/>
              </w:rPr>
            </w:pPr>
            <w:r>
              <w:rPr>
                <w:b/>
                <w:sz w:val="20"/>
              </w:rPr>
              <w:t>Fiyat</w:t>
            </w:r>
          </w:p>
        </w:tc>
        <w:tc>
          <w:tcPr>
            <w:tcW w:w="982" w:type="dxa"/>
            <w:tcBorders>
              <w:top w:val="single" w:sz="8" w:space="0" w:color="000000"/>
              <w:bottom w:val="single" w:sz="8" w:space="0" w:color="000000"/>
            </w:tcBorders>
          </w:tcPr>
          <w:p>
            <w:pPr>
              <w:pStyle w:val="TableParagraph"/>
              <w:spacing w:line="230" w:lineRule="exact" w:before="3"/>
              <w:ind w:left="245" w:hanging="77"/>
              <w:rPr>
                <w:b/>
                <w:sz w:val="20"/>
              </w:rPr>
            </w:pPr>
            <w:r>
              <w:rPr>
                <w:b/>
                <w:w w:val="95"/>
                <w:sz w:val="20"/>
              </w:rPr>
              <w:t>İndirim </w:t>
            </w:r>
            <w:r>
              <w:rPr>
                <w:b/>
                <w:sz w:val="20"/>
              </w:rPr>
              <w:t>Oranı</w:t>
            </w:r>
          </w:p>
        </w:tc>
      </w:tr>
      <w:tr>
        <w:trPr>
          <w:trHeight w:val="457" w:hRule="atLeast"/>
        </w:trPr>
        <w:tc>
          <w:tcPr>
            <w:tcW w:w="1428" w:type="dxa"/>
            <w:tcBorders>
              <w:top w:val="single" w:sz="8" w:space="0" w:color="000000"/>
              <w:bottom w:val="single" w:sz="4" w:space="0" w:color="7E7E7E"/>
            </w:tcBorders>
          </w:tcPr>
          <w:p>
            <w:pPr>
              <w:pStyle w:val="TableParagraph"/>
              <w:spacing w:line="227" w:lineRule="exact"/>
              <w:ind w:left="211"/>
              <w:rPr>
                <w:sz w:val="20"/>
              </w:rPr>
            </w:pPr>
            <w:r>
              <w:rPr>
                <w:sz w:val="20"/>
              </w:rPr>
              <w:t>Chevalier ve</w:t>
            </w:r>
          </w:p>
          <w:p>
            <w:pPr>
              <w:pStyle w:val="TableParagraph"/>
              <w:spacing w:line="210" w:lineRule="exact"/>
              <w:ind w:left="136"/>
              <w:rPr>
                <w:sz w:val="20"/>
              </w:rPr>
            </w:pPr>
            <w:r>
              <w:rPr>
                <w:sz w:val="20"/>
              </w:rPr>
              <w:t>Mayzlin, 2006</w:t>
            </w:r>
          </w:p>
        </w:tc>
        <w:tc>
          <w:tcPr>
            <w:tcW w:w="851" w:type="dxa"/>
            <w:tcBorders>
              <w:top w:val="single" w:sz="8" w:space="0" w:color="000000"/>
              <w:bottom w:val="single" w:sz="4" w:space="0" w:color="7E7E7E"/>
            </w:tcBorders>
          </w:tcPr>
          <w:p>
            <w:pPr>
              <w:pStyle w:val="TableParagraph"/>
              <w:spacing w:before="117"/>
              <w:ind w:left="350"/>
              <w:rPr>
                <w:rFonts w:ascii="Wingdings" w:hAnsi="Wingdings"/>
                <w:sz w:val="20"/>
              </w:rPr>
            </w:pPr>
            <w:r>
              <w:rPr>
                <w:rFonts w:ascii="Wingdings" w:hAnsi="Wingdings"/>
                <w:w w:val="99"/>
                <w:sz w:val="20"/>
              </w:rPr>
              <w:t></w:t>
            </w:r>
          </w:p>
        </w:tc>
        <w:tc>
          <w:tcPr>
            <w:tcW w:w="1075" w:type="dxa"/>
            <w:tcBorders>
              <w:top w:val="single" w:sz="8" w:space="0" w:color="000000"/>
              <w:bottom w:val="single" w:sz="4" w:space="0" w:color="7E7E7E"/>
            </w:tcBorders>
          </w:tcPr>
          <w:p>
            <w:pPr>
              <w:pStyle w:val="TableParagraph"/>
              <w:spacing w:before="117"/>
              <w:ind w:left="457"/>
              <w:rPr>
                <w:rFonts w:ascii="Wingdings" w:hAnsi="Wingdings"/>
                <w:sz w:val="20"/>
              </w:rPr>
            </w:pPr>
            <w:r>
              <w:rPr>
                <w:rFonts w:ascii="Wingdings" w:hAnsi="Wingdings"/>
                <w:w w:val="99"/>
                <w:sz w:val="20"/>
              </w:rPr>
              <w:t></w:t>
            </w:r>
          </w:p>
        </w:tc>
        <w:tc>
          <w:tcPr>
            <w:tcW w:w="902" w:type="dxa"/>
            <w:tcBorders>
              <w:top w:val="single" w:sz="8" w:space="0" w:color="000000"/>
              <w:bottom w:val="single" w:sz="4" w:space="0" w:color="7E7E7E"/>
            </w:tcBorders>
          </w:tcPr>
          <w:p>
            <w:pPr>
              <w:pStyle w:val="TableParagraph"/>
              <w:spacing w:before="117"/>
              <w:ind w:left="0" w:right="369"/>
              <w:jc w:val="right"/>
              <w:rPr>
                <w:rFonts w:ascii="Wingdings" w:hAnsi="Wingdings"/>
                <w:sz w:val="20"/>
              </w:rPr>
            </w:pPr>
            <w:r>
              <w:rPr>
                <w:rFonts w:ascii="Wingdings" w:hAnsi="Wingdings"/>
                <w:w w:val="99"/>
                <w:sz w:val="20"/>
              </w:rPr>
              <w:t></w:t>
            </w:r>
          </w:p>
        </w:tc>
        <w:tc>
          <w:tcPr>
            <w:tcW w:w="1006" w:type="dxa"/>
            <w:tcBorders>
              <w:top w:val="single" w:sz="8" w:space="0" w:color="000000"/>
              <w:bottom w:val="single" w:sz="4" w:space="0" w:color="7E7E7E"/>
            </w:tcBorders>
          </w:tcPr>
          <w:p>
            <w:pPr>
              <w:pStyle w:val="TableParagraph"/>
              <w:spacing w:before="117"/>
              <w:ind w:left="0" w:right="417"/>
              <w:jc w:val="right"/>
              <w:rPr>
                <w:rFonts w:ascii="Wingdings" w:hAnsi="Wingdings"/>
                <w:sz w:val="20"/>
              </w:rPr>
            </w:pPr>
            <w:r>
              <w:rPr>
                <w:rFonts w:ascii="Wingdings" w:hAnsi="Wingdings"/>
                <w:w w:val="99"/>
                <w:sz w:val="20"/>
              </w:rPr>
              <w:t></w:t>
            </w:r>
          </w:p>
        </w:tc>
        <w:tc>
          <w:tcPr>
            <w:tcW w:w="845" w:type="dxa"/>
            <w:tcBorders>
              <w:top w:val="single" w:sz="8" w:space="0" w:color="000000"/>
              <w:bottom w:val="single" w:sz="4" w:space="0" w:color="7E7E7E"/>
            </w:tcBorders>
          </w:tcPr>
          <w:p>
            <w:pPr>
              <w:pStyle w:val="TableParagraph"/>
              <w:ind w:left="0"/>
              <w:rPr>
                <w:sz w:val="22"/>
              </w:rPr>
            </w:pPr>
          </w:p>
        </w:tc>
        <w:tc>
          <w:tcPr>
            <w:tcW w:w="1017" w:type="dxa"/>
            <w:tcBorders>
              <w:top w:val="single" w:sz="8" w:space="0" w:color="000000"/>
              <w:bottom w:val="single" w:sz="4" w:space="0" w:color="7E7E7E"/>
            </w:tcBorders>
          </w:tcPr>
          <w:p>
            <w:pPr>
              <w:pStyle w:val="TableParagraph"/>
              <w:ind w:left="0"/>
              <w:rPr>
                <w:sz w:val="22"/>
              </w:rPr>
            </w:pPr>
          </w:p>
        </w:tc>
        <w:tc>
          <w:tcPr>
            <w:tcW w:w="749" w:type="dxa"/>
            <w:tcBorders>
              <w:top w:val="single" w:sz="8" w:space="0" w:color="000000"/>
              <w:bottom w:val="single" w:sz="4" w:space="0" w:color="7E7E7E"/>
            </w:tcBorders>
          </w:tcPr>
          <w:p>
            <w:pPr>
              <w:pStyle w:val="TableParagraph"/>
              <w:ind w:left="0"/>
              <w:rPr>
                <w:sz w:val="22"/>
              </w:rPr>
            </w:pPr>
          </w:p>
        </w:tc>
        <w:tc>
          <w:tcPr>
            <w:tcW w:w="982" w:type="dxa"/>
            <w:tcBorders>
              <w:top w:val="single" w:sz="8" w:space="0" w:color="000000"/>
              <w:bottom w:val="single" w:sz="4" w:space="0" w:color="7E7E7E"/>
            </w:tcBorders>
          </w:tcPr>
          <w:p>
            <w:pPr>
              <w:pStyle w:val="TableParagraph"/>
              <w:ind w:left="0"/>
              <w:rPr>
                <w:sz w:val="22"/>
              </w:rPr>
            </w:pPr>
          </w:p>
        </w:tc>
      </w:tr>
      <w:tr>
        <w:trPr>
          <w:trHeight w:val="290" w:hRule="atLeast"/>
        </w:trPr>
        <w:tc>
          <w:tcPr>
            <w:tcW w:w="1428" w:type="dxa"/>
            <w:tcBorders>
              <w:top w:val="single" w:sz="4" w:space="0" w:color="7E7E7E"/>
              <w:bottom w:val="single" w:sz="4" w:space="0" w:color="7E7E7E"/>
            </w:tcBorders>
          </w:tcPr>
          <w:p>
            <w:pPr>
              <w:pStyle w:val="TableParagraph"/>
              <w:spacing w:before="29"/>
              <w:ind w:left="111" w:right="102"/>
              <w:jc w:val="center"/>
              <w:rPr>
                <w:sz w:val="20"/>
              </w:rPr>
            </w:pPr>
            <w:r>
              <w:rPr>
                <w:sz w:val="20"/>
              </w:rPr>
              <w:t>Li &amp;Hitt 2008</w:t>
            </w:r>
          </w:p>
        </w:tc>
        <w:tc>
          <w:tcPr>
            <w:tcW w:w="851" w:type="dxa"/>
            <w:tcBorders>
              <w:top w:val="single" w:sz="4" w:space="0" w:color="7E7E7E"/>
              <w:bottom w:val="single" w:sz="4" w:space="0" w:color="7E7E7E"/>
            </w:tcBorders>
          </w:tcPr>
          <w:p>
            <w:pPr>
              <w:pStyle w:val="TableParagraph"/>
              <w:spacing w:before="34"/>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spacing w:before="34"/>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ind w:left="0"/>
              <w:rPr>
                <w:sz w:val="20"/>
              </w:rPr>
            </w:pPr>
          </w:p>
        </w:tc>
        <w:tc>
          <w:tcPr>
            <w:tcW w:w="1006" w:type="dxa"/>
            <w:tcBorders>
              <w:top w:val="single" w:sz="4" w:space="0" w:color="7E7E7E"/>
              <w:bottom w:val="single" w:sz="4" w:space="0" w:color="7E7E7E"/>
            </w:tcBorders>
          </w:tcPr>
          <w:p>
            <w:pPr>
              <w:pStyle w:val="TableParagraph"/>
              <w:ind w:left="0"/>
              <w:rPr>
                <w:sz w:val="20"/>
              </w:rPr>
            </w:pPr>
          </w:p>
        </w:tc>
        <w:tc>
          <w:tcPr>
            <w:tcW w:w="845" w:type="dxa"/>
            <w:tcBorders>
              <w:top w:val="single" w:sz="4" w:space="0" w:color="7E7E7E"/>
              <w:bottom w:val="single" w:sz="4" w:space="0" w:color="7E7E7E"/>
            </w:tcBorders>
          </w:tcPr>
          <w:p>
            <w:pPr>
              <w:pStyle w:val="TableParagraph"/>
              <w:ind w:left="0"/>
              <w:rPr>
                <w:sz w:val="20"/>
              </w:rPr>
            </w:pPr>
          </w:p>
        </w:tc>
        <w:tc>
          <w:tcPr>
            <w:tcW w:w="1017" w:type="dxa"/>
            <w:tcBorders>
              <w:top w:val="single" w:sz="4" w:space="0" w:color="7E7E7E"/>
              <w:bottom w:val="single" w:sz="4" w:space="0" w:color="7E7E7E"/>
            </w:tcBorders>
          </w:tcPr>
          <w:p>
            <w:pPr>
              <w:pStyle w:val="TableParagraph"/>
              <w:ind w:left="0"/>
              <w:rPr>
                <w:sz w:val="20"/>
              </w:rPr>
            </w:pPr>
          </w:p>
        </w:tc>
        <w:tc>
          <w:tcPr>
            <w:tcW w:w="749" w:type="dxa"/>
            <w:tcBorders>
              <w:top w:val="single" w:sz="4" w:space="0" w:color="7E7E7E"/>
              <w:bottom w:val="single" w:sz="4" w:space="0" w:color="7E7E7E"/>
            </w:tcBorders>
          </w:tcPr>
          <w:p>
            <w:pPr>
              <w:pStyle w:val="TableParagraph"/>
              <w:spacing w:before="34"/>
              <w:ind w:left="0" w:right="8"/>
              <w:jc w:val="center"/>
              <w:rPr>
                <w:rFonts w:ascii="Wingdings" w:hAnsi="Wingdings"/>
                <w:sz w:val="20"/>
              </w:rPr>
            </w:pPr>
            <w:r>
              <w:rPr>
                <w:rFonts w:ascii="Wingdings" w:hAnsi="Wingdings"/>
                <w:w w:val="99"/>
                <w:sz w:val="20"/>
              </w:rPr>
              <w:t></w:t>
            </w:r>
          </w:p>
        </w:tc>
        <w:tc>
          <w:tcPr>
            <w:tcW w:w="982" w:type="dxa"/>
            <w:tcBorders>
              <w:top w:val="single" w:sz="4" w:space="0" w:color="7E7E7E"/>
              <w:bottom w:val="single" w:sz="4" w:space="0" w:color="7E7E7E"/>
            </w:tcBorders>
          </w:tcPr>
          <w:p>
            <w:pPr>
              <w:pStyle w:val="TableParagraph"/>
              <w:ind w:left="0"/>
              <w:rPr>
                <w:sz w:val="20"/>
              </w:rPr>
            </w:pPr>
          </w:p>
        </w:tc>
      </w:tr>
      <w:tr>
        <w:trPr>
          <w:trHeight w:val="460" w:hRule="atLeast"/>
        </w:trPr>
        <w:tc>
          <w:tcPr>
            <w:tcW w:w="1428" w:type="dxa"/>
            <w:tcBorders>
              <w:top w:val="single" w:sz="4" w:space="0" w:color="7E7E7E"/>
              <w:bottom w:val="single" w:sz="4" w:space="0" w:color="7E7E7E"/>
            </w:tcBorders>
          </w:tcPr>
          <w:p>
            <w:pPr>
              <w:pStyle w:val="TableParagraph"/>
              <w:ind w:left="109" w:right="102"/>
              <w:jc w:val="center"/>
              <w:rPr>
                <w:sz w:val="20"/>
              </w:rPr>
            </w:pPr>
            <w:r>
              <w:rPr>
                <w:sz w:val="20"/>
              </w:rPr>
              <w:t>Sonnier vd.</w:t>
            </w:r>
          </w:p>
          <w:p>
            <w:pPr>
              <w:pStyle w:val="TableParagraph"/>
              <w:spacing w:line="210" w:lineRule="exact"/>
              <w:ind w:left="113" w:right="101"/>
              <w:jc w:val="center"/>
              <w:rPr>
                <w:sz w:val="20"/>
              </w:rPr>
            </w:pPr>
            <w:r>
              <w:rPr>
                <w:sz w:val="20"/>
              </w:rPr>
              <w:t>2011</w:t>
            </w:r>
          </w:p>
        </w:tc>
        <w:tc>
          <w:tcPr>
            <w:tcW w:w="851" w:type="dxa"/>
            <w:tcBorders>
              <w:top w:val="single" w:sz="4" w:space="0" w:color="7E7E7E"/>
              <w:bottom w:val="single" w:sz="4" w:space="0" w:color="7E7E7E"/>
            </w:tcBorders>
          </w:tcPr>
          <w:p>
            <w:pPr>
              <w:pStyle w:val="TableParagraph"/>
              <w:ind w:left="0"/>
              <w:rPr>
                <w:sz w:val="22"/>
              </w:rPr>
            </w:pPr>
          </w:p>
        </w:tc>
        <w:tc>
          <w:tcPr>
            <w:tcW w:w="1075" w:type="dxa"/>
            <w:tcBorders>
              <w:top w:val="single" w:sz="4" w:space="0" w:color="7E7E7E"/>
              <w:bottom w:val="single" w:sz="4" w:space="0" w:color="7E7E7E"/>
            </w:tcBorders>
          </w:tcPr>
          <w:p>
            <w:pPr>
              <w:pStyle w:val="TableParagraph"/>
              <w:ind w:left="0"/>
              <w:rPr>
                <w:sz w:val="22"/>
              </w:rPr>
            </w:pPr>
          </w:p>
        </w:tc>
        <w:tc>
          <w:tcPr>
            <w:tcW w:w="902" w:type="dxa"/>
            <w:tcBorders>
              <w:top w:val="single" w:sz="4" w:space="0" w:color="7E7E7E"/>
              <w:bottom w:val="single" w:sz="4" w:space="0" w:color="7E7E7E"/>
            </w:tcBorders>
          </w:tcPr>
          <w:p>
            <w:pPr>
              <w:pStyle w:val="TableParagraph"/>
              <w:spacing w:before="120"/>
              <w:ind w:left="0" w:right="369"/>
              <w:jc w:val="right"/>
              <w:rPr>
                <w:rFonts w:ascii="Wingdings" w:hAnsi="Wingdings"/>
                <w:sz w:val="20"/>
              </w:rPr>
            </w:pPr>
            <w:r>
              <w:rPr>
                <w:rFonts w:ascii="Wingdings" w:hAnsi="Wingdings"/>
                <w:w w:val="99"/>
                <w:sz w:val="20"/>
              </w:rPr>
              <w:t></w:t>
            </w:r>
          </w:p>
        </w:tc>
        <w:tc>
          <w:tcPr>
            <w:tcW w:w="1006" w:type="dxa"/>
            <w:tcBorders>
              <w:top w:val="single" w:sz="4" w:space="0" w:color="7E7E7E"/>
              <w:bottom w:val="single" w:sz="4" w:space="0" w:color="7E7E7E"/>
            </w:tcBorders>
          </w:tcPr>
          <w:p>
            <w:pPr>
              <w:pStyle w:val="TableParagraph"/>
              <w:spacing w:before="120"/>
              <w:ind w:left="0" w:right="417"/>
              <w:jc w:val="right"/>
              <w:rPr>
                <w:rFonts w:ascii="Wingdings" w:hAnsi="Wingdings"/>
                <w:sz w:val="20"/>
              </w:rPr>
            </w:pPr>
            <w:r>
              <w:rPr>
                <w:rFonts w:ascii="Wingdings" w:hAnsi="Wingdings"/>
                <w:w w:val="99"/>
                <w:sz w:val="20"/>
              </w:rPr>
              <w:t></w:t>
            </w:r>
          </w:p>
        </w:tc>
        <w:tc>
          <w:tcPr>
            <w:tcW w:w="845" w:type="dxa"/>
            <w:tcBorders>
              <w:top w:val="single" w:sz="4" w:space="0" w:color="7E7E7E"/>
              <w:bottom w:val="single" w:sz="4" w:space="0" w:color="7E7E7E"/>
            </w:tcBorders>
          </w:tcPr>
          <w:p>
            <w:pPr>
              <w:pStyle w:val="TableParagraph"/>
              <w:spacing w:before="120"/>
              <w:ind w:left="347"/>
              <w:rPr>
                <w:rFonts w:ascii="Wingdings" w:hAnsi="Wingdings"/>
                <w:sz w:val="20"/>
              </w:rPr>
            </w:pPr>
            <w:r>
              <w:rPr>
                <w:rFonts w:ascii="Wingdings" w:hAnsi="Wingdings"/>
                <w:w w:val="99"/>
                <w:sz w:val="20"/>
              </w:rPr>
              <w:t></w:t>
            </w:r>
          </w:p>
        </w:tc>
        <w:tc>
          <w:tcPr>
            <w:tcW w:w="1017" w:type="dxa"/>
            <w:tcBorders>
              <w:top w:val="single" w:sz="4" w:space="0" w:color="7E7E7E"/>
              <w:bottom w:val="single" w:sz="4" w:space="0" w:color="7E7E7E"/>
            </w:tcBorders>
          </w:tcPr>
          <w:p>
            <w:pPr>
              <w:pStyle w:val="TableParagraph"/>
              <w:ind w:left="0"/>
              <w:rPr>
                <w:sz w:val="22"/>
              </w:rPr>
            </w:pPr>
          </w:p>
        </w:tc>
        <w:tc>
          <w:tcPr>
            <w:tcW w:w="749" w:type="dxa"/>
            <w:tcBorders>
              <w:top w:val="single" w:sz="4" w:space="0" w:color="7E7E7E"/>
              <w:bottom w:val="single" w:sz="4" w:space="0" w:color="7E7E7E"/>
            </w:tcBorders>
          </w:tcPr>
          <w:p>
            <w:pPr>
              <w:pStyle w:val="TableParagraph"/>
              <w:ind w:left="0"/>
              <w:rPr>
                <w:sz w:val="22"/>
              </w:rPr>
            </w:pPr>
          </w:p>
        </w:tc>
        <w:tc>
          <w:tcPr>
            <w:tcW w:w="982" w:type="dxa"/>
            <w:tcBorders>
              <w:top w:val="single" w:sz="4" w:space="0" w:color="7E7E7E"/>
              <w:bottom w:val="single" w:sz="4" w:space="0" w:color="7E7E7E"/>
            </w:tcBorders>
          </w:tcPr>
          <w:p>
            <w:pPr>
              <w:pStyle w:val="TableParagraph"/>
              <w:ind w:left="0"/>
              <w:rPr>
                <w:sz w:val="22"/>
              </w:rPr>
            </w:pPr>
          </w:p>
        </w:tc>
      </w:tr>
      <w:tr>
        <w:trPr>
          <w:trHeight w:val="289" w:hRule="atLeast"/>
        </w:trPr>
        <w:tc>
          <w:tcPr>
            <w:tcW w:w="1428" w:type="dxa"/>
            <w:tcBorders>
              <w:top w:val="single" w:sz="4" w:space="0" w:color="7E7E7E"/>
              <w:bottom w:val="single" w:sz="4" w:space="0" w:color="7E7E7E"/>
            </w:tcBorders>
          </w:tcPr>
          <w:p>
            <w:pPr>
              <w:pStyle w:val="TableParagraph"/>
              <w:spacing w:before="29"/>
              <w:ind w:left="111" w:right="102"/>
              <w:jc w:val="center"/>
              <w:rPr>
                <w:sz w:val="20"/>
              </w:rPr>
            </w:pPr>
            <w:r>
              <w:rPr>
                <w:sz w:val="20"/>
              </w:rPr>
              <w:t>Cui vd. 2012</w:t>
            </w:r>
          </w:p>
        </w:tc>
        <w:tc>
          <w:tcPr>
            <w:tcW w:w="851" w:type="dxa"/>
            <w:tcBorders>
              <w:top w:val="single" w:sz="4" w:space="0" w:color="7E7E7E"/>
              <w:bottom w:val="single" w:sz="4" w:space="0" w:color="7E7E7E"/>
            </w:tcBorders>
          </w:tcPr>
          <w:p>
            <w:pPr>
              <w:pStyle w:val="TableParagraph"/>
              <w:spacing w:before="34"/>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spacing w:before="34"/>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spacing w:before="34"/>
              <w:ind w:left="0" w:right="369"/>
              <w:jc w:val="right"/>
              <w:rPr>
                <w:rFonts w:ascii="Wingdings" w:hAnsi="Wingdings"/>
                <w:sz w:val="20"/>
              </w:rPr>
            </w:pPr>
            <w:r>
              <w:rPr>
                <w:rFonts w:ascii="Wingdings" w:hAnsi="Wingdings"/>
                <w:w w:val="99"/>
                <w:sz w:val="20"/>
              </w:rPr>
              <w:t></w:t>
            </w:r>
          </w:p>
        </w:tc>
        <w:tc>
          <w:tcPr>
            <w:tcW w:w="1006" w:type="dxa"/>
            <w:tcBorders>
              <w:top w:val="single" w:sz="4" w:space="0" w:color="7E7E7E"/>
              <w:bottom w:val="single" w:sz="4" w:space="0" w:color="7E7E7E"/>
            </w:tcBorders>
          </w:tcPr>
          <w:p>
            <w:pPr>
              <w:pStyle w:val="TableParagraph"/>
              <w:spacing w:before="34"/>
              <w:ind w:left="0" w:right="417"/>
              <w:jc w:val="right"/>
              <w:rPr>
                <w:rFonts w:ascii="Wingdings" w:hAnsi="Wingdings"/>
                <w:sz w:val="20"/>
              </w:rPr>
            </w:pPr>
            <w:r>
              <w:rPr>
                <w:rFonts w:ascii="Wingdings" w:hAnsi="Wingdings"/>
                <w:w w:val="99"/>
                <w:sz w:val="20"/>
              </w:rPr>
              <w:t></w:t>
            </w:r>
          </w:p>
        </w:tc>
        <w:tc>
          <w:tcPr>
            <w:tcW w:w="845" w:type="dxa"/>
            <w:tcBorders>
              <w:top w:val="single" w:sz="4" w:space="0" w:color="7E7E7E"/>
              <w:bottom w:val="single" w:sz="4" w:space="0" w:color="7E7E7E"/>
            </w:tcBorders>
          </w:tcPr>
          <w:p>
            <w:pPr>
              <w:pStyle w:val="TableParagraph"/>
              <w:ind w:left="0"/>
              <w:rPr>
                <w:sz w:val="20"/>
              </w:rPr>
            </w:pPr>
          </w:p>
        </w:tc>
        <w:tc>
          <w:tcPr>
            <w:tcW w:w="1017" w:type="dxa"/>
            <w:tcBorders>
              <w:top w:val="single" w:sz="4" w:space="0" w:color="7E7E7E"/>
              <w:bottom w:val="single" w:sz="4" w:space="0" w:color="7E7E7E"/>
            </w:tcBorders>
          </w:tcPr>
          <w:p>
            <w:pPr>
              <w:pStyle w:val="TableParagraph"/>
              <w:spacing w:before="34"/>
              <w:ind w:left="0" w:right="14"/>
              <w:jc w:val="center"/>
              <w:rPr>
                <w:rFonts w:ascii="Wingdings" w:hAnsi="Wingdings"/>
                <w:sz w:val="20"/>
              </w:rPr>
            </w:pPr>
            <w:r>
              <w:rPr>
                <w:rFonts w:ascii="Wingdings" w:hAnsi="Wingdings"/>
                <w:w w:val="99"/>
                <w:sz w:val="20"/>
              </w:rPr>
              <w:t></w:t>
            </w:r>
          </w:p>
        </w:tc>
        <w:tc>
          <w:tcPr>
            <w:tcW w:w="749" w:type="dxa"/>
            <w:tcBorders>
              <w:top w:val="single" w:sz="4" w:space="0" w:color="7E7E7E"/>
              <w:bottom w:val="single" w:sz="4" w:space="0" w:color="7E7E7E"/>
            </w:tcBorders>
          </w:tcPr>
          <w:p>
            <w:pPr>
              <w:pStyle w:val="TableParagraph"/>
              <w:spacing w:before="34"/>
              <w:ind w:left="0" w:right="8"/>
              <w:jc w:val="center"/>
              <w:rPr>
                <w:rFonts w:ascii="Wingdings" w:hAnsi="Wingdings"/>
                <w:sz w:val="20"/>
              </w:rPr>
            </w:pPr>
            <w:r>
              <w:rPr>
                <w:rFonts w:ascii="Wingdings" w:hAnsi="Wingdings"/>
                <w:w w:val="99"/>
                <w:sz w:val="20"/>
              </w:rPr>
              <w:t></w:t>
            </w:r>
          </w:p>
        </w:tc>
        <w:tc>
          <w:tcPr>
            <w:tcW w:w="982" w:type="dxa"/>
            <w:tcBorders>
              <w:top w:val="single" w:sz="4" w:space="0" w:color="7E7E7E"/>
              <w:bottom w:val="single" w:sz="4" w:space="0" w:color="7E7E7E"/>
            </w:tcBorders>
          </w:tcPr>
          <w:p>
            <w:pPr>
              <w:pStyle w:val="TableParagraph"/>
              <w:spacing w:before="34"/>
              <w:ind w:left="20"/>
              <w:jc w:val="center"/>
              <w:rPr>
                <w:rFonts w:ascii="Wingdings" w:hAnsi="Wingdings"/>
                <w:sz w:val="20"/>
              </w:rPr>
            </w:pPr>
            <w:r>
              <w:rPr>
                <w:rFonts w:ascii="Wingdings" w:hAnsi="Wingdings"/>
                <w:w w:val="99"/>
                <w:sz w:val="20"/>
              </w:rPr>
              <w:t></w:t>
            </w:r>
          </w:p>
        </w:tc>
      </w:tr>
      <w:tr>
        <w:trPr>
          <w:trHeight w:val="290" w:hRule="atLeast"/>
        </w:trPr>
        <w:tc>
          <w:tcPr>
            <w:tcW w:w="1428" w:type="dxa"/>
            <w:tcBorders>
              <w:top w:val="single" w:sz="4" w:space="0" w:color="7E7E7E"/>
              <w:bottom w:val="single" w:sz="4" w:space="0" w:color="7E7E7E"/>
            </w:tcBorders>
          </w:tcPr>
          <w:p>
            <w:pPr>
              <w:pStyle w:val="TableParagraph"/>
              <w:spacing w:before="29"/>
              <w:ind w:left="113" w:right="102"/>
              <w:jc w:val="center"/>
              <w:rPr>
                <w:sz w:val="20"/>
              </w:rPr>
            </w:pPr>
            <w:r>
              <w:rPr>
                <w:sz w:val="20"/>
              </w:rPr>
              <w:t>Gu vd. 2012</w:t>
            </w:r>
          </w:p>
        </w:tc>
        <w:tc>
          <w:tcPr>
            <w:tcW w:w="851" w:type="dxa"/>
            <w:tcBorders>
              <w:top w:val="single" w:sz="4" w:space="0" w:color="7E7E7E"/>
              <w:bottom w:val="single" w:sz="4" w:space="0" w:color="7E7E7E"/>
            </w:tcBorders>
          </w:tcPr>
          <w:p>
            <w:pPr>
              <w:pStyle w:val="TableParagraph"/>
              <w:spacing w:before="34"/>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spacing w:before="34"/>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ind w:left="0"/>
              <w:rPr>
                <w:sz w:val="20"/>
              </w:rPr>
            </w:pPr>
          </w:p>
        </w:tc>
        <w:tc>
          <w:tcPr>
            <w:tcW w:w="1006" w:type="dxa"/>
            <w:tcBorders>
              <w:top w:val="single" w:sz="4" w:space="0" w:color="7E7E7E"/>
              <w:bottom w:val="single" w:sz="4" w:space="0" w:color="7E7E7E"/>
            </w:tcBorders>
          </w:tcPr>
          <w:p>
            <w:pPr>
              <w:pStyle w:val="TableParagraph"/>
              <w:ind w:left="0"/>
              <w:rPr>
                <w:sz w:val="20"/>
              </w:rPr>
            </w:pPr>
          </w:p>
        </w:tc>
        <w:tc>
          <w:tcPr>
            <w:tcW w:w="845" w:type="dxa"/>
            <w:tcBorders>
              <w:top w:val="single" w:sz="4" w:space="0" w:color="7E7E7E"/>
              <w:bottom w:val="single" w:sz="4" w:space="0" w:color="7E7E7E"/>
            </w:tcBorders>
          </w:tcPr>
          <w:p>
            <w:pPr>
              <w:pStyle w:val="TableParagraph"/>
              <w:ind w:left="0"/>
              <w:rPr>
                <w:sz w:val="20"/>
              </w:rPr>
            </w:pPr>
          </w:p>
        </w:tc>
        <w:tc>
          <w:tcPr>
            <w:tcW w:w="1017" w:type="dxa"/>
            <w:tcBorders>
              <w:top w:val="single" w:sz="4" w:space="0" w:color="7E7E7E"/>
              <w:bottom w:val="single" w:sz="4" w:space="0" w:color="7E7E7E"/>
            </w:tcBorders>
          </w:tcPr>
          <w:p>
            <w:pPr>
              <w:pStyle w:val="TableParagraph"/>
              <w:ind w:left="0"/>
              <w:rPr>
                <w:sz w:val="20"/>
              </w:rPr>
            </w:pPr>
          </w:p>
        </w:tc>
        <w:tc>
          <w:tcPr>
            <w:tcW w:w="749" w:type="dxa"/>
            <w:tcBorders>
              <w:top w:val="single" w:sz="4" w:space="0" w:color="7E7E7E"/>
              <w:bottom w:val="single" w:sz="4" w:space="0" w:color="7E7E7E"/>
            </w:tcBorders>
          </w:tcPr>
          <w:p>
            <w:pPr>
              <w:pStyle w:val="TableParagraph"/>
              <w:spacing w:before="34"/>
              <w:ind w:left="0" w:right="8"/>
              <w:jc w:val="center"/>
              <w:rPr>
                <w:rFonts w:ascii="Wingdings" w:hAnsi="Wingdings"/>
                <w:sz w:val="20"/>
              </w:rPr>
            </w:pPr>
            <w:r>
              <w:rPr>
                <w:rFonts w:ascii="Wingdings" w:hAnsi="Wingdings"/>
                <w:w w:val="99"/>
                <w:sz w:val="20"/>
              </w:rPr>
              <w:t></w:t>
            </w:r>
          </w:p>
        </w:tc>
        <w:tc>
          <w:tcPr>
            <w:tcW w:w="982" w:type="dxa"/>
            <w:tcBorders>
              <w:top w:val="single" w:sz="4" w:space="0" w:color="7E7E7E"/>
              <w:bottom w:val="single" w:sz="4" w:space="0" w:color="7E7E7E"/>
            </w:tcBorders>
          </w:tcPr>
          <w:p>
            <w:pPr>
              <w:pStyle w:val="TableParagraph"/>
              <w:ind w:left="0"/>
              <w:rPr>
                <w:sz w:val="20"/>
              </w:rPr>
            </w:pPr>
          </w:p>
        </w:tc>
      </w:tr>
      <w:tr>
        <w:trPr>
          <w:trHeight w:val="460" w:hRule="atLeast"/>
        </w:trPr>
        <w:tc>
          <w:tcPr>
            <w:tcW w:w="1428" w:type="dxa"/>
            <w:tcBorders>
              <w:top w:val="single" w:sz="4" w:space="0" w:color="7E7E7E"/>
              <w:bottom w:val="single" w:sz="4" w:space="0" w:color="7E7E7E"/>
            </w:tcBorders>
          </w:tcPr>
          <w:p>
            <w:pPr>
              <w:pStyle w:val="TableParagraph"/>
              <w:ind w:left="112" w:right="102"/>
              <w:jc w:val="center"/>
              <w:rPr>
                <w:sz w:val="20"/>
              </w:rPr>
            </w:pPr>
            <w:r>
              <w:rPr>
                <w:sz w:val="20"/>
              </w:rPr>
              <w:t>Ho-Dac vd.</w:t>
            </w:r>
          </w:p>
          <w:p>
            <w:pPr>
              <w:pStyle w:val="TableParagraph"/>
              <w:spacing w:line="210" w:lineRule="exact"/>
              <w:ind w:left="113" w:right="101"/>
              <w:jc w:val="center"/>
              <w:rPr>
                <w:sz w:val="20"/>
              </w:rPr>
            </w:pPr>
            <w:r>
              <w:rPr>
                <w:sz w:val="20"/>
              </w:rPr>
              <w:t>2013</w:t>
            </w:r>
          </w:p>
        </w:tc>
        <w:tc>
          <w:tcPr>
            <w:tcW w:w="851" w:type="dxa"/>
            <w:tcBorders>
              <w:top w:val="single" w:sz="4" w:space="0" w:color="7E7E7E"/>
              <w:bottom w:val="single" w:sz="4" w:space="0" w:color="7E7E7E"/>
            </w:tcBorders>
          </w:tcPr>
          <w:p>
            <w:pPr>
              <w:pStyle w:val="TableParagraph"/>
              <w:spacing w:before="118"/>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spacing w:before="118"/>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spacing w:before="118"/>
              <w:ind w:left="0" w:right="369"/>
              <w:jc w:val="right"/>
              <w:rPr>
                <w:rFonts w:ascii="Wingdings" w:hAnsi="Wingdings"/>
                <w:sz w:val="20"/>
              </w:rPr>
            </w:pPr>
            <w:r>
              <w:rPr>
                <w:rFonts w:ascii="Wingdings" w:hAnsi="Wingdings"/>
                <w:w w:val="99"/>
                <w:sz w:val="20"/>
              </w:rPr>
              <w:t></w:t>
            </w:r>
          </w:p>
        </w:tc>
        <w:tc>
          <w:tcPr>
            <w:tcW w:w="1006" w:type="dxa"/>
            <w:tcBorders>
              <w:top w:val="single" w:sz="4" w:space="0" w:color="7E7E7E"/>
              <w:bottom w:val="single" w:sz="4" w:space="0" w:color="7E7E7E"/>
            </w:tcBorders>
          </w:tcPr>
          <w:p>
            <w:pPr>
              <w:pStyle w:val="TableParagraph"/>
              <w:spacing w:before="118"/>
              <w:ind w:left="0" w:right="417"/>
              <w:jc w:val="right"/>
              <w:rPr>
                <w:rFonts w:ascii="Wingdings" w:hAnsi="Wingdings"/>
                <w:sz w:val="20"/>
              </w:rPr>
            </w:pPr>
            <w:r>
              <w:rPr>
                <w:rFonts w:ascii="Wingdings" w:hAnsi="Wingdings"/>
                <w:w w:val="99"/>
                <w:sz w:val="20"/>
              </w:rPr>
              <w:t></w:t>
            </w:r>
          </w:p>
        </w:tc>
        <w:tc>
          <w:tcPr>
            <w:tcW w:w="845" w:type="dxa"/>
            <w:tcBorders>
              <w:top w:val="single" w:sz="4" w:space="0" w:color="7E7E7E"/>
              <w:bottom w:val="single" w:sz="4" w:space="0" w:color="7E7E7E"/>
            </w:tcBorders>
          </w:tcPr>
          <w:p>
            <w:pPr>
              <w:pStyle w:val="TableParagraph"/>
              <w:ind w:left="0"/>
              <w:rPr>
                <w:sz w:val="22"/>
              </w:rPr>
            </w:pPr>
          </w:p>
        </w:tc>
        <w:tc>
          <w:tcPr>
            <w:tcW w:w="1017" w:type="dxa"/>
            <w:tcBorders>
              <w:top w:val="single" w:sz="4" w:space="0" w:color="7E7E7E"/>
              <w:bottom w:val="single" w:sz="4" w:space="0" w:color="7E7E7E"/>
            </w:tcBorders>
          </w:tcPr>
          <w:p>
            <w:pPr>
              <w:pStyle w:val="TableParagraph"/>
              <w:ind w:left="0"/>
              <w:rPr>
                <w:sz w:val="22"/>
              </w:rPr>
            </w:pPr>
          </w:p>
        </w:tc>
        <w:tc>
          <w:tcPr>
            <w:tcW w:w="749" w:type="dxa"/>
            <w:tcBorders>
              <w:top w:val="single" w:sz="4" w:space="0" w:color="7E7E7E"/>
              <w:bottom w:val="single" w:sz="4" w:space="0" w:color="7E7E7E"/>
            </w:tcBorders>
          </w:tcPr>
          <w:p>
            <w:pPr>
              <w:pStyle w:val="TableParagraph"/>
              <w:spacing w:before="118"/>
              <w:ind w:left="0" w:right="8"/>
              <w:jc w:val="center"/>
              <w:rPr>
                <w:rFonts w:ascii="Wingdings" w:hAnsi="Wingdings"/>
                <w:sz w:val="20"/>
              </w:rPr>
            </w:pPr>
            <w:r>
              <w:rPr>
                <w:rFonts w:ascii="Wingdings" w:hAnsi="Wingdings"/>
                <w:w w:val="99"/>
                <w:sz w:val="20"/>
              </w:rPr>
              <w:t></w:t>
            </w:r>
          </w:p>
        </w:tc>
        <w:tc>
          <w:tcPr>
            <w:tcW w:w="982" w:type="dxa"/>
            <w:tcBorders>
              <w:top w:val="single" w:sz="4" w:space="0" w:color="7E7E7E"/>
              <w:bottom w:val="single" w:sz="4" w:space="0" w:color="7E7E7E"/>
            </w:tcBorders>
          </w:tcPr>
          <w:p>
            <w:pPr>
              <w:pStyle w:val="TableParagraph"/>
              <w:ind w:left="0"/>
              <w:rPr>
                <w:sz w:val="22"/>
              </w:rPr>
            </w:pPr>
          </w:p>
        </w:tc>
      </w:tr>
      <w:tr>
        <w:trPr>
          <w:trHeight w:val="457" w:hRule="atLeast"/>
        </w:trPr>
        <w:tc>
          <w:tcPr>
            <w:tcW w:w="1428" w:type="dxa"/>
            <w:tcBorders>
              <w:top w:val="single" w:sz="4" w:space="0" w:color="7E7E7E"/>
              <w:bottom w:val="single" w:sz="4" w:space="0" w:color="7E7E7E"/>
            </w:tcBorders>
          </w:tcPr>
          <w:p>
            <w:pPr>
              <w:pStyle w:val="TableParagraph"/>
              <w:spacing w:line="228" w:lineRule="exact" w:before="4"/>
              <w:ind w:left="518" w:right="125" w:hanging="368"/>
              <w:rPr>
                <w:sz w:val="20"/>
              </w:rPr>
            </w:pPr>
            <w:r>
              <w:rPr>
                <w:sz w:val="20"/>
              </w:rPr>
              <w:t>Jabr ve Zheng 2014</w:t>
            </w:r>
          </w:p>
        </w:tc>
        <w:tc>
          <w:tcPr>
            <w:tcW w:w="851" w:type="dxa"/>
            <w:tcBorders>
              <w:top w:val="single" w:sz="4" w:space="0" w:color="7E7E7E"/>
              <w:bottom w:val="single" w:sz="4" w:space="0" w:color="7E7E7E"/>
            </w:tcBorders>
          </w:tcPr>
          <w:p>
            <w:pPr>
              <w:pStyle w:val="TableParagraph"/>
              <w:ind w:left="0"/>
              <w:rPr>
                <w:sz w:val="22"/>
              </w:rPr>
            </w:pPr>
          </w:p>
        </w:tc>
        <w:tc>
          <w:tcPr>
            <w:tcW w:w="1075" w:type="dxa"/>
            <w:tcBorders>
              <w:top w:val="single" w:sz="4" w:space="0" w:color="7E7E7E"/>
              <w:bottom w:val="single" w:sz="4" w:space="0" w:color="7E7E7E"/>
            </w:tcBorders>
          </w:tcPr>
          <w:p>
            <w:pPr>
              <w:pStyle w:val="TableParagraph"/>
              <w:spacing w:before="118"/>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spacing w:before="118"/>
              <w:ind w:left="0" w:right="369"/>
              <w:jc w:val="right"/>
              <w:rPr>
                <w:rFonts w:ascii="Wingdings" w:hAnsi="Wingdings"/>
                <w:sz w:val="20"/>
              </w:rPr>
            </w:pPr>
            <w:r>
              <w:rPr>
                <w:rFonts w:ascii="Wingdings" w:hAnsi="Wingdings"/>
                <w:w w:val="99"/>
                <w:sz w:val="20"/>
              </w:rPr>
              <w:t></w:t>
            </w:r>
          </w:p>
        </w:tc>
        <w:tc>
          <w:tcPr>
            <w:tcW w:w="1006" w:type="dxa"/>
            <w:tcBorders>
              <w:top w:val="single" w:sz="4" w:space="0" w:color="7E7E7E"/>
              <w:bottom w:val="single" w:sz="4" w:space="0" w:color="7E7E7E"/>
            </w:tcBorders>
          </w:tcPr>
          <w:p>
            <w:pPr>
              <w:pStyle w:val="TableParagraph"/>
              <w:spacing w:before="118"/>
              <w:ind w:left="0" w:right="417"/>
              <w:jc w:val="right"/>
              <w:rPr>
                <w:rFonts w:ascii="Wingdings" w:hAnsi="Wingdings"/>
                <w:sz w:val="20"/>
              </w:rPr>
            </w:pPr>
            <w:r>
              <w:rPr>
                <w:rFonts w:ascii="Wingdings" w:hAnsi="Wingdings"/>
                <w:w w:val="99"/>
                <w:sz w:val="20"/>
              </w:rPr>
              <w:t></w:t>
            </w:r>
          </w:p>
        </w:tc>
        <w:tc>
          <w:tcPr>
            <w:tcW w:w="845" w:type="dxa"/>
            <w:tcBorders>
              <w:top w:val="single" w:sz="4" w:space="0" w:color="7E7E7E"/>
              <w:bottom w:val="single" w:sz="4" w:space="0" w:color="7E7E7E"/>
            </w:tcBorders>
          </w:tcPr>
          <w:p>
            <w:pPr>
              <w:pStyle w:val="TableParagraph"/>
              <w:ind w:left="0"/>
              <w:rPr>
                <w:sz w:val="22"/>
              </w:rPr>
            </w:pPr>
          </w:p>
        </w:tc>
        <w:tc>
          <w:tcPr>
            <w:tcW w:w="1017" w:type="dxa"/>
            <w:tcBorders>
              <w:top w:val="single" w:sz="4" w:space="0" w:color="7E7E7E"/>
              <w:bottom w:val="single" w:sz="4" w:space="0" w:color="7E7E7E"/>
            </w:tcBorders>
          </w:tcPr>
          <w:p>
            <w:pPr>
              <w:pStyle w:val="TableParagraph"/>
              <w:ind w:left="0"/>
              <w:rPr>
                <w:sz w:val="22"/>
              </w:rPr>
            </w:pPr>
          </w:p>
        </w:tc>
        <w:tc>
          <w:tcPr>
            <w:tcW w:w="749" w:type="dxa"/>
            <w:tcBorders>
              <w:top w:val="single" w:sz="4" w:space="0" w:color="7E7E7E"/>
              <w:bottom w:val="single" w:sz="4" w:space="0" w:color="7E7E7E"/>
            </w:tcBorders>
          </w:tcPr>
          <w:p>
            <w:pPr>
              <w:pStyle w:val="TableParagraph"/>
              <w:ind w:left="0"/>
              <w:rPr>
                <w:sz w:val="22"/>
              </w:rPr>
            </w:pPr>
          </w:p>
        </w:tc>
        <w:tc>
          <w:tcPr>
            <w:tcW w:w="982" w:type="dxa"/>
            <w:tcBorders>
              <w:top w:val="single" w:sz="4" w:space="0" w:color="7E7E7E"/>
              <w:bottom w:val="single" w:sz="4" w:space="0" w:color="7E7E7E"/>
            </w:tcBorders>
          </w:tcPr>
          <w:p>
            <w:pPr>
              <w:pStyle w:val="TableParagraph"/>
              <w:ind w:left="0"/>
              <w:rPr>
                <w:sz w:val="22"/>
              </w:rPr>
            </w:pPr>
          </w:p>
        </w:tc>
      </w:tr>
      <w:tr>
        <w:trPr>
          <w:trHeight w:val="288" w:hRule="atLeast"/>
        </w:trPr>
        <w:tc>
          <w:tcPr>
            <w:tcW w:w="1428" w:type="dxa"/>
            <w:tcBorders>
              <w:top w:val="single" w:sz="4" w:space="0" w:color="7E7E7E"/>
              <w:bottom w:val="single" w:sz="4" w:space="0" w:color="7E7E7E"/>
            </w:tcBorders>
          </w:tcPr>
          <w:p>
            <w:pPr>
              <w:pStyle w:val="TableParagraph"/>
              <w:spacing w:before="29"/>
              <w:ind w:left="113" w:right="101"/>
              <w:jc w:val="center"/>
              <w:rPr>
                <w:sz w:val="20"/>
              </w:rPr>
            </w:pPr>
            <w:r>
              <w:rPr>
                <w:sz w:val="20"/>
              </w:rPr>
              <w:t>Hu vd. 2014</w:t>
            </w:r>
          </w:p>
        </w:tc>
        <w:tc>
          <w:tcPr>
            <w:tcW w:w="851" w:type="dxa"/>
            <w:tcBorders>
              <w:top w:val="single" w:sz="4" w:space="0" w:color="7E7E7E"/>
              <w:bottom w:val="single" w:sz="4" w:space="0" w:color="7E7E7E"/>
            </w:tcBorders>
          </w:tcPr>
          <w:p>
            <w:pPr>
              <w:pStyle w:val="TableParagraph"/>
              <w:spacing w:before="34"/>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spacing w:before="34"/>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ind w:left="0"/>
              <w:rPr>
                <w:sz w:val="20"/>
              </w:rPr>
            </w:pPr>
          </w:p>
        </w:tc>
        <w:tc>
          <w:tcPr>
            <w:tcW w:w="1006" w:type="dxa"/>
            <w:tcBorders>
              <w:top w:val="single" w:sz="4" w:space="0" w:color="7E7E7E"/>
              <w:bottom w:val="single" w:sz="4" w:space="0" w:color="7E7E7E"/>
            </w:tcBorders>
          </w:tcPr>
          <w:p>
            <w:pPr>
              <w:pStyle w:val="TableParagraph"/>
              <w:ind w:left="0"/>
              <w:rPr>
                <w:sz w:val="20"/>
              </w:rPr>
            </w:pPr>
          </w:p>
        </w:tc>
        <w:tc>
          <w:tcPr>
            <w:tcW w:w="845" w:type="dxa"/>
            <w:tcBorders>
              <w:top w:val="single" w:sz="4" w:space="0" w:color="7E7E7E"/>
              <w:bottom w:val="single" w:sz="4" w:space="0" w:color="7E7E7E"/>
            </w:tcBorders>
          </w:tcPr>
          <w:p>
            <w:pPr>
              <w:pStyle w:val="TableParagraph"/>
              <w:ind w:left="0"/>
              <w:rPr>
                <w:sz w:val="20"/>
              </w:rPr>
            </w:pPr>
          </w:p>
        </w:tc>
        <w:tc>
          <w:tcPr>
            <w:tcW w:w="1017" w:type="dxa"/>
            <w:tcBorders>
              <w:top w:val="single" w:sz="4" w:space="0" w:color="7E7E7E"/>
              <w:bottom w:val="single" w:sz="4" w:space="0" w:color="7E7E7E"/>
            </w:tcBorders>
          </w:tcPr>
          <w:p>
            <w:pPr>
              <w:pStyle w:val="TableParagraph"/>
              <w:ind w:left="0"/>
              <w:rPr>
                <w:sz w:val="20"/>
              </w:rPr>
            </w:pPr>
          </w:p>
        </w:tc>
        <w:tc>
          <w:tcPr>
            <w:tcW w:w="749" w:type="dxa"/>
            <w:tcBorders>
              <w:top w:val="single" w:sz="4" w:space="0" w:color="7E7E7E"/>
              <w:bottom w:val="single" w:sz="4" w:space="0" w:color="7E7E7E"/>
            </w:tcBorders>
          </w:tcPr>
          <w:p>
            <w:pPr>
              <w:pStyle w:val="TableParagraph"/>
              <w:spacing w:before="34"/>
              <w:ind w:left="0" w:right="8"/>
              <w:jc w:val="center"/>
              <w:rPr>
                <w:rFonts w:ascii="Wingdings" w:hAnsi="Wingdings"/>
                <w:sz w:val="20"/>
              </w:rPr>
            </w:pPr>
            <w:r>
              <w:rPr>
                <w:rFonts w:ascii="Wingdings" w:hAnsi="Wingdings"/>
                <w:w w:val="99"/>
                <w:sz w:val="20"/>
              </w:rPr>
              <w:t></w:t>
            </w:r>
          </w:p>
        </w:tc>
        <w:tc>
          <w:tcPr>
            <w:tcW w:w="982" w:type="dxa"/>
            <w:tcBorders>
              <w:top w:val="single" w:sz="4" w:space="0" w:color="7E7E7E"/>
              <w:bottom w:val="single" w:sz="4" w:space="0" w:color="7E7E7E"/>
            </w:tcBorders>
          </w:tcPr>
          <w:p>
            <w:pPr>
              <w:pStyle w:val="TableParagraph"/>
              <w:ind w:left="0"/>
              <w:rPr>
                <w:sz w:val="20"/>
              </w:rPr>
            </w:pPr>
          </w:p>
        </w:tc>
      </w:tr>
      <w:tr>
        <w:trPr>
          <w:trHeight w:val="290" w:hRule="atLeast"/>
        </w:trPr>
        <w:tc>
          <w:tcPr>
            <w:tcW w:w="1428" w:type="dxa"/>
            <w:tcBorders>
              <w:top w:val="single" w:sz="4" w:space="0" w:color="7E7E7E"/>
              <w:bottom w:val="single" w:sz="4" w:space="0" w:color="7E7E7E"/>
            </w:tcBorders>
          </w:tcPr>
          <w:p>
            <w:pPr>
              <w:pStyle w:val="TableParagraph"/>
              <w:spacing w:before="31"/>
              <w:ind w:left="113" w:right="102"/>
              <w:jc w:val="center"/>
              <w:rPr>
                <w:sz w:val="20"/>
              </w:rPr>
            </w:pPr>
            <w:r>
              <w:rPr>
                <w:sz w:val="20"/>
              </w:rPr>
              <w:t>Tang vd. 2014</w:t>
            </w:r>
          </w:p>
        </w:tc>
        <w:tc>
          <w:tcPr>
            <w:tcW w:w="851" w:type="dxa"/>
            <w:tcBorders>
              <w:top w:val="single" w:sz="4" w:space="0" w:color="7E7E7E"/>
              <w:bottom w:val="single" w:sz="4" w:space="0" w:color="7E7E7E"/>
            </w:tcBorders>
          </w:tcPr>
          <w:p>
            <w:pPr>
              <w:pStyle w:val="TableParagraph"/>
              <w:ind w:left="0"/>
              <w:rPr>
                <w:sz w:val="20"/>
              </w:rPr>
            </w:pPr>
          </w:p>
        </w:tc>
        <w:tc>
          <w:tcPr>
            <w:tcW w:w="1075" w:type="dxa"/>
            <w:tcBorders>
              <w:top w:val="single" w:sz="4" w:space="0" w:color="7E7E7E"/>
              <w:bottom w:val="single" w:sz="4" w:space="0" w:color="7E7E7E"/>
            </w:tcBorders>
          </w:tcPr>
          <w:p>
            <w:pPr>
              <w:pStyle w:val="TableParagraph"/>
              <w:ind w:left="0"/>
              <w:rPr>
                <w:sz w:val="20"/>
              </w:rPr>
            </w:pPr>
          </w:p>
        </w:tc>
        <w:tc>
          <w:tcPr>
            <w:tcW w:w="902" w:type="dxa"/>
            <w:tcBorders>
              <w:top w:val="single" w:sz="4" w:space="0" w:color="7E7E7E"/>
              <w:bottom w:val="single" w:sz="4" w:space="0" w:color="7E7E7E"/>
            </w:tcBorders>
          </w:tcPr>
          <w:p>
            <w:pPr>
              <w:pStyle w:val="TableParagraph"/>
              <w:spacing w:before="36"/>
              <w:ind w:left="0" w:right="369"/>
              <w:jc w:val="right"/>
              <w:rPr>
                <w:rFonts w:ascii="Wingdings" w:hAnsi="Wingdings"/>
                <w:sz w:val="20"/>
              </w:rPr>
            </w:pPr>
            <w:r>
              <w:rPr>
                <w:rFonts w:ascii="Wingdings" w:hAnsi="Wingdings"/>
                <w:w w:val="99"/>
                <w:sz w:val="20"/>
              </w:rPr>
              <w:t></w:t>
            </w:r>
          </w:p>
        </w:tc>
        <w:tc>
          <w:tcPr>
            <w:tcW w:w="1006" w:type="dxa"/>
            <w:tcBorders>
              <w:top w:val="single" w:sz="4" w:space="0" w:color="7E7E7E"/>
              <w:bottom w:val="single" w:sz="4" w:space="0" w:color="7E7E7E"/>
            </w:tcBorders>
          </w:tcPr>
          <w:p>
            <w:pPr>
              <w:pStyle w:val="TableParagraph"/>
              <w:spacing w:before="36"/>
              <w:ind w:left="0" w:right="417"/>
              <w:jc w:val="right"/>
              <w:rPr>
                <w:rFonts w:ascii="Wingdings" w:hAnsi="Wingdings"/>
                <w:sz w:val="20"/>
              </w:rPr>
            </w:pPr>
            <w:r>
              <w:rPr>
                <w:rFonts w:ascii="Wingdings" w:hAnsi="Wingdings"/>
                <w:w w:val="99"/>
                <w:sz w:val="20"/>
              </w:rPr>
              <w:t></w:t>
            </w:r>
          </w:p>
        </w:tc>
        <w:tc>
          <w:tcPr>
            <w:tcW w:w="845" w:type="dxa"/>
            <w:tcBorders>
              <w:top w:val="single" w:sz="4" w:space="0" w:color="7E7E7E"/>
              <w:bottom w:val="single" w:sz="4" w:space="0" w:color="7E7E7E"/>
            </w:tcBorders>
          </w:tcPr>
          <w:p>
            <w:pPr>
              <w:pStyle w:val="TableParagraph"/>
              <w:spacing w:before="36"/>
              <w:ind w:left="347"/>
              <w:rPr>
                <w:rFonts w:ascii="Wingdings" w:hAnsi="Wingdings"/>
                <w:sz w:val="20"/>
              </w:rPr>
            </w:pPr>
            <w:r>
              <w:rPr>
                <w:rFonts w:ascii="Wingdings" w:hAnsi="Wingdings"/>
                <w:w w:val="99"/>
                <w:sz w:val="20"/>
              </w:rPr>
              <w:t></w:t>
            </w:r>
          </w:p>
        </w:tc>
        <w:tc>
          <w:tcPr>
            <w:tcW w:w="1017" w:type="dxa"/>
            <w:tcBorders>
              <w:top w:val="single" w:sz="4" w:space="0" w:color="7E7E7E"/>
              <w:bottom w:val="single" w:sz="4" w:space="0" w:color="7E7E7E"/>
            </w:tcBorders>
          </w:tcPr>
          <w:p>
            <w:pPr>
              <w:pStyle w:val="TableParagraph"/>
              <w:ind w:left="0"/>
              <w:rPr>
                <w:sz w:val="20"/>
              </w:rPr>
            </w:pPr>
          </w:p>
        </w:tc>
        <w:tc>
          <w:tcPr>
            <w:tcW w:w="749" w:type="dxa"/>
            <w:tcBorders>
              <w:top w:val="single" w:sz="4" w:space="0" w:color="7E7E7E"/>
              <w:bottom w:val="single" w:sz="4" w:space="0" w:color="7E7E7E"/>
            </w:tcBorders>
          </w:tcPr>
          <w:p>
            <w:pPr>
              <w:pStyle w:val="TableParagraph"/>
              <w:ind w:left="0"/>
              <w:rPr>
                <w:sz w:val="20"/>
              </w:rPr>
            </w:pPr>
          </w:p>
        </w:tc>
        <w:tc>
          <w:tcPr>
            <w:tcW w:w="982" w:type="dxa"/>
            <w:tcBorders>
              <w:top w:val="single" w:sz="4" w:space="0" w:color="7E7E7E"/>
              <w:bottom w:val="single" w:sz="4" w:space="0" w:color="7E7E7E"/>
            </w:tcBorders>
          </w:tcPr>
          <w:p>
            <w:pPr>
              <w:pStyle w:val="TableParagraph"/>
              <w:ind w:left="0"/>
              <w:rPr>
                <w:sz w:val="20"/>
              </w:rPr>
            </w:pPr>
          </w:p>
        </w:tc>
      </w:tr>
      <w:tr>
        <w:trPr>
          <w:trHeight w:val="460" w:hRule="atLeast"/>
        </w:trPr>
        <w:tc>
          <w:tcPr>
            <w:tcW w:w="1428" w:type="dxa"/>
            <w:tcBorders>
              <w:top w:val="single" w:sz="4" w:space="0" w:color="7E7E7E"/>
              <w:bottom w:val="single" w:sz="4" w:space="0" w:color="7E7E7E"/>
            </w:tcBorders>
          </w:tcPr>
          <w:p>
            <w:pPr>
              <w:pStyle w:val="TableParagraph"/>
              <w:spacing w:line="230" w:lineRule="atLeast"/>
              <w:ind w:left="518" w:right="117" w:hanging="372"/>
              <w:rPr>
                <w:sz w:val="20"/>
              </w:rPr>
            </w:pPr>
            <w:r>
              <w:rPr>
                <w:sz w:val="20"/>
              </w:rPr>
              <w:t>Zhou ve Duan 2015</w:t>
            </w:r>
          </w:p>
        </w:tc>
        <w:tc>
          <w:tcPr>
            <w:tcW w:w="851" w:type="dxa"/>
            <w:tcBorders>
              <w:top w:val="single" w:sz="4" w:space="0" w:color="7E7E7E"/>
              <w:bottom w:val="single" w:sz="4" w:space="0" w:color="7E7E7E"/>
            </w:tcBorders>
          </w:tcPr>
          <w:p>
            <w:pPr>
              <w:pStyle w:val="TableParagraph"/>
              <w:spacing w:before="120"/>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spacing w:before="120"/>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ind w:left="0"/>
              <w:rPr>
                <w:sz w:val="22"/>
              </w:rPr>
            </w:pPr>
          </w:p>
        </w:tc>
        <w:tc>
          <w:tcPr>
            <w:tcW w:w="1006" w:type="dxa"/>
            <w:tcBorders>
              <w:top w:val="single" w:sz="4" w:space="0" w:color="7E7E7E"/>
              <w:bottom w:val="single" w:sz="4" w:space="0" w:color="7E7E7E"/>
            </w:tcBorders>
          </w:tcPr>
          <w:p>
            <w:pPr>
              <w:pStyle w:val="TableParagraph"/>
              <w:ind w:left="0"/>
              <w:rPr>
                <w:sz w:val="22"/>
              </w:rPr>
            </w:pPr>
          </w:p>
        </w:tc>
        <w:tc>
          <w:tcPr>
            <w:tcW w:w="845" w:type="dxa"/>
            <w:tcBorders>
              <w:top w:val="single" w:sz="4" w:space="0" w:color="7E7E7E"/>
              <w:bottom w:val="single" w:sz="4" w:space="0" w:color="7E7E7E"/>
            </w:tcBorders>
          </w:tcPr>
          <w:p>
            <w:pPr>
              <w:pStyle w:val="TableParagraph"/>
              <w:ind w:left="0"/>
              <w:rPr>
                <w:sz w:val="22"/>
              </w:rPr>
            </w:pPr>
          </w:p>
        </w:tc>
        <w:tc>
          <w:tcPr>
            <w:tcW w:w="1017" w:type="dxa"/>
            <w:tcBorders>
              <w:top w:val="single" w:sz="4" w:space="0" w:color="7E7E7E"/>
              <w:bottom w:val="single" w:sz="4" w:space="0" w:color="7E7E7E"/>
            </w:tcBorders>
          </w:tcPr>
          <w:p>
            <w:pPr>
              <w:pStyle w:val="TableParagraph"/>
              <w:ind w:left="0"/>
              <w:rPr>
                <w:sz w:val="22"/>
              </w:rPr>
            </w:pPr>
          </w:p>
        </w:tc>
        <w:tc>
          <w:tcPr>
            <w:tcW w:w="749" w:type="dxa"/>
            <w:tcBorders>
              <w:top w:val="single" w:sz="4" w:space="0" w:color="7E7E7E"/>
              <w:bottom w:val="single" w:sz="4" w:space="0" w:color="7E7E7E"/>
            </w:tcBorders>
          </w:tcPr>
          <w:p>
            <w:pPr>
              <w:pStyle w:val="TableParagraph"/>
              <w:spacing w:before="120"/>
              <w:ind w:left="0" w:right="8"/>
              <w:jc w:val="center"/>
              <w:rPr>
                <w:rFonts w:ascii="Wingdings" w:hAnsi="Wingdings"/>
                <w:sz w:val="20"/>
              </w:rPr>
            </w:pPr>
            <w:r>
              <w:rPr>
                <w:rFonts w:ascii="Wingdings" w:hAnsi="Wingdings"/>
                <w:w w:val="99"/>
                <w:sz w:val="20"/>
              </w:rPr>
              <w:t></w:t>
            </w:r>
          </w:p>
        </w:tc>
        <w:tc>
          <w:tcPr>
            <w:tcW w:w="982" w:type="dxa"/>
            <w:tcBorders>
              <w:top w:val="single" w:sz="4" w:space="0" w:color="7E7E7E"/>
              <w:bottom w:val="single" w:sz="4" w:space="0" w:color="7E7E7E"/>
            </w:tcBorders>
          </w:tcPr>
          <w:p>
            <w:pPr>
              <w:pStyle w:val="TableParagraph"/>
              <w:spacing w:before="120"/>
              <w:ind w:left="20"/>
              <w:jc w:val="center"/>
              <w:rPr>
                <w:rFonts w:ascii="Wingdings" w:hAnsi="Wingdings"/>
                <w:sz w:val="20"/>
              </w:rPr>
            </w:pPr>
            <w:r>
              <w:rPr>
                <w:rFonts w:ascii="Wingdings" w:hAnsi="Wingdings"/>
                <w:w w:val="99"/>
                <w:sz w:val="20"/>
              </w:rPr>
              <w:t></w:t>
            </w:r>
          </w:p>
        </w:tc>
      </w:tr>
      <w:tr>
        <w:trPr>
          <w:trHeight w:val="290" w:hRule="atLeast"/>
        </w:trPr>
        <w:tc>
          <w:tcPr>
            <w:tcW w:w="1428" w:type="dxa"/>
            <w:tcBorders>
              <w:top w:val="single" w:sz="4" w:space="0" w:color="7E7E7E"/>
              <w:bottom w:val="single" w:sz="4" w:space="0" w:color="7E7E7E"/>
            </w:tcBorders>
          </w:tcPr>
          <w:p>
            <w:pPr>
              <w:pStyle w:val="TableParagraph"/>
              <w:spacing w:before="31"/>
              <w:ind w:left="111" w:right="102"/>
              <w:jc w:val="center"/>
              <w:rPr>
                <w:sz w:val="20"/>
              </w:rPr>
            </w:pPr>
            <w:r>
              <w:rPr>
                <w:sz w:val="20"/>
              </w:rPr>
              <w:t>Li vd. 2016</w:t>
            </w:r>
          </w:p>
        </w:tc>
        <w:tc>
          <w:tcPr>
            <w:tcW w:w="851" w:type="dxa"/>
            <w:tcBorders>
              <w:top w:val="single" w:sz="4" w:space="0" w:color="7E7E7E"/>
              <w:bottom w:val="single" w:sz="4" w:space="0" w:color="7E7E7E"/>
            </w:tcBorders>
          </w:tcPr>
          <w:p>
            <w:pPr>
              <w:pStyle w:val="TableParagraph"/>
              <w:spacing w:before="36"/>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spacing w:before="36"/>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ind w:left="0"/>
              <w:rPr>
                <w:sz w:val="20"/>
              </w:rPr>
            </w:pPr>
          </w:p>
        </w:tc>
        <w:tc>
          <w:tcPr>
            <w:tcW w:w="1006" w:type="dxa"/>
            <w:tcBorders>
              <w:top w:val="single" w:sz="4" w:space="0" w:color="7E7E7E"/>
              <w:bottom w:val="single" w:sz="4" w:space="0" w:color="7E7E7E"/>
            </w:tcBorders>
          </w:tcPr>
          <w:p>
            <w:pPr>
              <w:pStyle w:val="TableParagraph"/>
              <w:ind w:left="0"/>
              <w:rPr>
                <w:sz w:val="20"/>
              </w:rPr>
            </w:pPr>
          </w:p>
        </w:tc>
        <w:tc>
          <w:tcPr>
            <w:tcW w:w="845" w:type="dxa"/>
            <w:tcBorders>
              <w:top w:val="single" w:sz="4" w:space="0" w:color="7E7E7E"/>
              <w:bottom w:val="single" w:sz="4" w:space="0" w:color="7E7E7E"/>
            </w:tcBorders>
          </w:tcPr>
          <w:p>
            <w:pPr>
              <w:pStyle w:val="TableParagraph"/>
              <w:ind w:left="0"/>
              <w:rPr>
                <w:sz w:val="20"/>
              </w:rPr>
            </w:pPr>
          </w:p>
        </w:tc>
        <w:tc>
          <w:tcPr>
            <w:tcW w:w="1017" w:type="dxa"/>
            <w:tcBorders>
              <w:top w:val="single" w:sz="4" w:space="0" w:color="7E7E7E"/>
              <w:bottom w:val="single" w:sz="4" w:space="0" w:color="7E7E7E"/>
            </w:tcBorders>
          </w:tcPr>
          <w:p>
            <w:pPr>
              <w:pStyle w:val="TableParagraph"/>
              <w:spacing w:before="36"/>
              <w:ind w:left="0" w:right="14"/>
              <w:jc w:val="center"/>
              <w:rPr>
                <w:rFonts w:ascii="Wingdings" w:hAnsi="Wingdings"/>
                <w:sz w:val="20"/>
              </w:rPr>
            </w:pPr>
            <w:r>
              <w:rPr>
                <w:rFonts w:ascii="Wingdings" w:hAnsi="Wingdings"/>
                <w:w w:val="99"/>
                <w:sz w:val="20"/>
              </w:rPr>
              <w:t></w:t>
            </w:r>
          </w:p>
        </w:tc>
        <w:tc>
          <w:tcPr>
            <w:tcW w:w="749" w:type="dxa"/>
            <w:tcBorders>
              <w:top w:val="single" w:sz="4" w:space="0" w:color="7E7E7E"/>
              <w:bottom w:val="single" w:sz="4" w:space="0" w:color="7E7E7E"/>
            </w:tcBorders>
          </w:tcPr>
          <w:p>
            <w:pPr>
              <w:pStyle w:val="TableParagraph"/>
              <w:ind w:left="0"/>
              <w:rPr>
                <w:sz w:val="20"/>
              </w:rPr>
            </w:pPr>
          </w:p>
        </w:tc>
        <w:tc>
          <w:tcPr>
            <w:tcW w:w="982" w:type="dxa"/>
            <w:tcBorders>
              <w:top w:val="single" w:sz="4" w:space="0" w:color="7E7E7E"/>
              <w:bottom w:val="single" w:sz="4" w:space="0" w:color="7E7E7E"/>
            </w:tcBorders>
          </w:tcPr>
          <w:p>
            <w:pPr>
              <w:pStyle w:val="TableParagraph"/>
              <w:spacing w:before="36"/>
              <w:ind w:left="20"/>
              <w:jc w:val="center"/>
              <w:rPr>
                <w:rFonts w:ascii="Wingdings" w:hAnsi="Wingdings"/>
                <w:sz w:val="20"/>
              </w:rPr>
            </w:pPr>
            <w:r>
              <w:rPr>
                <w:rFonts w:ascii="Wingdings" w:hAnsi="Wingdings"/>
                <w:w w:val="99"/>
                <w:sz w:val="20"/>
              </w:rPr>
              <w:t></w:t>
            </w:r>
          </w:p>
        </w:tc>
      </w:tr>
      <w:tr>
        <w:trPr>
          <w:trHeight w:val="460" w:hRule="atLeast"/>
        </w:trPr>
        <w:tc>
          <w:tcPr>
            <w:tcW w:w="1428" w:type="dxa"/>
            <w:tcBorders>
              <w:top w:val="single" w:sz="4" w:space="0" w:color="7E7E7E"/>
              <w:bottom w:val="single" w:sz="4" w:space="0" w:color="7E7E7E"/>
            </w:tcBorders>
          </w:tcPr>
          <w:p>
            <w:pPr>
              <w:pStyle w:val="TableParagraph"/>
              <w:ind w:left="112" w:right="102"/>
              <w:jc w:val="center"/>
              <w:rPr>
                <w:sz w:val="20"/>
              </w:rPr>
            </w:pPr>
            <w:r>
              <w:rPr>
                <w:sz w:val="20"/>
              </w:rPr>
              <w:t>Chong vd.</w:t>
            </w:r>
          </w:p>
          <w:p>
            <w:pPr>
              <w:pStyle w:val="TableParagraph"/>
              <w:spacing w:line="210" w:lineRule="exact"/>
              <w:ind w:left="113" w:right="101"/>
              <w:jc w:val="center"/>
              <w:rPr>
                <w:sz w:val="20"/>
              </w:rPr>
            </w:pPr>
            <w:r>
              <w:rPr>
                <w:sz w:val="20"/>
              </w:rPr>
              <w:t>2016</w:t>
            </w:r>
          </w:p>
        </w:tc>
        <w:tc>
          <w:tcPr>
            <w:tcW w:w="851" w:type="dxa"/>
            <w:tcBorders>
              <w:top w:val="single" w:sz="4" w:space="0" w:color="7E7E7E"/>
              <w:bottom w:val="single" w:sz="4" w:space="0" w:color="7E7E7E"/>
            </w:tcBorders>
          </w:tcPr>
          <w:p>
            <w:pPr>
              <w:pStyle w:val="TableParagraph"/>
              <w:spacing w:before="120"/>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spacing w:before="120"/>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spacing w:before="120"/>
              <w:ind w:left="0" w:right="369"/>
              <w:jc w:val="right"/>
              <w:rPr>
                <w:rFonts w:ascii="Wingdings" w:hAnsi="Wingdings"/>
                <w:sz w:val="20"/>
              </w:rPr>
            </w:pPr>
            <w:r>
              <w:rPr>
                <w:rFonts w:ascii="Wingdings" w:hAnsi="Wingdings"/>
                <w:w w:val="99"/>
                <w:sz w:val="20"/>
              </w:rPr>
              <w:t></w:t>
            </w:r>
          </w:p>
        </w:tc>
        <w:tc>
          <w:tcPr>
            <w:tcW w:w="1006" w:type="dxa"/>
            <w:tcBorders>
              <w:top w:val="single" w:sz="4" w:space="0" w:color="7E7E7E"/>
              <w:bottom w:val="single" w:sz="4" w:space="0" w:color="7E7E7E"/>
            </w:tcBorders>
          </w:tcPr>
          <w:p>
            <w:pPr>
              <w:pStyle w:val="TableParagraph"/>
              <w:spacing w:before="120"/>
              <w:ind w:left="0" w:right="417"/>
              <w:jc w:val="right"/>
              <w:rPr>
                <w:rFonts w:ascii="Wingdings" w:hAnsi="Wingdings"/>
                <w:sz w:val="20"/>
              </w:rPr>
            </w:pPr>
            <w:r>
              <w:rPr>
                <w:rFonts w:ascii="Wingdings" w:hAnsi="Wingdings"/>
                <w:w w:val="99"/>
                <w:sz w:val="20"/>
              </w:rPr>
              <w:t></w:t>
            </w:r>
          </w:p>
        </w:tc>
        <w:tc>
          <w:tcPr>
            <w:tcW w:w="845" w:type="dxa"/>
            <w:tcBorders>
              <w:top w:val="single" w:sz="4" w:space="0" w:color="7E7E7E"/>
              <w:bottom w:val="single" w:sz="4" w:space="0" w:color="7E7E7E"/>
            </w:tcBorders>
          </w:tcPr>
          <w:p>
            <w:pPr>
              <w:pStyle w:val="TableParagraph"/>
              <w:ind w:left="0"/>
              <w:rPr>
                <w:sz w:val="22"/>
              </w:rPr>
            </w:pPr>
          </w:p>
        </w:tc>
        <w:tc>
          <w:tcPr>
            <w:tcW w:w="1017" w:type="dxa"/>
            <w:tcBorders>
              <w:top w:val="single" w:sz="4" w:space="0" w:color="7E7E7E"/>
              <w:bottom w:val="single" w:sz="4" w:space="0" w:color="7E7E7E"/>
            </w:tcBorders>
          </w:tcPr>
          <w:p>
            <w:pPr>
              <w:pStyle w:val="TableParagraph"/>
              <w:ind w:left="0"/>
              <w:rPr>
                <w:sz w:val="22"/>
              </w:rPr>
            </w:pPr>
          </w:p>
        </w:tc>
        <w:tc>
          <w:tcPr>
            <w:tcW w:w="749" w:type="dxa"/>
            <w:tcBorders>
              <w:top w:val="single" w:sz="4" w:space="0" w:color="7E7E7E"/>
              <w:bottom w:val="single" w:sz="4" w:space="0" w:color="7E7E7E"/>
            </w:tcBorders>
          </w:tcPr>
          <w:p>
            <w:pPr>
              <w:pStyle w:val="TableParagraph"/>
              <w:spacing w:before="120"/>
              <w:ind w:left="0" w:right="8"/>
              <w:jc w:val="center"/>
              <w:rPr>
                <w:rFonts w:ascii="Wingdings" w:hAnsi="Wingdings"/>
                <w:sz w:val="20"/>
              </w:rPr>
            </w:pPr>
            <w:r>
              <w:rPr>
                <w:rFonts w:ascii="Wingdings" w:hAnsi="Wingdings"/>
                <w:w w:val="99"/>
                <w:sz w:val="20"/>
              </w:rPr>
              <w:t></w:t>
            </w:r>
          </w:p>
        </w:tc>
        <w:tc>
          <w:tcPr>
            <w:tcW w:w="982" w:type="dxa"/>
            <w:tcBorders>
              <w:top w:val="single" w:sz="4" w:space="0" w:color="7E7E7E"/>
              <w:bottom w:val="single" w:sz="4" w:space="0" w:color="7E7E7E"/>
            </w:tcBorders>
          </w:tcPr>
          <w:p>
            <w:pPr>
              <w:pStyle w:val="TableParagraph"/>
              <w:spacing w:before="120"/>
              <w:ind w:left="20"/>
              <w:jc w:val="center"/>
              <w:rPr>
                <w:rFonts w:ascii="Wingdings" w:hAnsi="Wingdings"/>
                <w:sz w:val="20"/>
              </w:rPr>
            </w:pPr>
            <w:r>
              <w:rPr>
                <w:rFonts w:ascii="Wingdings" w:hAnsi="Wingdings"/>
                <w:w w:val="99"/>
                <w:sz w:val="20"/>
              </w:rPr>
              <w:t></w:t>
            </w:r>
          </w:p>
        </w:tc>
      </w:tr>
      <w:tr>
        <w:trPr>
          <w:trHeight w:val="460" w:hRule="atLeast"/>
        </w:trPr>
        <w:tc>
          <w:tcPr>
            <w:tcW w:w="1428" w:type="dxa"/>
            <w:tcBorders>
              <w:top w:val="single" w:sz="4" w:space="0" w:color="7E7E7E"/>
              <w:bottom w:val="single" w:sz="4" w:space="0" w:color="7E7E7E"/>
            </w:tcBorders>
          </w:tcPr>
          <w:p>
            <w:pPr>
              <w:pStyle w:val="TableParagraph"/>
              <w:spacing w:line="230" w:lineRule="atLeast"/>
              <w:ind w:left="518" w:right="266" w:hanging="221"/>
              <w:rPr>
                <w:sz w:val="20"/>
              </w:rPr>
            </w:pPr>
            <w:r>
              <w:rPr>
                <w:sz w:val="20"/>
              </w:rPr>
              <w:t>Meiseberg</w:t>
            </w:r>
            <w:r>
              <w:rPr>
                <w:w w:val="99"/>
                <w:sz w:val="20"/>
              </w:rPr>
              <w:t> </w:t>
            </w:r>
            <w:r>
              <w:rPr>
                <w:sz w:val="20"/>
              </w:rPr>
              <w:t>2016</w:t>
            </w:r>
          </w:p>
        </w:tc>
        <w:tc>
          <w:tcPr>
            <w:tcW w:w="851" w:type="dxa"/>
            <w:tcBorders>
              <w:top w:val="single" w:sz="4" w:space="0" w:color="7E7E7E"/>
              <w:bottom w:val="single" w:sz="4" w:space="0" w:color="7E7E7E"/>
            </w:tcBorders>
          </w:tcPr>
          <w:p>
            <w:pPr>
              <w:pStyle w:val="TableParagraph"/>
              <w:spacing w:before="120"/>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ind w:left="0"/>
              <w:rPr>
                <w:sz w:val="22"/>
              </w:rPr>
            </w:pPr>
          </w:p>
        </w:tc>
        <w:tc>
          <w:tcPr>
            <w:tcW w:w="902" w:type="dxa"/>
            <w:tcBorders>
              <w:top w:val="single" w:sz="4" w:space="0" w:color="7E7E7E"/>
              <w:bottom w:val="single" w:sz="4" w:space="0" w:color="7E7E7E"/>
            </w:tcBorders>
          </w:tcPr>
          <w:p>
            <w:pPr>
              <w:pStyle w:val="TableParagraph"/>
              <w:spacing w:before="120"/>
              <w:ind w:left="0" w:right="369"/>
              <w:jc w:val="right"/>
              <w:rPr>
                <w:rFonts w:ascii="Wingdings" w:hAnsi="Wingdings"/>
                <w:sz w:val="20"/>
              </w:rPr>
            </w:pPr>
            <w:r>
              <w:rPr>
                <w:rFonts w:ascii="Wingdings" w:hAnsi="Wingdings"/>
                <w:w w:val="99"/>
                <w:sz w:val="20"/>
              </w:rPr>
              <w:t></w:t>
            </w:r>
          </w:p>
        </w:tc>
        <w:tc>
          <w:tcPr>
            <w:tcW w:w="1006" w:type="dxa"/>
            <w:tcBorders>
              <w:top w:val="single" w:sz="4" w:space="0" w:color="7E7E7E"/>
              <w:bottom w:val="single" w:sz="4" w:space="0" w:color="7E7E7E"/>
            </w:tcBorders>
          </w:tcPr>
          <w:p>
            <w:pPr>
              <w:pStyle w:val="TableParagraph"/>
              <w:spacing w:before="120"/>
              <w:ind w:left="0" w:right="417"/>
              <w:jc w:val="right"/>
              <w:rPr>
                <w:rFonts w:ascii="Wingdings" w:hAnsi="Wingdings"/>
                <w:sz w:val="20"/>
              </w:rPr>
            </w:pPr>
            <w:r>
              <w:rPr>
                <w:rFonts w:ascii="Wingdings" w:hAnsi="Wingdings"/>
                <w:w w:val="99"/>
                <w:sz w:val="20"/>
              </w:rPr>
              <w:t></w:t>
            </w:r>
          </w:p>
        </w:tc>
        <w:tc>
          <w:tcPr>
            <w:tcW w:w="845" w:type="dxa"/>
            <w:tcBorders>
              <w:top w:val="single" w:sz="4" w:space="0" w:color="7E7E7E"/>
              <w:bottom w:val="single" w:sz="4" w:space="0" w:color="7E7E7E"/>
            </w:tcBorders>
          </w:tcPr>
          <w:p>
            <w:pPr>
              <w:pStyle w:val="TableParagraph"/>
              <w:ind w:left="0"/>
              <w:rPr>
                <w:sz w:val="22"/>
              </w:rPr>
            </w:pPr>
          </w:p>
        </w:tc>
        <w:tc>
          <w:tcPr>
            <w:tcW w:w="1017" w:type="dxa"/>
            <w:tcBorders>
              <w:top w:val="single" w:sz="4" w:space="0" w:color="7E7E7E"/>
              <w:bottom w:val="single" w:sz="4" w:space="0" w:color="7E7E7E"/>
            </w:tcBorders>
          </w:tcPr>
          <w:p>
            <w:pPr>
              <w:pStyle w:val="TableParagraph"/>
              <w:ind w:left="0"/>
              <w:rPr>
                <w:sz w:val="22"/>
              </w:rPr>
            </w:pPr>
          </w:p>
        </w:tc>
        <w:tc>
          <w:tcPr>
            <w:tcW w:w="749" w:type="dxa"/>
            <w:tcBorders>
              <w:top w:val="single" w:sz="4" w:space="0" w:color="7E7E7E"/>
              <w:bottom w:val="single" w:sz="4" w:space="0" w:color="7E7E7E"/>
            </w:tcBorders>
          </w:tcPr>
          <w:p>
            <w:pPr>
              <w:pStyle w:val="TableParagraph"/>
              <w:ind w:left="0"/>
              <w:rPr>
                <w:sz w:val="22"/>
              </w:rPr>
            </w:pPr>
          </w:p>
        </w:tc>
        <w:tc>
          <w:tcPr>
            <w:tcW w:w="982" w:type="dxa"/>
            <w:tcBorders>
              <w:top w:val="single" w:sz="4" w:space="0" w:color="7E7E7E"/>
              <w:bottom w:val="single" w:sz="4" w:space="0" w:color="7E7E7E"/>
            </w:tcBorders>
          </w:tcPr>
          <w:p>
            <w:pPr>
              <w:pStyle w:val="TableParagraph"/>
              <w:ind w:left="0"/>
              <w:rPr>
                <w:sz w:val="22"/>
              </w:rPr>
            </w:pPr>
          </w:p>
        </w:tc>
      </w:tr>
      <w:tr>
        <w:trPr>
          <w:trHeight w:val="290" w:hRule="atLeast"/>
        </w:trPr>
        <w:tc>
          <w:tcPr>
            <w:tcW w:w="1428" w:type="dxa"/>
            <w:tcBorders>
              <w:top w:val="single" w:sz="4" w:space="0" w:color="7E7E7E"/>
              <w:bottom w:val="single" w:sz="4" w:space="0" w:color="7E7E7E"/>
            </w:tcBorders>
          </w:tcPr>
          <w:p>
            <w:pPr>
              <w:pStyle w:val="TableParagraph"/>
              <w:spacing w:before="29"/>
              <w:ind w:left="113" w:right="102"/>
              <w:jc w:val="center"/>
              <w:rPr>
                <w:sz w:val="20"/>
              </w:rPr>
            </w:pPr>
            <w:r>
              <w:rPr>
                <w:sz w:val="20"/>
              </w:rPr>
              <w:t>Hou vd. 2017</w:t>
            </w:r>
          </w:p>
        </w:tc>
        <w:tc>
          <w:tcPr>
            <w:tcW w:w="851" w:type="dxa"/>
            <w:tcBorders>
              <w:top w:val="single" w:sz="4" w:space="0" w:color="7E7E7E"/>
              <w:bottom w:val="single" w:sz="4" w:space="0" w:color="7E7E7E"/>
            </w:tcBorders>
          </w:tcPr>
          <w:p>
            <w:pPr>
              <w:pStyle w:val="TableParagraph"/>
              <w:spacing w:before="34"/>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spacing w:before="34"/>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ind w:left="0"/>
              <w:rPr>
                <w:sz w:val="20"/>
              </w:rPr>
            </w:pPr>
          </w:p>
        </w:tc>
        <w:tc>
          <w:tcPr>
            <w:tcW w:w="1006" w:type="dxa"/>
            <w:tcBorders>
              <w:top w:val="single" w:sz="4" w:space="0" w:color="7E7E7E"/>
              <w:bottom w:val="single" w:sz="4" w:space="0" w:color="7E7E7E"/>
            </w:tcBorders>
          </w:tcPr>
          <w:p>
            <w:pPr>
              <w:pStyle w:val="TableParagraph"/>
              <w:ind w:left="0"/>
              <w:rPr>
                <w:sz w:val="20"/>
              </w:rPr>
            </w:pPr>
          </w:p>
        </w:tc>
        <w:tc>
          <w:tcPr>
            <w:tcW w:w="845" w:type="dxa"/>
            <w:tcBorders>
              <w:top w:val="single" w:sz="4" w:space="0" w:color="7E7E7E"/>
              <w:bottom w:val="single" w:sz="4" w:space="0" w:color="7E7E7E"/>
            </w:tcBorders>
          </w:tcPr>
          <w:p>
            <w:pPr>
              <w:pStyle w:val="TableParagraph"/>
              <w:ind w:left="0"/>
              <w:rPr>
                <w:sz w:val="20"/>
              </w:rPr>
            </w:pPr>
          </w:p>
        </w:tc>
        <w:tc>
          <w:tcPr>
            <w:tcW w:w="1017" w:type="dxa"/>
            <w:tcBorders>
              <w:top w:val="single" w:sz="4" w:space="0" w:color="7E7E7E"/>
              <w:bottom w:val="single" w:sz="4" w:space="0" w:color="7E7E7E"/>
            </w:tcBorders>
          </w:tcPr>
          <w:p>
            <w:pPr>
              <w:pStyle w:val="TableParagraph"/>
              <w:ind w:left="0"/>
              <w:rPr>
                <w:sz w:val="20"/>
              </w:rPr>
            </w:pPr>
          </w:p>
        </w:tc>
        <w:tc>
          <w:tcPr>
            <w:tcW w:w="749" w:type="dxa"/>
            <w:tcBorders>
              <w:top w:val="single" w:sz="4" w:space="0" w:color="7E7E7E"/>
              <w:bottom w:val="single" w:sz="4" w:space="0" w:color="7E7E7E"/>
            </w:tcBorders>
          </w:tcPr>
          <w:p>
            <w:pPr>
              <w:pStyle w:val="TableParagraph"/>
              <w:ind w:left="0"/>
              <w:rPr>
                <w:sz w:val="20"/>
              </w:rPr>
            </w:pPr>
          </w:p>
        </w:tc>
        <w:tc>
          <w:tcPr>
            <w:tcW w:w="982" w:type="dxa"/>
            <w:tcBorders>
              <w:top w:val="single" w:sz="4" w:space="0" w:color="7E7E7E"/>
              <w:bottom w:val="single" w:sz="4" w:space="0" w:color="7E7E7E"/>
            </w:tcBorders>
          </w:tcPr>
          <w:p>
            <w:pPr>
              <w:pStyle w:val="TableParagraph"/>
              <w:ind w:left="0"/>
              <w:rPr>
                <w:sz w:val="20"/>
              </w:rPr>
            </w:pPr>
          </w:p>
        </w:tc>
      </w:tr>
      <w:tr>
        <w:trPr>
          <w:trHeight w:val="290" w:hRule="atLeast"/>
        </w:trPr>
        <w:tc>
          <w:tcPr>
            <w:tcW w:w="1428" w:type="dxa"/>
            <w:tcBorders>
              <w:top w:val="single" w:sz="4" w:space="0" w:color="7E7E7E"/>
              <w:bottom w:val="single" w:sz="4" w:space="0" w:color="7E7E7E"/>
            </w:tcBorders>
          </w:tcPr>
          <w:p>
            <w:pPr>
              <w:pStyle w:val="TableParagraph"/>
              <w:spacing w:before="29"/>
              <w:ind w:left="113" w:right="102"/>
              <w:jc w:val="center"/>
              <w:rPr>
                <w:sz w:val="20"/>
              </w:rPr>
            </w:pPr>
            <w:r>
              <w:rPr>
                <w:sz w:val="20"/>
              </w:rPr>
              <w:t>Chen vd. 2017</w:t>
            </w:r>
          </w:p>
        </w:tc>
        <w:tc>
          <w:tcPr>
            <w:tcW w:w="851" w:type="dxa"/>
            <w:tcBorders>
              <w:top w:val="single" w:sz="4" w:space="0" w:color="7E7E7E"/>
              <w:bottom w:val="single" w:sz="4" w:space="0" w:color="7E7E7E"/>
            </w:tcBorders>
          </w:tcPr>
          <w:p>
            <w:pPr>
              <w:pStyle w:val="TableParagraph"/>
              <w:spacing w:before="34"/>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spacing w:before="34"/>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ind w:left="0"/>
              <w:rPr>
                <w:sz w:val="20"/>
              </w:rPr>
            </w:pPr>
          </w:p>
        </w:tc>
        <w:tc>
          <w:tcPr>
            <w:tcW w:w="1006" w:type="dxa"/>
            <w:tcBorders>
              <w:top w:val="single" w:sz="4" w:space="0" w:color="7E7E7E"/>
              <w:bottom w:val="single" w:sz="4" w:space="0" w:color="7E7E7E"/>
            </w:tcBorders>
          </w:tcPr>
          <w:p>
            <w:pPr>
              <w:pStyle w:val="TableParagraph"/>
              <w:ind w:left="0"/>
              <w:rPr>
                <w:sz w:val="20"/>
              </w:rPr>
            </w:pPr>
          </w:p>
        </w:tc>
        <w:tc>
          <w:tcPr>
            <w:tcW w:w="845" w:type="dxa"/>
            <w:tcBorders>
              <w:top w:val="single" w:sz="4" w:space="0" w:color="7E7E7E"/>
              <w:bottom w:val="single" w:sz="4" w:space="0" w:color="7E7E7E"/>
            </w:tcBorders>
          </w:tcPr>
          <w:p>
            <w:pPr>
              <w:pStyle w:val="TableParagraph"/>
              <w:ind w:left="0"/>
              <w:rPr>
                <w:sz w:val="20"/>
              </w:rPr>
            </w:pPr>
          </w:p>
        </w:tc>
        <w:tc>
          <w:tcPr>
            <w:tcW w:w="1017" w:type="dxa"/>
            <w:tcBorders>
              <w:top w:val="single" w:sz="4" w:space="0" w:color="7E7E7E"/>
              <w:bottom w:val="single" w:sz="4" w:space="0" w:color="7E7E7E"/>
            </w:tcBorders>
          </w:tcPr>
          <w:p>
            <w:pPr>
              <w:pStyle w:val="TableParagraph"/>
              <w:spacing w:before="34"/>
              <w:ind w:left="0" w:right="14"/>
              <w:jc w:val="center"/>
              <w:rPr>
                <w:rFonts w:ascii="Wingdings" w:hAnsi="Wingdings"/>
                <w:sz w:val="20"/>
              </w:rPr>
            </w:pPr>
            <w:r>
              <w:rPr>
                <w:rFonts w:ascii="Wingdings" w:hAnsi="Wingdings"/>
                <w:w w:val="99"/>
                <w:sz w:val="20"/>
              </w:rPr>
              <w:t></w:t>
            </w:r>
          </w:p>
        </w:tc>
        <w:tc>
          <w:tcPr>
            <w:tcW w:w="749" w:type="dxa"/>
            <w:tcBorders>
              <w:top w:val="single" w:sz="4" w:space="0" w:color="7E7E7E"/>
              <w:bottom w:val="single" w:sz="4" w:space="0" w:color="7E7E7E"/>
            </w:tcBorders>
          </w:tcPr>
          <w:p>
            <w:pPr>
              <w:pStyle w:val="TableParagraph"/>
              <w:spacing w:before="34"/>
              <w:ind w:left="0" w:right="8"/>
              <w:jc w:val="center"/>
              <w:rPr>
                <w:rFonts w:ascii="Wingdings" w:hAnsi="Wingdings"/>
                <w:sz w:val="20"/>
              </w:rPr>
            </w:pPr>
            <w:r>
              <w:rPr>
                <w:rFonts w:ascii="Wingdings" w:hAnsi="Wingdings"/>
                <w:w w:val="99"/>
                <w:sz w:val="20"/>
              </w:rPr>
              <w:t></w:t>
            </w:r>
          </w:p>
        </w:tc>
        <w:tc>
          <w:tcPr>
            <w:tcW w:w="982" w:type="dxa"/>
            <w:tcBorders>
              <w:top w:val="single" w:sz="4" w:space="0" w:color="7E7E7E"/>
              <w:bottom w:val="single" w:sz="4" w:space="0" w:color="7E7E7E"/>
            </w:tcBorders>
          </w:tcPr>
          <w:p>
            <w:pPr>
              <w:pStyle w:val="TableParagraph"/>
              <w:ind w:left="0"/>
              <w:rPr>
                <w:sz w:val="20"/>
              </w:rPr>
            </w:pPr>
          </w:p>
        </w:tc>
      </w:tr>
      <w:tr>
        <w:trPr>
          <w:trHeight w:val="460" w:hRule="atLeast"/>
        </w:trPr>
        <w:tc>
          <w:tcPr>
            <w:tcW w:w="1428" w:type="dxa"/>
            <w:tcBorders>
              <w:top w:val="single" w:sz="4" w:space="0" w:color="7E7E7E"/>
              <w:bottom w:val="single" w:sz="4" w:space="0" w:color="7E7E7E"/>
            </w:tcBorders>
          </w:tcPr>
          <w:p>
            <w:pPr>
              <w:pStyle w:val="TableParagraph"/>
              <w:spacing w:line="230" w:lineRule="atLeast"/>
              <w:ind w:left="518" w:right="306" w:hanging="183"/>
              <w:rPr>
                <w:sz w:val="20"/>
              </w:rPr>
            </w:pPr>
            <w:r>
              <w:rPr>
                <w:sz w:val="20"/>
              </w:rPr>
              <w:t>Moen vd. 2017</w:t>
            </w:r>
          </w:p>
        </w:tc>
        <w:tc>
          <w:tcPr>
            <w:tcW w:w="851" w:type="dxa"/>
            <w:tcBorders>
              <w:top w:val="single" w:sz="4" w:space="0" w:color="7E7E7E"/>
              <w:bottom w:val="single" w:sz="4" w:space="0" w:color="7E7E7E"/>
            </w:tcBorders>
          </w:tcPr>
          <w:p>
            <w:pPr>
              <w:pStyle w:val="TableParagraph"/>
              <w:spacing w:before="120"/>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spacing w:before="120"/>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spacing w:before="120"/>
              <w:ind w:left="0" w:right="369"/>
              <w:jc w:val="right"/>
              <w:rPr>
                <w:rFonts w:ascii="Wingdings" w:hAnsi="Wingdings"/>
                <w:sz w:val="20"/>
              </w:rPr>
            </w:pPr>
            <w:r>
              <w:rPr>
                <w:rFonts w:ascii="Wingdings" w:hAnsi="Wingdings"/>
                <w:w w:val="99"/>
                <w:sz w:val="20"/>
              </w:rPr>
              <w:t></w:t>
            </w:r>
          </w:p>
        </w:tc>
        <w:tc>
          <w:tcPr>
            <w:tcW w:w="1006" w:type="dxa"/>
            <w:tcBorders>
              <w:top w:val="single" w:sz="4" w:space="0" w:color="7E7E7E"/>
              <w:bottom w:val="single" w:sz="4" w:space="0" w:color="7E7E7E"/>
            </w:tcBorders>
          </w:tcPr>
          <w:p>
            <w:pPr>
              <w:pStyle w:val="TableParagraph"/>
              <w:spacing w:before="120"/>
              <w:ind w:left="0" w:right="417"/>
              <w:jc w:val="right"/>
              <w:rPr>
                <w:rFonts w:ascii="Wingdings" w:hAnsi="Wingdings"/>
                <w:sz w:val="20"/>
              </w:rPr>
            </w:pPr>
            <w:r>
              <w:rPr>
                <w:rFonts w:ascii="Wingdings" w:hAnsi="Wingdings"/>
                <w:w w:val="99"/>
                <w:sz w:val="20"/>
              </w:rPr>
              <w:t></w:t>
            </w:r>
          </w:p>
        </w:tc>
        <w:tc>
          <w:tcPr>
            <w:tcW w:w="845" w:type="dxa"/>
            <w:tcBorders>
              <w:top w:val="single" w:sz="4" w:space="0" w:color="7E7E7E"/>
              <w:bottom w:val="single" w:sz="4" w:space="0" w:color="7E7E7E"/>
            </w:tcBorders>
          </w:tcPr>
          <w:p>
            <w:pPr>
              <w:pStyle w:val="TableParagraph"/>
              <w:ind w:left="0"/>
              <w:rPr>
                <w:sz w:val="22"/>
              </w:rPr>
            </w:pPr>
          </w:p>
        </w:tc>
        <w:tc>
          <w:tcPr>
            <w:tcW w:w="1017" w:type="dxa"/>
            <w:tcBorders>
              <w:top w:val="single" w:sz="4" w:space="0" w:color="7E7E7E"/>
              <w:bottom w:val="single" w:sz="4" w:space="0" w:color="7E7E7E"/>
            </w:tcBorders>
          </w:tcPr>
          <w:p>
            <w:pPr>
              <w:pStyle w:val="TableParagraph"/>
              <w:spacing w:before="120"/>
              <w:ind w:left="0" w:right="14"/>
              <w:jc w:val="center"/>
              <w:rPr>
                <w:rFonts w:ascii="Wingdings" w:hAnsi="Wingdings"/>
                <w:sz w:val="20"/>
              </w:rPr>
            </w:pPr>
            <w:r>
              <w:rPr>
                <w:rFonts w:ascii="Wingdings" w:hAnsi="Wingdings"/>
                <w:w w:val="99"/>
                <w:sz w:val="20"/>
              </w:rPr>
              <w:t></w:t>
            </w:r>
          </w:p>
        </w:tc>
        <w:tc>
          <w:tcPr>
            <w:tcW w:w="749" w:type="dxa"/>
            <w:tcBorders>
              <w:top w:val="single" w:sz="4" w:space="0" w:color="7E7E7E"/>
              <w:bottom w:val="single" w:sz="4" w:space="0" w:color="7E7E7E"/>
            </w:tcBorders>
          </w:tcPr>
          <w:p>
            <w:pPr>
              <w:pStyle w:val="TableParagraph"/>
              <w:spacing w:before="120"/>
              <w:ind w:left="0" w:right="8"/>
              <w:jc w:val="center"/>
              <w:rPr>
                <w:rFonts w:ascii="Wingdings" w:hAnsi="Wingdings"/>
                <w:sz w:val="20"/>
              </w:rPr>
            </w:pPr>
            <w:r>
              <w:rPr>
                <w:rFonts w:ascii="Wingdings" w:hAnsi="Wingdings"/>
                <w:w w:val="99"/>
                <w:sz w:val="20"/>
              </w:rPr>
              <w:t></w:t>
            </w:r>
          </w:p>
        </w:tc>
        <w:tc>
          <w:tcPr>
            <w:tcW w:w="982" w:type="dxa"/>
            <w:tcBorders>
              <w:top w:val="single" w:sz="4" w:space="0" w:color="7E7E7E"/>
              <w:bottom w:val="single" w:sz="4" w:space="0" w:color="7E7E7E"/>
            </w:tcBorders>
          </w:tcPr>
          <w:p>
            <w:pPr>
              <w:pStyle w:val="TableParagraph"/>
              <w:ind w:left="0"/>
              <w:rPr>
                <w:sz w:val="22"/>
              </w:rPr>
            </w:pPr>
          </w:p>
        </w:tc>
      </w:tr>
      <w:tr>
        <w:trPr>
          <w:trHeight w:val="457" w:hRule="atLeast"/>
        </w:trPr>
        <w:tc>
          <w:tcPr>
            <w:tcW w:w="1428" w:type="dxa"/>
            <w:tcBorders>
              <w:top w:val="single" w:sz="4" w:space="0" w:color="7E7E7E"/>
              <w:bottom w:val="single" w:sz="4" w:space="0" w:color="7E7E7E"/>
            </w:tcBorders>
          </w:tcPr>
          <w:p>
            <w:pPr>
              <w:pStyle w:val="TableParagraph"/>
              <w:spacing w:line="228" w:lineRule="exact" w:before="4"/>
              <w:ind w:left="518" w:right="124" w:hanging="368"/>
              <w:rPr>
                <w:sz w:val="20"/>
              </w:rPr>
            </w:pPr>
            <w:r>
              <w:rPr>
                <w:sz w:val="20"/>
              </w:rPr>
              <w:t>Li ve Shimizu 2018</w:t>
            </w:r>
          </w:p>
        </w:tc>
        <w:tc>
          <w:tcPr>
            <w:tcW w:w="851" w:type="dxa"/>
            <w:tcBorders>
              <w:top w:val="single" w:sz="4" w:space="0" w:color="7E7E7E"/>
              <w:bottom w:val="single" w:sz="4" w:space="0" w:color="7E7E7E"/>
            </w:tcBorders>
          </w:tcPr>
          <w:p>
            <w:pPr>
              <w:pStyle w:val="TableParagraph"/>
              <w:spacing w:before="118"/>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spacing w:before="118"/>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spacing w:before="118"/>
              <w:ind w:left="0" w:right="369"/>
              <w:jc w:val="right"/>
              <w:rPr>
                <w:rFonts w:ascii="Wingdings" w:hAnsi="Wingdings"/>
                <w:sz w:val="20"/>
              </w:rPr>
            </w:pPr>
            <w:r>
              <w:rPr>
                <w:rFonts w:ascii="Wingdings" w:hAnsi="Wingdings"/>
                <w:w w:val="99"/>
                <w:sz w:val="20"/>
              </w:rPr>
              <w:t></w:t>
            </w:r>
          </w:p>
        </w:tc>
        <w:tc>
          <w:tcPr>
            <w:tcW w:w="1006" w:type="dxa"/>
            <w:tcBorders>
              <w:top w:val="single" w:sz="4" w:space="0" w:color="7E7E7E"/>
              <w:bottom w:val="single" w:sz="4" w:space="0" w:color="7E7E7E"/>
            </w:tcBorders>
          </w:tcPr>
          <w:p>
            <w:pPr>
              <w:pStyle w:val="TableParagraph"/>
              <w:spacing w:before="118"/>
              <w:ind w:left="0" w:right="417"/>
              <w:jc w:val="right"/>
              <w:rPr>
                <w:rFonts w:ascii="Wingdings" w:hAnsi="Wingdings"/>
                <w:sz w:val="20"/>
              </w:rPr>
            </w:pPr>
            <w:r>
              <w:rPr>
                <w:rFonts w:ascii="Wingdings" w:hAnsi="Wingdings"/>
                <w:w w:val="99"/>
                <w:sz w:val="20"/>
              </w:rPr>
              <w:t></w:t>
            </w:r>
          </w:p>
        </w:tc>
        <w:tc>
          <w:tcPr>
            <w:tcW w:w="845" w:type="dxa"/>
            <w:tcBorders>
              <w:top w:val="single" w:sz="4" w:space="0" w:color="7E7E7E"/>
              <w:bottom w:val="single" w:sz="4" w:space="0" w:color="7E7E7E"/>
            </w:tcBorders>
          </w:tcPr>
          <w:p>
            <w:pPr>
              <w:pStyle w:val="TableParagraph"/>
              <w:ind w:left="0"/>
              <w:rPr>
                <w:sz w:val="22"/>
              </w:rPr>
            </w:pPr>
          </w:p>
        </w:tc>
        <w:tc>
          <w:tcPr>
            <w:tcW w:w="1017" w:type="dxa"/>
            <w:tcBorders>
              <w:top w:val="single" w:sz="4" w:space="0" w:color="7E7E7E"/>
              <w:bottom w:val="single" w:sz="4" w:space="0" w:color="7E7E7E"/>
            </w:tcBorders>
          </w:tcPr>
          <w:p>
            <w:pPr>
              <w:pStyle w:val="TableParagraph"/>
              <w:spacing w:before="118"/>
              <w:ind w:left="0" w:right="14"/>
              <w:jc w:val="center"/>
              <w:rPr>
                <w:rFonts w:ascii="Wingdings" w:hAnsi="Wingdings"/>
                <w:sz w:val="20"/>
              </w:rPr>
            </w:pPr>
            <w:r>
              <w:rPr>
                <w:rFonts w:ascii="Wingdings" w:hAnsi="Wingdings"/>
                <w:w w:val="99"/>
                <w:sz w:val="20"/>
              </w:rPr>
              <w:t></w:t>
            </w:r>
          </w:p>
        </w:tc>
        <w:tc>
          <w:tcPr>
            <w:tcW w:w="749" w:type="dxa"/>
            <w:tcBorders>
              <w:top w:val="single" w:sz="4" w:space="0" w:color="7E7E7E"/>
              <w:bottom w:val="single" w:sz="4" w:space="0" w:color="7E7E7E"/>
            </w:tcBorders>
          </w:tcPr>
          <w:p>
            <w:pPr>
              <w:pStyle w:val="TableParagraph"/>
              <w:spacing w:before="118"/>
              <w:ind w:left="0" w:right="8"/>
              <w:jc w:val="center"/>
              <w:rPr>
                <w:rFonts w:ascii="Wingdings" w:hAnsi="Wingdings"/>
                <w:sz w:val="20"/>
              </w:rPr>
            </w:pPr>
            <w:r>
              <w:rPr>
                <w:rFonts w:ascii="Wingdings" w:hAnsi="Wingdings"/>
                <w:w w:val="99"/>
                <w:sz w:val="20"/>
              </w:rPr>
              <w:t></w:t>
            </w:r>
          </w:p>
        </w:tc>
        <w:tc>
          <w:tcPr>
            <w:tcW w:w="982" w:type="dxa"/>
            <w:tcBorders>
              <w:top w:val="single" w:sz="4" w:space="0" w:color="7E7E7E"/>
              <w:bottom w:val="single" w:sz="4" w:space="0" w:color="7E7E7E"/>
            </w:tcBorders>
          </w:tcPr>
          <w:p>
            <w:pPr>
              <w:pStyle w:val="TableParagraph"/>
              <w:ind w:left="0"/>
              <w:rPr>
                <w:sz w:val="22"/>
              </w:rPr>
            </w:pPr>
          </w:p>
        </w:tc>
      </w:tr>
      <w:tr>
        <w:trPr>
          <w:trHeight w:val="287" w:hRule="atLeast"/>
        </w:trPr>
        <w:tc>
          <w:tcPr>
            <w:tcW w:w="1428" w:type="dxa"/>
            <w:tcBorders>
              <w:top w:val="single" w:sz="4" w:space="0" w:color="7E7E7E"/>
              <w:bottom w:val="single" w:sz="4" w:space="0" w:color="7E7E7E"/>
            </w:tcBorders>
          </w:tcPr>
          <w:p>
            <w:pPr>
              <w:pStyle w:val="TableParagraph"/>
              <w:spacing w:before="29"/>
              <w:ind w:left="111" w:right="102"/>
              <w:jc w:val="center"/>
              <w:rPr>
                <w:sz w:val="20"/>
              </w:rPr>
            </w:pPr>
            <w:r>
              <w:rPr>
                <w:sz w:val="20"/>
              </w:rPr>
              <w:t>Fink vd. 2018</w:t>
            </w:r>
          </w:p>
        </w:tc>
        <w:tc>
          <w:tcPr>
            <w:tcW w:w="851" w:type="dxa"/>
            <w:tcBorders>
              <w:top w:val="single" w:sz="4" w:space="0" w:color="7E7E7E"/>
              <w:bottom w:val="single" w:sz="4" w:space="0" w:color="7E7E7E"/>
            </w:tcBorders>
          </w:tcPr>
          <w:p>
            <w:pPr>
              <w:pStyle w:val="TableParagraph"/>
              <w:spacing w:before="34"/>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spacing w:before="34"/>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ind w:left="0"/>
              <w:rPr>
                <w:sz w:val="20"/>
              </w:rPr>
            </w:pPr>
          </w:p>
        </w:tc>
        <w:tc>
          <w:tcPr>
            <w:tcW w:w="1006" w:type="dxa"/>
            <w:tcBorders>
              <w:top w:val="single" w:sz="4" w:space="0" w:color="7E7E7E"/>
              <w:bottom w:val="single" w:sz="4" w:space="0" w:color="7E7E7E"/>
            </w:tcBorders>
          </w:tcPr>
          <w:p>
            <w:pPr>
              <w:pStyle w:val="TableParagraph"/>
              <w:ind w:left="0"/>
              <w:rPr>
                <w:sz w:val="20"/>
              </w:rPr>
            </w:pPr>
          </w:p>
        </w:tc>
        <w:tc>
          <w:tcPr>
            <w:tcW w:w="845" w:type="dxa"/>
            <w:tcBorders>
              <w:top w:val="single" w:sz="4" w:space="0" w:color="7E7E7E"/>
              <w:bottom w:val="single" w:sz="4" w:space="0" w:color="7E7E7E"/>
            </w:tcBorders>
          </w:tcPr>
          <w:p>
            <w:pPr>
              <w:pStyle w:val="TableParagraph"/>
              <w:ind w:left="0"/>
              <w:rPr>
                <w:sz w:val="20"/>
              </w:rPr>
            </w:pPr>
          </w:p>
        </w:tc>
        <w:tc>
          <w:tcPr>
            <w:tcW w:w="1017" w:type="dxa"/>
            <w:tcBorders>
              <w:top w:val="single" w:sz="4" w:space="0" w:color="7E7E7E"/>
              <w:bottom w:val="single" w:sz="4" w:space="0" w:color="7E7E7E"/>
            </w:tcBorders>
          </w:tcPr>
          <w:p>
            <w:pPr>
              <w:pStyle w:val="TableParagraph"/>
              <w:ind w:left="0"/>
              <w:rPr>
                <w:sz w:val="20"/>
              </w:rPr>
            </w:pPr>
          </w:p>
        </w:tc>
        <w:tc>
          <w:tcPr>
            <w:tcW w:w="749" w:type="dxa"/>
            <w:tcBorders>
              <w:top w:val="single" w:sz="4" w:space="0" w:color="7E7E7E"/>
              <w:bottom w:val="single" w:sz="4" w:space="0" w:color="7E7E7E"/>
            </w:tcBorders>
          </w:tcPr>
          <w:p>
            <w:pPr>
              <w:pStyle w:val="TableParagraph"/>
              <w:spacing w:before="34"/>
              <w:ind w:left="0" w:right="8"/>
              <w:jc w:val="center"/>
              <w:rPr>
                <w:rFonts w:ascii="Wingdings" w:hAnsi="Wingdings"/>
                <w:sz w:val="20"/>
              </w:rPr>
            </w:pPr>
            <w:r>
              <w:rPr>
                <w:rFonts w:ascii="Wingdings" w:hAnsi="Wingdings"/>
                <w:w w:val="99"/>
                <w:sz w:val="20"/>
              </w:rPr>
              <w:t></w:t>
            </w:r>
          </w:p>
        </w:tc>
        <w:tc>
          <w:tcPr>
            <w:tcW w:w="982" w:type="dxa"/>
            <w:tcBorders>
              <w:top w:val="single" w:sz="4" w:space="0" w:color="7E7E7E"/>
              <w:bottom w:val="single" w:sz="4" w:space="0" w:color="7E7E7E"/>
            </w:tcBorders>
          </w:tcPr>
          <w:p>
            <w:pPr>
              <w:pStyle w:val="TableParagraph"/>
              <w:ind w:left="0"/>
              <w:rPr>
                <w:sz w:val="20"/>
              </w:rPr>
            </w:pPr>
          </w:p>
        </w:tc>
      </w:tr>
      <w:tr>
        <w:trPr>
          <w:trHeight w:val="290" w:hRule="atLeast"/>
        </w:trPr>
        <w:tc>
          <w:tcPr>
            <w:tcW w:w="1428" w:type="dxa"/>
            <w:tcBorders>
              <w:top w:val="single" w:sz="4" w:space="0" w:color="7E7E7E"/>
              <w:bottom w:val="single" w:sz="4" w:space="0" w:color="7E7E7E"/>
            </w:tcBorders>
          </w:tcPr>
          <w:p>
            <w:pPr>
              <w:pStyle w:val="TableParagraph"/>
              <w:spacing w:before="31"/>
              <w:ind w:left="113" w:right="102"/>
              <w:jc w:val="center"/>
              <w:rPr>
                <w:sz w:val="20"/>
              </w:rPr>
            </w:pPr>
            <w:r>
              <w:rPr>
                <w:sz w:val="20"/>
              </w:rPr>
              <w:t>Hu vd. 2018</w:t>
            </w:r>
          </w:p>
        </w:tc>
        <w:tc>
          <w:tcPr>
            <w:tcW w:w="851" w:type="dxa"/>
            <w:tcBorders>
              <w:top w:val="single" w:sz="4" w:space="0" w:color="7E7E7E"/>
              <w:bottom w:val="single" w:sz="4" w:space="0" w:color="7E7E7E"/>
            </w:tcBorders>
          </w:tcPr>
          <w:p>
            <w:pPr>
              <w:pStyle w:val="TableParagraph"/>
              <w:ind w:left="0"/>
              <w:rPr>
                <w:sz w:val="20"/>
              </w:rPr>
            </w:pPr>
          </w:p>
        </w:tc>
        <w:tc>
          <w:tcPr>
            <w:tcW w:w="1075" w:type="dxa"/>
            <w:tcBorders>
              <w:top w:val="single" w:sz="4" w:space="0" w:color="7E7E7E"/>
              <w:bottom w:val="single" w:sz="4" w:space="0" w:color="7E7E7E"/>
            </w:tcBorders>
          </w:tcPr>
          <w:p>
            <w:pPr>
              <w:pStyle w:val="TableParagraph"/>
              <w:spacing w:before="36"/>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ind w:left="0"/>
              <w:rPr>
                <w:sz w:val="20"/>
              </w:rPr>
            </w:pPr>
          </w:p>
        </w:tc>
        <w:tc>
          <w:tcPr>
            <w:tcW w:w="1006" w:type="dxa"/>
            <w:tcBorders>
              <w:top w:val="single" w:sz="4" w:space="0" w:color="7E7E7E"/>
              <w:bottom w:val="single" w:sz="4" w:space="0" w:color="7E7E7E"/>
            </w:tcBorders>
          </w:tcPr>
          <w:p>
            <w:pPr>
              <w:pStyle w:val="TableParagraph"/>
              <w:ind w:left="0"/>
              <w:rPr>
                <w:sz w:val="20"/>
              </w:rPr>
            </w:pPr>
          </w:p>
        </w:tc>
        <w:tc>
          <w:tcPr>
            <w:tcW w:w="845" w:type="dxa"/>
            <w:tcBorders>
              <w:top w:val="single" w:sz="4" w:space="0" w:color="7E7E7E"/>
              <w:bottom w:val="single" w:sz="4" w:space="0" w:color="7E7E7E"/>
            </w:tcBorders>
          </w:tcPr>
          <w:p>
            <w:pPr>
              <w:pStyle w:val="TableParagraph"/>
              <w:ind w:left="0"/>
              <w:rPr>
                <w:sz w:val="20"/>
              </w:rPr>
            </w:pPr>
          </w:p>
        </w:tc>
        <w:tc>
          <w:tcPr>
            <w:tcW w:w="1017" w:type="dxa"/>
            <w:tcBorders>
              <w:top w:val="single" w:sz="4" w:space="0" w:color="7E7E7E"/>
              <w:bottom w:val="single" w:sz="4" w:space="0" w:color="7E7E7E"/>
            </w:tcBorders>
          </w:tcPr>
          <w:p>
            <w:pPr>
              <w:pStyle w:val="TableParagraph"/>
              <w:spacing w:before="36"/>
              <w:ind w:left="0" w:right="14"/>
              <w:jc w:val="center"/>
              <w:rPr>
                <w:rFonts w:ascii="Wingdings" w:hAnsi="Wingdings"/>
                <w:sz w:val="20"/>
              </w:rPr>
            </w:pPr>
            <w:r>
              <w:rPr>
                <w:rFonts w:ascii="Wingdings" w:hAnsi="Wingdings"/>
                <w:w w:val="99"/>
                <w:sz w:val="20"/>
              </w:rPr>
              <w:t></w:t>
            </w:r>
          </w:p>
        </w:tc>
        <w:tc>
          <w:tcPr>
            <w:tcW w:w="749" w:type="dxa"/>
            <w:tcBorders>
              <w:top w:val="single" w:sz="4" w:space="0" w:color="7E7E7E"/>
              <w:bottom w:val="single" w:sz="4" w:space="0" w:color="7E7E7E"/>
            </w:tcBorders>
          </w:tcPr>
          <w:p>
            <w:pPr>
              <w:pStyle w:val="TableParagraph"/>
              <w:spacing w:before="36"/>
              <w:ind w:left="0" w:right="8"/>
              <w:jc w:val="center"/>
              <w:rPr>
                <w:rFonts w:ascii="Wingdings" w:hAnsi="Wingdings"/>
                <w:sz w:val="20"/>
              </w:rPr>
            </w:pPr>
            <w:r>
              <w:rPr>
                <w:rFonts w:ascii="Wingdings" w:hAnsi="Wingdings"/>
                <w:w w:val="99"/>
                <w:sz w:val="20"/>
              </w:rPr>
              <w:t></w:t>
            </w:r>
          </w:p>
        </w:tc>
        <w:tc>
          <w:tcPr>
            <w:tcW w:w="982" w:type="dxa"/>
            <w:tcBorders>
              <w:top w:val="single" w:sz="4" w:space="0" w:color="7E7E7E"/>
              <w:bottom w:val="single" w:sz="4" w:space="0" w:color="7E7E7E"/>
            </w:tcBorders>
          </w:tcPr>
          <w:p>
            <w:pPr>
              <w:pStyle w:val="TableParagraph"/>
              <w:ind w:left="0"/>
              <w:rPr>
                <w:sz w:val="20"/>
              </w:rPr>
            </w:pPr>
          </w:p>
        </w:tc>
      </w:tr>
      <w:tr>
        <w:trPr>
          <w:trHeight w:val="460" w:hRule="atLeast"/>
        </w:trPr>
        <w:tc>
          <w:tcPr>
            <w:tcW w:w="1428" w:type="dxa"/>
            <w:tcBorders>
              <w:top w:val="single" w:sz="4" w:space="0" w:color="7E7E7E"/>
              <w:bottom w:val="single" w:sz="4" w:space="0" w:color="7E7E7E"/>
            </w:tcBorders>
          </w:tcPr>
          <w:p>
            <w:pPr>
              <w:pStyle w:val="TableParagraph"/>
              <w:ind w:left="109" w:right="102"/>
              <w:jc w:val="center"/>
              <w:rPr>
                <w:sz w:val="20"/>
              </w:rPr>
            </w:pPr>
            <w:r>
              <w:rPr>
                <w:sz w:val="20"/>
              </w:rPr>
              <w:t>Hashim vd.</w:t>
            </w:r>
          </w:p>
          <w:p>
            <w:pPr>
              <w:pStyle w:val="TableParagraph"/>
              <w:spacing w:line="210" w:lineRule="exact"/>
              <w:ind w:left="113" w:right="101"/>
              <w:jc w:val="center"/>
              <w:rPr>
                <w:sz w:val="20"/>
              </w:rPr>
            </w:pPr>
            <w:r>
              <w:rPr>
                <w:sz w:val="20"/>
              </w:rPr>
              <w:t>2019</w:t>
            </w:r>
          </w:p>
        </w:tc>
        <w:tc>
          <w:tcPr>
            <w:tcW w:w="851" w:type="dxa"/>
            <w:tcBorders>
              <w:top w:val="single" w:sz="4" w:space="0" w:color="7E7E7E"/>
              <w:bottom w:val="single" w:sz="4" w:space="0" w:color="7E7E7E"/>
            </w:tcBorders>
          </w:tcPr>
          <w:p>
            <w:pPr>
              <w:pStyle w:val="TableParagraph"/>
              <w:spacing w:before="120"/>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spacing w:before="120"/>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ind w:left="0"/>
              <w:rPr>
                <w:sz w:val="22"/>
              </w:rPr>
            </w:pPr>
          </w:p>
        </w:tc>
        <w:tc>
          <w:tcPr>
            <w:tcW w:w="1006" w:type="dxa"/>
            <w:tcBorders>
              <w:top w:val="single" w:sz="4" w:space="0" w:color="7E7E7E"/>
              <w:bottom w:val="single" w:sz="4" w:space="0" w:color="7E7E7E"/>
            </w:tcBorders>
          </w:tcPr>
          <w:p>
            <w:pPr>
              <w:pStyle w:val="TableParagraph"/>
              <w:ind w:left="0"/>
              <w:rPr>
                <w:sz w:val="22"/>
              </w:rPr>
            </w:pPr>
          </w:p>
        </w:tc>
        <w:tc>
          <w:tcPr>
            <w:tcW w:w="845" w:type="dxa"/>
            <w:tcBorders>
              <w:top w:val="single" w:sz="4" w:space="0" w:color="7E7E7E"/>
              <w:bottom w:val="single" w:sz="4" w:space="0" w:color="7E7E7E"/>
            </w:tcBorders>
          </w:tcPr>
          <w:p>
            <w:pPr>
              <w:pStyle w:val="TableParagraph"/>
              <w:ind w:left="0"/>
              <w:rPr>
                <w:sz w:val="22"/>
              </w:rPr>
            </w:pPr>
          </w:p>
        </w:tc>
        <w:tc>
          <w:tcPr>
            <w:tcW w:w="1017" w:type="dxa"/>
            <w:tcBorders>
              <w:top w:val="single" w:sz="4" w:space="0" w:color="7E7E7E"/>
              <w:bottom w:val="single" w:sz="4" w:space="0" w:color="7E7E7E"/>
            </w:tcBorders>
          </w:tcPr>
          <w:p>
            <w:pPr>
              <w:pStyle w:val="TableParagraph"/>
              <w:ind w:left="0"/>
              <w:rPr>
                <w:sz w:val="22"/>
              </w:rPr>
            </w:pPr>
          </w:p>
        </w:tc>
        <w:tc>
          <w:tcPr>
            <w:tcW w:w="749" w:type="dxa"/>
            <w:tcBorders>
              <w:top w:val="single" w:sz="4" w:space="0" w:color="7E7E7E"/>
              <w:bottom w:val="single" w:sz="4" w:space="0" w:color="7E7E7E"/>
            </w:tcBorders>
          </w:tcPr>
          <w:p>
            <w:pPr>
              <w:pStyle w:val="TableParagraph"/>
              <w:spacing w:before="120"/>
              <w:ind w:left="0" w:right="8"/>
              <w:jc w:val="center"/>
              <w:rPr>
                <w:rFonts w:ascii="Wingdings" w:hAnsi="Wingdings"/>
                <w:sz w:val="20"/>
              </w:rPr>
            </w:pPr>
            <w:r>
              <w:rPr>
                <w:rFonts w:ascii="Wingdings" w:hAnsi="Wingdings"/>
                <w:w w:val="99"/>
                <w:sz w:val="20"/>
              </w:rPr>
              <w:t></w:t>
            </w:r>
          </w:p>
        </w:tc>
        <w:tc>
          <w:tcPr>
            <w:tcW w:w="982" w:type="dxa"/>
            <w:tcBorders>
              <w:top w:val="single" w:sz="4" w:space="0" w:color="7E7E7E"/>
              <w:bottom w:val="single" w:sz="4" w:space="0" w:color="7E7E7E"/>
            </w:tcBorders>
          </w:tcPr>
          <w:p>
            <w:pPr>
              <w:pStyle w:val="TableParagraph"/>
              <w:ind w:left="0"/>
              <w:rPr>
                <w:sz w:val="22"/>
              </w:rPr>
            </w:pPr>
          </w:p>
        </w:tc>
      </w:tr>
      <w:tr>
        <w:trPr>
          <w:trHeight w:val="290" w:hRule="atLeast"/>
        </w:trPr>
        <w:tc>
          <w:tcPr>
            <w:tcW w:w="1428" w:type="dxa"/>
            <w:tcBorders>
              <w:top w:val="single" w:sz="4" w:space="0" w:color="7E7E7E"/>
              <w:bottom w:val="single" w:sz="4" w:space="0" w:color="7E7E7E"/>
            </w:tcBorders>
          </w:tcPr>
          <w:p>
            <w:pPr>
              <w:pStyle w:val="TableParagraph"/>
              <w:spacing w:before="31"/>
              <w:ind w:left="111" w:right="102"/>
              <w:jc w:val="center"/>
              <w:rPr>
                <w:sz w:val="20"/>
              </w:rPr>
            </w:pPr>
            <w:r>
              <w:rPr>
                <w:sz w:val="20"/>
              </w:rPr>
              <w:t>Bao vd. 2019</w:t>
            </w:r>
          </w:p>
        </w:tc>
        <w:tc>
          <w:tcPr>
            <w:tcW w:w="851" w:type="dxa"/>
            <w:tcBorders>
              <w:top w:val="single" w:sz="4" w:space="0" w:color="7E7E7E"/>
              <w:bottom w:val="single" w:sz="4" w:space="0" w:color="7E7E7E"/>
            </w:tcBorders>
          </w:tcPr>
          <w:p>
            <w:pPr>
              <w:pStyle w:val="TableParagraph"/>
              <w:spacing w:before="36"/>
              <w:ind w:left="350"/>
              <w:rPr>
                <w:rFonts w:ascii="Wingdings" w:hAnsi="Wingdings"/>
                <w:sz w:val="20"/>
              </w:rPr>
            </w:pPr>
            <w:r>
              <w:rPr>
                <w:rFonts w:ascii="Wingdings" w:hAnsi="Wingdings"/>
                <w:w w:val="99"/>
                <w:sz w:val="20"/>
              </w:rPr>
              <w:t></w:t>
            </w:r>
          </w:p>
        </w:tc>
        <w:tc>
          <w:tcPr>
            <w:tcW w:w="1075" w:type="dxa"/>
            <w:tcBorders>
              <w:top w:val="single" w:sz="4" w:space="0" w:color="7E7E7E"/>
              <w:bottom w:val="single" w:sz="4" w:space="0" w:color="7E7E7E"/>
            </w:tcBorders>
          </w:tcPr>
          <w:p>
            <w:pPr>
              <w:pStyle w:val="TableParagraph"/>
              <w:spacing w:before="36"/>
              <w:ind w:left="457"/>
              <w:rPr>
                <w:rFonts w:ascii="Wingdings" w:hAnsi="Wingdings"/>
                <w:sz w:val="20"/>
              </w:rPr>
            </w:pPr>
            <w:r>
              <w:rPr>
                <w:rFonts w:ascii="Wingdings" w:hAnsi="Wingdings"/>
                <w:w w:val="99"/>
                <w:sz w:val="20"/>
              </w:rPr>
              <w:t></w:t>
            </w:r>
          </w:p>
        </w:tc>
        <w:tc>
          <w:tcPr>
            <w:tcW w:w="902" w:type="dxa"/>
            <w:tcBorders>
              <w:top w:val="single" w:sz="4" w:space="0" w:color="7E7E7E"/>
              <w:bottom w:val="single" w:sz="4" w:space="0" w:color="7E7E7E"/>
            </w:tcBorders>
          </w:tcPr>
          <w:p>
            <w:pPr>
              <w:pStyle w:val="TableParagraph"/>
              <w:ind w:left="0"/>
              <w:rPr>
                <w:sz w:val="20"/>
              </w:rPr>
            </w:pPr>
          </w:p>
        </w:tc>
        <w:tc>
          <w:tcPr>
            <w:tcW w:w="1006" w:type="dxa"/>
            <w:tcBorders>
              <w:top w:val="single" w:sz="4" w:space="0" w:color="7E7E7E"/>
              <w:bottom w:val="single" w:sz="4" w:space="0" w:color="7E7E7E"/>
            </w:tcBorders>
          </w:tcPr>
          <w:p>
            <w:pPr>
              <w:pStyle w:val="TableParagraph"/>
              <w:ind w:left="0"/>
              <w:rPr>
                <w:sz w:val="20"/>
              </w:rPr>
            </w:pPr>
          </w:p>
        </w:tc>
        <w:tc>
          <w:tcPr>
            <w:tcW w:w="845" w:type="dxa"/>
            <w:tcBorders>
              <w:top w:val="single" w:sz="4" w:space="0" w:color="7E7E7E"/>
              <w:bottom w:val="single" w:sz="4" w:space="0" w:color="7E7E7E"/>
            </w:tcBorders>
          </w:tcPr>
          <w:p>
            <w:pPr>
              <w:pStyle w:val="TableParagraph"/>
              <w:ind w:left="0"/>
              <w:rPr>
                <w:sz w:val="20"/>
              </w:rPr>
            </w:pPr>
          </w:p>
        </w:tc>
        <w:tc>
          <w:tcPr>
            <w:tcW w:w="1017" w:type="dxa"/>
            <w:tcBorders>
              <w:top w:val="single" w:sz="4" w:space="0" w:color="7E7E7E"/>
              <w:bottom w:val="single" w:sz="4" w:space="0" w:color="7E7E7E"/>
            </w:tcBorders>
          </w:tcPr>
          <w:p>
            <w:pPr>
              <w:pStyle w:val="TableParagraph"/>
              <w:spacing w:before="36"/>
              <w:ind w:left="0" w:right="14"/>
              <w:jc w:val="center"/>
              <w:rPr>
                <w:rFonts w:ascii="Wingdings" w:hAnsi="Wingdings"/>
                <w:sz w:val="20"/>
              </w:rPr>
            </w:pPr>
            <w:r>
              <w:rPr>
                <w:rFonts w:ascii="Wingdings" w:hAnsi="Wingdings"/>
                <w:w w:val="99"/>
                <w:sz w:val="20"/>
              </w:rPr>
              <w:t></w:t>
            </w:r>
          </w:p>
        </w:tc>
        <w:tc>
          <w:tcPr>
            <w:tcW w:w="749" w:type="dxa"/>
            <w:tcBorders>
              <w:top w:val="single" w:sz="4" w:space="0" w:color="7E7E7E"/>
              <w:bottom w:val="single" w:sz="4" w:space="0" w:color="7E7E7E"/>
            </w:tcBorders>
          </w:tcPr>
          <w:p>
            <w:pPr>
              <w:pStyle w:val="TableParagraph"/>
              <w:ind w:left="0"/>
              <w:rPr>
                <w:sz w:val="20"/>
              </w:rPr>
            </w:pPr>
          </w:p>
        </w:tc>
        <w:tc>
          <w:tcPr>
            <w:tcW w:w="982" w:type="dxa"/>
            <w:tcBorders>
              <w:top w:val="single" w:sz="4" w:space="0" w:color="7E7E7E"/>
              <w:bottom w:val="single" w:sz="4" w:space="0" w:color="7E7E7E"/>
            </w:tcBorders>
          </w:tcPr>
          <w:p>
            <w:pPr>
              <w:pStyle w:val="TableParagraph"/>
              <w:ind w:left="0"/>
              <w:rPr>
                <w:sz w:val="20"/>
              </w:rPr>
            </w:pPr>
          </w:p>
        </w:tc>
      </w:tr>
      <w:tr>
        <w:trPr>
          <w:trHeight w:val="292" w:hRule="atLeast"/>
        </w:trPr>
        <w:tc>
          <w:tcPr>
            <w:tcW w:w="1428" w:type="dxa"/>
            <w:tcBorders>
              <w:top w:val="single" w:sz="4" w:space="0" w:color="7E7E7E"/>
              <w:bottom w:val="single" w:sz="8" w:space="0" w:color="000000"/>
            </w:tcBorders>
          </w:tcPr>
          <w:p>
            <w:pPr>
              <w:pStyle w:val="TableParagraph"/>
              <w:spacing w:before="31"/>
              <w:ind w:left="108" w:right="102"/>
              <w:jc w:val="center"/>
              <w:rPr>
                <w:sz w:val="20"/>
              </w:rPr>
            </w:pPr>
            <w:r>
              <w:rPr>
                <w:sz w:val="20"/>
              </w:rPr>
              <w:t>Bu Çalışma</w:t>
            </w:r>
          </w:p>
        </w:tc>
        <w:tc>
          <w:tcPr>
            <w:tcW w:w="851" w:type="dxa"/>
            <w:tcBorders>
              <w:top w:val="single" w:sz="4" w:space="0" w:color="7E7E7E"/>
              <w:bottom w:val="single" w:sz="8" w:space="0" w:color="000000"/>
            </w:tcBorders>
          </w:tcPr>
          <w:p>
            <w:pPr>
              <w:pStyle w:val="TableParagraph"/>
              <w:spacing w:before="36"/>
              <w:ind w:left="350"/>
              <w:rPr>
                <w:rFonts w:ascii="Wingdings" w:hAnsi="Wingdings"/>
                <w:sz w:val="20"/>
              </w:rPr>
            </w:pPr>
            <w:r>
              <w:rPr>
                <w:rFonts w:ascii="Wingdings" w:hAnsi="Wingdings"/>
                <w:w w:val="99"/>
                <w:sz w:val="20"/>
              </w:rPr>
              <w:t></w:t>
            </w:r>
          </w:p>
        </w:tc>
        <w:tc>
          <w:tcPr>
            <w:tcW w:w="1075" w:type="dxa"/>
            <w:tcBorders>
              <w:top w:val="single" w:sz="4" w:space="0" w:color="7E7E7E"/>
              <w:bottom w:val="single" w:sz="8" w:space="0" w:color="000000"/>
            </w:tcBorders>
          </w:tcPr>
          <w:p>
            <w:pPr>
              <w:pStyle w:val="TableParagraph"/>
              <w:spacing w:before="36"/>
              <w:ind w:left="457"/>
              <w:rPr>
                <w:rFonts w:ascii="Wingdings" w:hAnsi="Wingdings"/>
                <w:sz w:val="20"/>
              </w:rPr>
            </w:pPr>
            <w:r>
              <w:rPr>
                <w:rFonts w:ascii="Wingdings" w:hAnsi="Wingdings"/>
                <w:w w:val="99"/>
                <w:sz w:val="20"/>
              </w:rPr>
              <w:t></w:t>
            </w:r>
          </w:p>
        </w:tc>
        <w:tc>
          <w:tcPr>
            <w:tcW w:w="902" w:type="dxa"/>
            <w:tcBorders>
              <w:top w:val="single" w:sz="4" w:space="0" w:color="7E7E7E"/>
              <w:bottom w:val="single" w:sz="8" w:space="0" w:color="000000"/>
            </w:tcBorders>
          </w:tcPr>
          <w:p>
            <w:pPr>
              <w:pStyle w:val="TableParagraph"/>
              <w:spacing w:before="36"/>
              <w:ind w:left="0" w:right="369"/>
              <w:jc w:val="right"/>
              <w:rPr>
                <w:rFonts w:ascii="Wingdings" w:hAnsi="Wingdings"/>
                <w:sz w:val="20"/>
              </w:rPr>
            </w:pPr>
            <w:r>
              <w:rPr>
                <w:rFonts w:ascii="Wingdings" w:hAnsi="Wingdings"/>
                <w:w w:val="99"/>
                <w:sz w:val="20"/>
              </w:rPr>
              <w:t></w:t>
            </w:r>
          </w:p>
        </w:tc>
        <w:tc>
          <w:tcPr>
            <w:tcW w:w="1006" w:type="dxa"/>
            <w:tcBorders>
              <w:top w:val="single" w:sz="4" w:space="0" w:color="7E7E7E"/>
              <w:bottom w:val="single" w:sz="8" w:space="0" w:color="000000"/>
            </w:tcBorders>
          </w:tcPr>
          <w:p>
            <w:pPr>
              <w:pStyle w:val="TableParagraph"/>
              <w:spacing w:before="36"/>
              <w:ind w:left="0" w:right="417"/>
              <w:jc w:val="right"/>
              <w:rPr>
                <w:rFonts w:ascii="Wingdings" w:hAnsi="Wingdings"/>
                <w:sz w:val="20"/>
              </w:rPr>
            </w:pPr>
            <w:r>
              <w:rPr>
                <w:rFonts w:ascii="Wingdings" w:hAnsi="Wingdings"/>
                <w:w w:val="99"/>
                <w:sz w:val="20"/>
              </w:rPr>
              <w:t></w:t>
            </w:r>
          </w:p>
        </w:tc>
        <w:tc>
          <w:tcPr>
            <w:tcW w:w="845" w:type="dxa"/>
            <w:tcBorders>
              <w:top w:val="single" w:sz="4" w:space="0" w:color="7E7E7E"/>
              <w:bottom w:val="single" w:sz="8" w:space="0" w:color="000000"/>
            </w:tcBorders>
          </w:tcPr>
          <w:p>
            <w:pPr>
              <w:pStyle w:val="TableParagraph"/>
              <w:spacing w:before="36"/>
              <w:ind w:left="347"/>
              <w:rPr>
                <w:rFonts w:ascii="Wingdings" w:hAnsi="Wingdings"/>
                <w:sz w:val="20"/>
              </w:rPr>
            </w:pPr>
            <w:r>
              <w:rPr>
                <w:rFonts w:ascii="Wingdings" w:hAnsi="Wingdings"/>
                <w:w w:val="99"/>
                <w:sz w:val="20"/>
              </w:rPr>
              <w:t></w:t>
            </w:r>
          </w:p>
        </w:tc>
        <w:tc>
          <w:tcPr>
            <w:tcW w:w="1017" w:type="dxa"/>
            <w:tcBorders>
              <w:top w:val="single" w:sz="4" w:space="0" w:color="7E7E7E"/>
              <w:bottom w:val="single" w:sz="8" w:space="0" w:color="000000"/>
            </w:tcBorders>
          </w:tcPr>
          <w:p>
            <w:pPr>
              <w:pStyle w:val="TableParagraph"/>
              <w:spacing w:before="36"/>
              <w:ind w:left="0" w:right="14"/>
              <w:jc w:val="center"/>
              <w:rPr>
                <w:rFonts w:ascii="Wingdings" w:hAnsi="Wingdings"/>
                <w:sz w:val="20"/>
              </w:rPr>
            </w:pPr>
            <w:r>
              <w:rPr>
                <w:rFonts w:ascii="Wingdings" w:hAnsi="Wingdings"/>
                <w:w w:val="99"/>
                <w:sz w:val="20"/>
              </w:rPr>
              <w:t></w:t>
            </w:r>
          </w:p>
        </w:tc>
        <w:tc>
          <w:tcPr>
            <w:tcW w:w="749" w:type="dxa"/>
            <w:tcBorders>
              <w:top w:val="single" w:sz="4" w:space="0" w:color="7E7E7E"/>
              <w:bottom w:val="single" w:sz="8" w:space="0" w:color="000000"/>
            </w:tcBorders>
          </w:tcPr>
          <w:p>
            <w:pPr>
              <w:pStyle w:val="TableParagraph"/>
              <w:spacing w:before="36"/>
              <w:ind w:left="0" w:right="8"/>
              <w:jc w:val="center"/>
              <w:rPr>
                <w:rFonts w:ascii="Wingdings" w:hAnsi="Wingdings"/>
                <w:sz w:val="20"/>
              </w:rPr>
            </w:pPr>
            <w:r>
              <w:rPr>
                <w:rFonts w:ascii="Wingdings" w:hAnsi="Wingdings"/>
                <w:w w:val="99"/>
                <w:sz w:val="20"/>
              </w:rPr>
              <w:t></w:t>
            </w:r>
          </w:p>
        </w:tc>
        <w:tc>
          <w:tcPr>
            <w:tcW w:w="982" w:type="dxa"/>
            <w:tcBorders>
              <w:top w:val="single" w:sz="4" w:space="0" w:color="7E7E7E"/>
              <w:bottom w:val="single" w:sz="8" w:space="0" w:color="000000"/>
            </w:tcBorders>
          </w:tcPr>
          <w:p>
            <w:pPr>
              <w:pStyle w:val="TableParagraph"/>
              <w:spacing w:before="36"/>
              <w:ind w:left="20"/>
              <w:jc w:val="center"/>
              <w:rPr>
                <w:rFonts w:ascii="Wingdings" w:hAnsi="Wingdings"/>
                <w:sz w:val="20"/>
              </w:rPr>
            </w:pPr>
            <w:r>
              <w:rPr>
                <w:rFonts w:ascii="Wingdings" w:hAnsi="Wingdings"/>
                <w:w w:val="99"/>
                <w:sz w:val="20"/>
              </w:rPr>
              <w:t></w:t>
            </w:r>
          </w:p>
        </w:tc>
      </w:tr>
    </w:tbl>
    <w:p>
      <w:pPr>
        <w:pStyle w:val="BodyText"/>
        <w:spacing w:before="10"/>
        <w:ind w:left="0"/>
        <w:jc w:val="left"/>
        <w:rPr>
          <w:sz w:val="35"/>
        </w:rPr>
      </w:pPr>
    </w:p>
    <w:p>
      <w:pPr>
        <w:pStyle w:val="BodyText"/>
        <w:spacing w:line="360" w:lineRule="auto"/>
        <w:ind w:right="311" w:firstLine="708"/>
      </w:pPr>
      <w:r>
        <w:rPr/>
        <w:t>Araştırmada kullanılan değişkenler ve değişkenlere dair kısa açıklamalar Tablo 7’de aktarılmıştır. Normallik testleri sonucu tüm değişkenlerin %99 güven aralığında normal dağılmadığı</w:t>
      </w:r>
      <w:r>
        <w:rPr>
          <w:spacing w:val="-8"/>
        </w:rPr>
        <w:t> </w:t>
      </w:r>
      <w:r>
        <w:rPr/>
        <w:t>görülmüştür.</w:t>
      </w:r>
      <w:r>
        <w:rPr>
          <w:spacing w:val="-9"/>
        </w:rPr>
        <w:t> </w:t>
      </w:r>
      <w:r>
        <w:rPr/>
        <w:t>Bu</w:t>
      </w:r>
      <w:r>
        <w:rPr>
          <w:spacing w:val="-8"/>
        </w:rPr>
        <w:t> </w:t>
      </w:r>
      <w:r>
        <w:rPr/>
        <w:t>nedenle,</w:t>
      </w:r>
      <w:r>
        <w:rPr>
          <w:spacing w:val="-8"/>
        </w:rPr>
        <w:t> </w:t>
      </w:r>
      <w:r>
        <w:rPr/>
        <w:t>tüm</w:t>
      </w:r>
      <w:r>
        <w:rPr>
          <w:spacing w:val="-7"/>
        </w:rPr>
        <w:t> </w:t>
      </w:r>
      <w:r>
        <w:rPr/>
        <w:t>değişkenlere</w:t>
      </w:r>
      <w:r>
        <w:rPr>
          <w:spacing w:val="-10"/>
        </w:rPr>
        <w:t> </w:t>
      </w:r>
      <w:r>
        <w:rPr/>
        <w:t>logaritmik</w:t>
      </w:r>
      <w:r>
        <w:rPr>
          <w:spacing w:val="-8"/>
        </w:rPr>
        <w:t> </w:t>
      </w:r>
      <w:r>
        <w:rPr/>
        <w:t>dönüşüm</w:t>
      </w:r>
      <w:r>
        <w:rPr>
          <w:spacing w:val="-8"/>
        </w:rPr>
        <w:t> </w:t>
      </w:r>
      <w:r>
        <w:rPr/>
        <w:t>yapılarak</w:t>
      </w:r>
      <w:r>
        <w:rPr>
          <w:spacing w:val="-8"/>
        </w:rPr>
        <w:t> </w:t>
      </w:r>
      <w:r>
        <w:rPr/>
        <w:t>doğal logaritmaları modellere dahil edilmiştir (Hair vd., 2014: 76). Alt başlıklarda, hipotezleri</w:t>
      </w:r>
      <w:r>
        <w:rPr>
          <w:spacing w:val="-12"/>
        </w:rPr>
        <w:t> </w:t>
      </w:r>
      <w:r>
        <w:rPr/>
        <w:t>test</w:t>
      </w:r>
    </w:p>
    <w:p>
      <w:pPr>
        <w:spacing w:after="0" w:line="360" w:lineRule="auto"/>
        <w:sectPr>
          <w:pgSz w:w="12240" w:h="15840"/>
          <w:pgMar w:header="718" w:footer="0" w:top="1300" w:bottom="280" w:left="1720" w:right="820"/>
        </w:sectPr>
      </w:pPr>
    </w:p>
    <w:p>
      <w:pPr>
        <w:pStyle w:val="BodyText"/>
        <w:spacing w:line="360" w:lineRule="auto" w:before="100"/>
        <w:ind w:right="312"/>
        <w:jc w:val="left"/>
      </w:pPr>
      <w:r>
        <w:rPr/>
        <w:t>etmek için oluşturulan modellere dahil edilen bağımlı, bağımsız, kukla ve kontrol değişkenleri açıklanmaktadır.</w:t>
      </w:r>
    </w:p>
    <w:p>
      <w:pPr>
        <w:spacing w:before="159"/>
        <w:ind w:left="548" w:right="0" w:firstLine="0"/>
        <w:jc w:val="left"/>
        <w:rPr>
          <w:sz w:val="24"/>
        </w:rPr>
      </w:pPr>
      <w:r>
        <w:rPr>
          <w:b/>
          <w:sz w:val="24"/>
        </w:rPr>
        <w:t>Tablo 7: </w:t>
      </w:r>
      <w:r>
        <w:rPr>
          <w:sz w:val="24"/>
        </w:rPr>
        <w:t>Değişkenler ve açıklamaları</w:t>
      </w:r>
    </w:p>
    <w:p>
      <w:pPr>
        <w:pStyle w:val="BodyText"/>
        <w:spacing w:before="2"/>
        <w:ind w:left="0"/>
        <w:jc w:val="left"/>
        <w:rPr>
          <w:sz w:val="12"/>
        </w:rPr>
      </w:pPr>
    </w:p>
    <w:tbl>
      <w:tblPr>
        <w:tblW w:w="0" w:type="auto"/>
        <w:jc w:val="left"/>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2"/>
        <w:gridCol w:w="6936"/>
      </w:tblGrid>
      <w:tr>
        <w:trPr>
          <w:trHeight w:val="263" w:hRule="atLeast"/>
        </w:trPr>
        <w:tc>
          <w:tcPr>
            <w:tcW w:w="1912" w:type="dxa"/>
            <w:tcBorders>
              <w:top w:val="single" w:sz="4" w:space="0" w:color="000000"/>
              <w:bottom w:val="single" w:sz="4" w:space="0" w:color="000000"/>
            </w:tcBorders>
          </w:tcPr>
          <w:p>
            <w:pPr>
              <w:pStyle w:val="TableParagraph"/>
              <w:ind w:left="116"/>
              <w:rPr>
                <w:b/>
                <w:sz w:val="20"/>
              </w:rPr>
            </w:pPr>
            <w:r>
              <w:rPr>
                <w:b/>
                <w:sz w:val="20"/>
              </w:rPr>
              <w:t>Değişken</w:t>
            </w:r>
          </w:p>
        </w:tc>
        <w:tc>
          <w:tcPr>
            <w:tcW w:w="6936" w:type="dxa"/>
            <w:tcBorders>
              <w:top w:val="single" w:sz="4" w:space="0" w:color="000000"/>
              <w:bottom w:val="single" w:sz="4" w:space="0" w:color="000000"/>
            </w:tcBorders>
          </w:tcPr>
          <w:p>
            <w:pPr>
              <w:pStyle w:val="TableParagraph"/>
              <w:ind w:left="146"/>
              <w:rPr>
                <w:b/>
                <w:sz w:val="20"/>
              </w:rPr>
            </w:pPr>
            <w:r>
              <w:rPr>
                <w:b/>
                <w:sz w:val="20"/>
              </w:rPr>
              <w:t>Açıklama</w:t>
            </w:r>
          </w:p>
        </w:tc>
      </w:tr>
      <w:tr>
        <w:trPr>
          <w:trHeight w:val="252" w:hRule="atLeast"/>
        </w:trPr>
        <w:tc>
          <w:tcPr>
            <w:tcW w:w="1912" w:type="dxa"/>
            <w:tcBorders>
              <w:top w:val="single" w:sz="4" w:space="0" w:color="000000"/>
            </w:tcBorders>
          </w:tcPr>
          <w:p>
            <w:pPr>
              <w:pStyle w:val="TableParagraph"/>
              <w:ind w:left="116"/>
              <w:rPr>
                <w:b/>
                <w:sz w:val="20"/>
              </w:rPr>
            </w:pPr>
            <w:r>
              <w:rPr>
                <w:b/>
                <w:position w:val="1"/>
                <w:sz w:val="20"/>
              </w:rPr>
              <w:t>ln(Sıralama</w:t>
            </w:r>
            <w:r>
              <w:rPr>
                <w:b/>
                <w:i/>
                <w:sz w:val="13"/>
              </w:rPr>
              <w:t>it</w:t>
            </w:r>
            <w:r>
              <w:rPr>
                <w:b/>
                <w:position w:val="1"/>
                <w:sz w:val="20"/>
              </w:rPr>
              <w:t>)</w:t>
            </w:r>
          </w:p>
        </w:tc>
        <w:tc>
          <w:tcPr>
            <w:tcW w:w="6936" w:type="dxa"/>
            <w:tcBorders>
              <w:top w:val="single" w:sz="4" w:space="0" w:color="000000"/>
            </w:tcBorders>
          </w:tcPr>
          <w:p>
            <w:pPr>
              <w:pStyle w:val="TableParagraph"/>
              <w:ind w:left="146"/>
              <w:rPr>
                <w:sz w:val="20"/>
              </w:rPr>
            </w:pPr>
            <w:r>
              <w:rPr>
                <w:sz w:val="20"/>
              </w:rPr>
              <w:t>Ürün </w:t>
            </w:r>
            <w:r>
              <w:rPr>
                <w:i/>
                <w:sz w:val="20"/>
              </w:rPr>
              <w:t>i </w:t>
            </w:r>
            <w:r>
              <w:rPr>
                <w:sz w:val="20"/>
              </w:rPr>
              <w:t>‘nin </w:t>
            </w:r>
            <w:r>
              <w:rPr>
                <w:i/>
                <w:sz w:val="20"/>
              </w:rPr>
              <w:t>t </w:t>
            </w:r>
            <w:r>
              <w:rPr>
                <w:sz w:val="20"/>
              </w:rPr>
              <w:t>haftasındaki satış sıralamasının doğal logaritması</w:t>
            </w:r>
          </w:p>
        </w:tc>
      </w:tr>
      <w:tr>
        <w:trPr>
          <w:trHeight w:val="265" w:hRule="atLeast"/>
        </w:trPr>
        <w:tc>
          <w:tcPr>
            <w:tcW w:w="1912" w:type="dxa"/>
          </w:tcPr>
          <w:p>
            <w:pPr>
              <w:pStyle w:val="TableParagraph"/>
              <w:spacing w:before="13"/>
              <w:ind w:left="116"/>
              <w:rPr>
                <w:b/>
                <w:sz w:val="20"/>
              </w:rPr>
            </w:pPr>
            <w:r>
              <w:rPr>
                <w:b/>
                <w:position w:val="1"/>
                <w:sz w:val="20"/>
              </w:rPr>
              <w:t>ln(Fiyat</w:t>
            </w:r>
            <w:r>
              <w:rPr>
                <w:b/>
                <w:i/>
                <w:sz w:val="13"/>
              </w:rPr>
              <w:t>it</w:t>
            </w:r>
            <w:r>
              <w:rPr>
                <w:b/>
                <w:position w:val="1"/>
                <w:sz w:val="20"/>
              </w:rPr>
              <w:t>)</w:t>
            </w:r>
          </w:p>
        </w:tc>
        <w:tc>
          <w:tcPr>
            <w:tcW w:w="6936" w:type="dxa"/>
          </w:tcPr>
          <w:p>
            <w:pPr>
              <w:pStyle w:val="TableParagraph"/>
              <w:spacing w:before="13"/>
              <w:ind w:left="146"/>
              <w:rPr>
                <w:sz w:val="20"/>
              </w:rPr>
            </w:pPr>
            <w:r>
              <w:rPr>
                <w:sz w:val="20"/>
              </w:rPr>
              <w:t>Ürün </w:t>
            </w:r>
            <w:r>
              <w:rPr>
                <w:i/>
                <w:sz w:val="20"/>
              </w:rPr>
              <w:t>i </w:t>
            </w:r>
            <w:r>
              <w:rPr>
                <w:sz w:val="20"/>
              </w:rPr>
              <w:t>‘nin </w:t>
            </w:r>
            <w:r>
              <w:rPr>
                <w:i/>
                <w:sz w:val="20"/>
              </w:rPr>
              <w:t>t </w:t>
            </w:r>
            <w:r>
              <w:rPr>
                <w:sz w:val="20"/>
              </w:rPr>
              <w:t>haftasındaki satış fiyatının doğal logaritması</w:t>
            </w:r>
          </w:p>
        </w:tc>
      </w:tr>
      <w:tr>
        <w:trPr>
          <w:trHeight w:val="263" w:hRule="atLeast"/>
        </w:trPr>
        <w:tc>
          <w:tcPr>
            <w:tcW w:w="1912" w:type="dxa"/>
          </w:tcPr>
          <w:p>
            <w:pPr>
              <w:pStyle w:val="TableParagraph"/>
              <w:spacing w:before="12"/>
              <w:ind w:left="116"/>
              <w:rPr>
                <w:b/>
                <w:i/>
                <w:sz w:val="13"/>
              </w:rPr>
            </w:pPr>
            <w:r>
              <w:rPr>
                <w:b/>
                <w:position w:val="1"/>
                <w:sz w:val="20"/>
              </w:rPr>
              <w:t>ln(İndirim)</w:t>
            </w:r>
            <w:r>
              <w:rPr>
                <w:b/>
                <w:i/>
                <w:sz w:val="13"/>
              </w:rPr>
              <w:t>it</w:t>
            </w:r>
          </w:p>
        </w:tc>
        <w:tc>
          <w:tcPr>
            <w:tcW w:w="6936" w:type="dxa"/>
          </w:tcPr>
          <w:p>
            <w:pPr>
              <w:pStyle w:val="TableParagraph"/>
              <w:spacing w:before="12"/>
              <w:ind w:left="146"/>
              <w:rPr>
                <w:sz w:val="20"/>
              </w:rPr>
            </w:pPr>
            <w:r>
              <w:rPr>
                <w:sz w:val="20"/>
              </w:rPr>
              <w:t>Ürün </w:t>
            </w:r>
            <w:r>
              <w:rPr>
                <w:i/>
                <w:sz w:val="20"/>
              </w:rPr>
              <w:t>i </w:t>
            </w:r>
            <w:r>
              <w:rPr>
                <w:sz w:val="20"/>
              </w:rPr>
              <w:t>için </w:t>
            </w:r>
            <w:r>
              <w:rPr>
                <w:i/>
                <w:sz w:val="20"/>
              </w:rPr>
              <w:t>t </w:t>
            </w:r>
            <w:r>
              <w:rPr>
                <w:sz w:val="20"/>
              </w:rPr>
              <w:t>haftasında yapılan fiyat indirim oranının doğal logaritması</w:t>
            </w:r>
          </w:p>
        </w:tc>
      </w:tr>
      <w:tr>
        <w:trPr>
          <w:trHeight w:val="264" w:hRule="atLeast"/>
        </w:trPr>
        <w:tc>
          <w:tcPr>
            <w:tcW w:w="1912" w:type="dxa"/>
          </w:tcPr>
          <w:p>
            <w:pPr>
              <w:pStyle w:val="TableParagraph"/>
              <w:spacing w:before="12"/>
              <w:ind w:left="116"/>
              <w:rPr>
                <w:b/>
                <w:sz w:val="20"/>
              </w:rPr>
            </w:pPr>
            <w:r>
              <w:rPr>
                <w:b/>
                <w:position w:val="1"/>
                <w:sz w:val="20"/>
              </w:rPr>
              <w:t>ln(ToplamYorum</w:t>
            </w:r>
            <w:r>
              <w:rPr>
                <w:b/>
                <w:i/>
                <w:sz w:val="13"/>
              </w:rPr>
              <w:t>it</w:t>
            </w:r>
            <w:r>
              <w:rPr>
                <w:b/>
                <w:position w:val="1"/>
                <w:sz w:val="20"/>
              </w:rPr>
              <w:t>)</w:t>
            </w:r>
          </w:p>
        </w:tc>
        <w:tc>
          <w:tcPr>
            <w:tcW w:w="6936" w:type="dxa"/>
          </w:tcPr>
          <w:p>
            <w:pPr>
              <w:pStyle w:val="TableParagraph"/>
              <w:spacing w:before="12"/>
              <w:ind w:left="146"/>
              <w:rPr>
                <w:sz w:val="20"/>
              </w:rPr>
            </w:pPr>
            <w:r>
              <w:rPr>
                <w:sz w:val="20"/>
              </w:rPr>
              <w:t>Ürün </w:t>
            </w:r>
            <w:r>
              <w:rPr>
                <w:i/>
                <w:sz w:val="20"/>
              </w:rPr>
              <w:t>i </w:t>
            </w:r>
            <w:r>
              <w:rPr>
                <w:sz w:val="20"/>
              </w:rPr>
              <w:t>‘nin </w:t>
            </w:r>
            <w:r>
              <w:rPr>
                <w:i/>
                <w:sz w:val="20"/>
              </w:rPr>
              <w:t>t </w:t>
            </w:r>
            <w:r>
              <w:rPr>
                <w:sz w:val="20"/>
              </w:rPr>
              <w:t>haftasına kadarki toplam yorum sayısının doğal logaritması</w:t>
            </w:r>
          </w:p>
        </w:tc>
      </w:tr>
      <w:tr>
        <w:trPr>
          <w:trHeight w:val="264" w:hRule="atLeast"/>
        </w:trPr>
        <w:tc>
          <w:tcPr>
            <w:tcW w:w="1912" w:type="dxa"/>
          </w:tcPr>
          <w:p>
            <w:pPr>
              <w:pStyle w:val="TableParagraph"/>
              <w:spacing w:before="12"/>
              <w:ind w:left="116"/>
              <w:rPr>
                <w:b/>
                <w:sz w:val="20"/>
              </w:rPr>
            </w:pPr>
            <w:r>
              <w:rPr>
                <w:b/>
                <w:position w:val="1"/>
                <w:sz w:val="20"/>
              </w:rPr>
              <w:t>ln(Ort.Puan</w:t>
            </w:r>
            <w:r>
              <w:rPr>
                <w:b/>
                <w:i/>
                <w:sz w:val="13"/>
              </w:rPr>
              <w:t>it</w:t>
            </w:r>
            <w:r>
              <w:rPr>
                <w:b/>
                <w:position w:val="1"/>
                <w:sz w:val="20"/>
              </w:rPr>
              <w:t>)</w:t>
            </w:r>
          </w:p>
        </w:tc>
        <w:tc>
          <w:tcPr>
            <w:tcW w:w="6936" w:type="dxa"/>
          </w:tcPr>
          <w:p>
            <w:pPr>
              <w:pStyle w:val="TableParagraph"/>
              <w:spacing w:before="12"/>
              <w:ind w:left="146"/>
              <w:rPr>
                <w:sz w:val="20"/>
              </w:rPr>
            </w:pPr>
            <w:r>
              <w:rPr>
                <w:sz w:val="20"/>
              </w:rPr>
              <w:t>Ürün </w:t>
            </w:r>
            <w:r>
              <w:rPr>
                <w:i/>
                <w:sz w:val="20"/>
              </w:rPr>
              <w:t>i </w:t>
            </w:r>
            <w:r>
              <w:rPr>
                <w:sz w:val="20"/>
              </w:rPr>
              <w:t>için </w:t>
            </w:r>
            <w:r>
              <w:rPr>
                <w:i/>
                <w:sz w:val="20"/>
              </w:rPr>
              <w:t>t </w:t>
            </w:r>
            <w:r>
              <w:rPr>
                <w:sz w:val="20"/>
              </w:rPr>
              <w:t>haftasındaki ortalama değerlendirme puanın doğal logaritması</w:t>
            </w:r>
          </w:p>
        </w:tc>
      </w:tr>
      <w:tr>
        <w:trPr>
          <w:trHeight w:val="530" w:hRule="atLeast"/>
        </w:trPr>
        <w:tc>
          <w:tcPr>
            <w:tcW w:w="1912" w:type="dxa"/>
          </w:tcPr>
          <w:p>
            <w:pPr>
              <w:pStyle w:val="TableParagraph"/>
              <w:spacing w:before="12"/>
              <w:ind w:left="116"/>
              <w:rPr>
                <w:b/>
                <w:sz w:val="20"/>
              </w:rPr>
            </w:pPr>
            <w:r>
              <w:rPr>
                <w:b/>
                <w:position w:val="1"/>
                <w:sz w:val="20"/>
              </w:rPr>
              <w:t>ln(Olumsuz</w:t>
            </w:r>
            <w:r>
              <w:rPr>
                <w:b/>
                <w:i/>
                <w:sz w:val="13"/>
              </w:rPr>
              <w:t>it</w:t>
            </w:r>
            <w:r>
              <w:rPr>
                <w:b/>
                <w:position w:val="1"/>
                <w:sz w:val="20"/>
              </w:rPr>
              <w:t>)</w:t>
            </w:r>
          </w:p>
        </w:tc>
        <w:tc>
          <w:tcPr>
            <w:tcW w:w="6936" w:type="dxa"/>
          </w:tcPr>
          <w:p>
            <w:pPr>
              <w:pStyle w:val="TableParagraph"/>
              <w:spacing w:before="12"/>
              <w:ind w:left="146"/>
              <w:rPr>
                <w:sz w:val="20"/>
              </w:rPr>
            </w:pPr>
            <w:r>
              <w:rPr>
                <w:sz w:val="20"/>
              </w:rPr>
              <w:t>Ürün </w:t>
            </w:r>
            <w:r>
              <w:rPr>
                <w:i/>
                <w:sz w:val="20"/>
              </w:rPr>
              <w:t>i </w:t>
            </w:r>
            <w:r>
              <w:rPr>
                <w:sz w:val="20"/>
              </w:rPr>
              <w:t>‘nin </w:t>
            </w:r>
            <w:r>
              <w:rPr>
                <w:i/>
                <w:sz w:val="20"/>
              </w:rPr>
              <w:t>t </w:t>
            </w:r>
            <w:r>
              <w:rPr>
                <w:sz w:val="20"/>
              </w:rPr>
              <w:t>haftasına kadarki bir ve iki yıldız değerlendirmelerinin toplam</w:t>
            </w:r>
          </w:p>
          <w:p>
            <w:pPr>
              <w:pStyle w:val="TableParagraph"/>
              <w:spacing w:before="37"/>
              <w:ind w:left="146"/>
              <w:rPr>
                <w:sz w:val="20"/>
              </w:rPr>
            </w:pPr>
            <w:r>
              <w:rPr>
                <w:sz w:val="20"/>
              </w:rPr>
              <w:t>sayısının doğal logaritması</w:t>
            </w:r>
          </w:p>
        </w:tc>
      </w:tr>
      <w:tr>
        <w:trPr>
          <w:trHeight w:val="264" w:hRule="atLeast"/>
        </w:trPr>
        <w:tc>
          <w:tcPr>
            <w:tcW w:w="1912" w:type="dxa"/>
          </w:tcPr>
          <w:p>
            <w:pPr>
              <w:pStyle w:val="TableParagraph"/>
              <w:spacing w:before="12"/>
              <w:ind w:left="116"/>
              <w:rPr>
                <w:b/>
                <w:sz w:val="20"/>
              </w:rPr>
            </w:pPr>
            <w:r>
              <w:rPr>
                <w:b/>
                <w:position w:val="1"/>
                <w:sz w:val="20"/>
              </w:rPr>
              <w:t>ln(Nötr</w:t>
            </w:r>
            <w:r>
              <w:rPr>
                <w:b/>
                <w:i/>
                <w:sz w:val="13"/>
              </w:rPr>
              <w:t>it</w:t>
            </w:r>
            <w:r>
              <w:rPr>
                <w:b/>
                <w:position w:val="1"/>
                <w:sz w:val="20"/>
              </w:rPr>
              <w:t>)</w:t>
            </w:r>
          </w:p>
        </w:tc>
        <w:tc>
          <w:tcPr>
            <w:tcW w:w="6936" w:type="dxa"/>
          </w:tcPr>
          <w:p>
            <w:pPr>
              <w:pStyle w:val="TableParagraph"/>
              <w:spacing w:before="12"/>
              <w:ind w:left="146"/>
              <w:rPr>
                <w:sz w:val="20"/>
              </w:rPr>
            </w:pPr>
            <w:r>
              <w:rPr>
                <w:sz w:val="20"/>
              </w:rPr>
              <w:t>Ürün </w:t>
            </w:r>
            <w:r>
              <w:rPr>
                <w:i/>
                <w:sz w:val="20"/>
              </w:rPr>
              <w:t>i </w:t>
            </w:r>
            <w:r>
              <w:rPr>
                <w:sz w:val="20"/>
              </w:rPr>
              <w:t>‘nin </w:t>
            </w:r>
            <w:r>
              <w:rPr>
                <w:i/>
                <w:sz w:val="20"/>
              </w:rPr>
              <w:t>t </w:t>
            </w:r>
            <w:r>
              <w:rPr>
                <w:sz w:val="20"/>
              </w:rPr>
              <w:t>haftasına kadarki üç yıldız değerlendirme sayısının doğal logaritması</w:t>
            </w:r>
          </w:p>
        </w:tc>
      </w:tr>
      <w:tr>
        <w:trPr>
          <w:trHeight w:val="528" w:hRule="atLeast"/>
        </w:trPr>
        <w:tc>
          <w:tcPr>
            <w:tcW w:w="1912" w:type="dxa"/>
          </w:tcPr>
          <w:p>
            <w:pPr>
              <w:pStyle w:val="TableParagraph"/>
              <w:spacing w:before="12"/>
              <w:ind w:left="116"/>
              <w:rPr>
                <w:b/>
                <w:sz w:val="20"/>
              </w:rPr>
            </w:pPr>
            <w:r>
              <w:rPr>
                <w:b/>
                <w:position w:val="1"/>
                <w:sz w:val="20"/>
              </w:rPr>
              <w:t>ln(Olumlu</w:t>
            </w:r>
            <w:r>
              <w:rPr>
                <w:b/>
                <w:i/>
                <w:sz w:val="13"/>
              </w:rPr>
              <w:t>it</w:t>
            </w:r>
            <w:r>
              <w:rPr>
                <w:b/>
                <w:position w:val="1"/>
                <w:sz w:val="20"/>
              </w:rPr>
              <w:t>)</w:t>
            </w:r>
          </w:p>
        </w:tc>
        <w:tc>
          <w:tcPr>
            <w:tcW w:w="6936" w:type="dxa"/>
          </w:tcPr>
          <w:p>
            <w:pPr>
              <w:pStyle w:val="TableParagraph"/>
              <w:spacing w:before="12"/>
              <w:ind w:left="146"/>
              <w:rPr>
                <w:sz w:val="20"/>
              </w:rPr>
            </w:pPr>
            <w:r>
              <w:rPr>
                <w:sz w:val="20"/>
              </w:rPr>
              <w:t>Ürün </w:t>
            </w:r>
            <w:r>
              <w:rPr>
                <w:i/>
                <w:sz w:val="20"/>
              </w:rPr>
              <w:t>i </w:t>
            </w:r>
            <w:r>
              <w:rPr>
                <w:sz w:val="20"/>
              </w:rPr>
              <w:t>‘nin </w:t>
            </w:r>
            <w:r>
              <w:rPr>
                <w:i/>
                <w:sz w:val="20"/>
              </w:rPr>
              <w:t>t </w:t>
            </w:r>
            <w:r>
              <w:rPr>
                <w:sz w:val="20"/>
              </w:rPr>
              <w:t>haftasına kadarki dört ve beş yıldız değerlendirmelerinin toplam</w:t>
            </w:r>
          </w:p>
          <w:p>
            <w:pPr>
              <w:pStyle w:val="TableParagraph"/>
              <w:spacing w:before="35"/>
              <w:ind w:left="146"/>
              <w:rPr>
                <w:sz w:val="20"/>
              </w:rPr>
            </w:pPr>
            <w:r>
              <w:rPr>
                <w:sz w:val="20"/>
              </w:rPr>
              <w:t>sayısının doğal logaritması</w:t>
            </w:r>
          </w:p>
        </w:tc>
      </w:tr>
      <w:tr>
        <w:trPr>
          <w:trHeight w:val="265" w:hRule="atLeast"/>
        </w:trPr>
        <w:tc>
          <w:tcPr>
            <w:tcW w:w="1912" w:type="dxa"/>
          </w:tcPr>
          <w:p>
            <w:pPr>
              <w:pStyle w:val="TableParagraph"/>
              <w:spacing w:before="12"/>
              <w:ind w:left="116"/>
              <w:rPr>
                <w:b/>
                <w:sz w:val="13"/>
              </w:rPr>
            </w:pPr>
            <w:r>
              <w:rPr>
                <w:b/>
                <w:position w:val="1"/>
                <w:sz w:val="20"/>
              </w:rPr>
              <w:t>Kategori</w:t>
            </w:r>
            <w:r>
              <w:rPr>
                <w:b/>
                <w:sz w:val="13"/>
              </w:rPr>
              <w:t>j</w:t>
            </w:r>
          </w:p>
        </w:tc>
        <w:tc>
          <w:tcPr>
            <w:tcW w:w="6936" w:type="dxa"/>
          </w:tcPr>
          <w:p>
            <w:pPr>
              <w:pStyle w:val="TableParagraph"/>
              <w:spacing w:before="12"/>
              <w:ind w:left="146"/>
              <w:rPr>
                <w:sz w:val="20"/>
              </w:rPr>
            </w:pPr>
            <w:r>
              <w:rPr>
                <w:sz w:val="20"/>
              </w:rPr>
              <w:t>Ürün kategorisi kukla değişkeni</w:t>
            </w:r>
          </w:p>
        </w:tc>
      </w:tr>
      <w:tr>
        <w:trPr>
          <w:trHeight w:val="265" w:hRule="atLeast"/>
        </w:trPr>
        <w:tc>
          <w:tcPr>
            <w:tcW w:w="1912" w:type="dxa"/>
          </w:tcPr>
          <w:p>
            <w:pPr>
              <w:pStyle w:val="TableParagraph"/>
              <w:spacing w:before="13"/>
              <w:ind w:left="116"/>
              <w:rPr>
                <w:b/>
                <w:i/>
                <w:sz w:val="13"/>
              </w:rPr>
            </w:pPr>
            <w:r>
              <w:rPr>
                <w:b/>
                <w:position w:val="1"/>
                <w:sz w:val="20"/>
              </w:rPr>
              <w:t>Mobilya</w:t>
            </w:r>
            <w:r>
              <w:rPr>
                <w:b/>
                <w:i/>
                <w:sz w:val="13"/>
              </w:rPr>
              <w:t>i</w:t>
            </w:r>
          </w:p>
        </w:tc>
        <w:tc>
          <w:tcPr>
            <w:tcW w:w="6936" w:type="dxa"/>
          </w:tcPr>
          <w:p>
            <w:pPr>
              <w:pStyle w:val="TableParagraph"/>
              <w:spacing w:before="13"/>
              <w:ind w:left="146"/>
              <w:rPr>
                <w:sz w:val="20"/>
              </w:rPr>
            </w:pPr>
            <w:r>
              <w:rPr>
                <w:sz w:val="20"/>
              </w:rPr>
              <w:t>Kukla değişken (Ürün </w:t>
            </w:r>
            <w:r>
              <w:rPr>
                <w:i/>
                <w:sz w:val="20"/>
              </w:rPr>
              <w:t>i </w:t>
            </w:r>
            <w:r>
              <w:rPr>
                <w:sz w:val="20"/>
              </w:rPr>
              <w:t>bir mobilya ise 1, değilse 0)</w:t>
            </w:r>
          </w:p>
        </w:tc>
      </w:tr>
      <w:tr>
        <w:trPr>
          <w:trHeight w:val="264" w:hRule="atLeast"/>
        </w:trPr>
        <w:tc>
          <w:tcPr>
            <w:tcW w:w="1912" w:type="dxa"/>
          </w:tcPr>
          <w:p>
            <w:pPr>
              <w:pStyle w:val="TableParagraph"/>
              <w:spacing w:before="12"/>
              <w:ind w:left="116"/>
              <w:rPr>
                <w:b/>
                <w:i/>
                <w:sz w:val="13"/>
              </w:rPr>
            </w:pPr>
            <w:r>
              <w:rPr>
                <w:b/>
                <w:position w:val="1"/>
                <w:sz w:val="20"/>
              </w:rPr>
              <w:t>TV</w:t>
            </w:r>
            <w:r>
              <w:rPr>
                <w:b/>
                <w:i/>
                <w:sz w:val="13"/>
              </w:rPr>
              <w:t>i</w:t>
            </w:r>
          </w:p>
        </w:tc>
        <w:tc>
          <w:tcPr>
            <w:tcW w:w="6936" w:type="dxa"/>
          </w:tcPr>
          <w:p>
            <w:pPr>
              <w:pStyle w:val="TableParagraph"/>
              <w:spacing w:before="12"/>
              <w:ind w:left="146"/>
              <w:rPr>
                <w:sz w:val="20"/>
              </w:rPr>
            </w:pPr>
            <w:r>
              <w:rPr>
                <w:sz w:val="20"/>
              </w:rPr>
              <w:t>Kukla değişken (Ürün </w:t>
            </w:r>
            <w:r>
              <w:rPr>
                <w:i/>
                <w:sz w:val="20"/>
              </w:rPr>
              <w:t>i </w:t>
            </w:r>
            <w:r>
              <w:rPr>
                <w:sz w:val="20"/>
              </w:rPr>
              <w:t>bir televizyon ise 1, değilse 0)</w:t>
            </w:r>
          </w:p>
        </w:tc>
      </w:tr>
      <w:tr>
        <w:trPr>
          <w:trHeight w:val="263" w:hRule="atLeast"/>
        </w:trPr>
        <w:tc>
          <w:tcPr>
            <w:tcW w:w="1912" w:type="dxa"/>
          </w:tcPr>
          <w:p>
            <w:pPr>
              <w:pStyle w:val="TableParagraph"/>
              <w:spacing w:before="12"/>
              <w:ind w:left="116"/>
              <w:rPr>
                <w:b/>
                <w:i/>
                <w:sz w:val="13"/>
              </w:rPr>
            </w:pPr>
            <w:r>
              <w:rPr>
                <w:b/>
                <w:position w:val="1"/>
                <w:sz w:val="20"/>
              </w:rPr>
              <w:t>Dizüstü</w:t>
            </w:r>
            <w:r>
              <w:rPr>
                <w:b/>
                <w:i/>
                <w:sz w:val="13"/>
              </w:rPr>
              <w:t>i</w:t>
            </w:r>
          </w:p>
        </w:tc>
        <w:tc>
          <w:tcPr>
            <w:tcW w:w="6936" w:type="dxa"/>
          </w:tcPr>
          <w:p>
            <w:pPr>
              <w:pStyle w:val="TableParagraph"/>
              <w:spacing w:before="12"/>
              <w:ind w:left="146"/>
              <w:rPr>
                <w:sz w:val="20"/>
              </w:rPr>
            </w:pPr>
            <w:r>
              <w:rPr>
                <w:sz w:val="20"/>
              </w:rPr>
              <w:t>Kukla değişken (Ürün </w:t>
            </w:r>
            <w:r>
              <w:rPr>
                <w:i/>
                <w:sz w:val="20"/>
              </w:rPr>
              <w:t>i </w:t>
            </w:r>
            <w:r>
              <w:rPr>
                <w:sz w:val="20"/>
              </w:rPr>
              <w:t>bir dizüstü bilgisayar ise 1, değilse 0)</w:t>
            </w:r>
          </w:p>
        </w:tc>
      </w:tr>
      <w:tr>
        <w:trPr>
          <w:trHeight w:val="275" w:hRule="atLeast"/>
        </w:trPr>
        <w:tc>
          <w:tcPr>
            <w:tcW w:w="1912" w:type="dxa"/>
            <w:tcBorders>
              <w:bottom w:val="single" w:sz="4" w:space="0" w:color="000000"/>
            </w:tcBorders>
          </w:tcPr>
          <w:p>
            <w:pPr>
              <w:pStyle w:val="TableParagraph"/>
              <w:spacing w:before="12"/>
              <w:ind w:left="116"/>
              <w:rPr>
                <w:b/>
                <w:i/>
                <w:sz w:val="13"/>
              </w:rPr>
            </w:pPr>
            <w:r>
              <w:rPr>
                <w:b/>
                <w:position w:val="1"/>
                <w:sz w:val="20"/>
              </w:rPr>
              <w:t>Koltuk</w:t>
            </w:r>
            <w:r>
              <w:rPr>
                <w:b/>
                <w:i/>
                <w:sz w:val="13"/>
              </w:rPr>
              <w:t>i</w:t>
            </w:r>
          </w:p>
        </w:tc>
        <w:tc>
          <w:tcPr>
            <w:tcW w:w="6936" w:type="dxa"/>
            <w:tcBorders>
              <w:bottom w:val="single" w:sz="4" w:space="0" w:color="000000"/>
            </w:tcBorders>
          </w:tcPr>
          <w:p>
            <w:pPr>
              <w:pStyle w:val="TableParagraph"/>
              <w:spacing w:before="12"/>
              <w:ind w:left="146"/>
              <w:rPr>
                <w:sz w:val="20"/>
              </w:rPr>
            </w:pPr>
            <w:r>
              <w:rPr>
                <w:sz w:val="20"/>
              </w:rPr>
              <w:t>Kukla değişken (Ürün </w:t>
            </w:r>
            <w:r>
              <w:rPr>
                <w:i/>
                <w:sz w:val="20"/>
              </w:rPr>
              <w:t>i </w:t>
            </w:r>
            <w:r>
              <w:rPr>
                <w:sz w:val="20"/>
              </w:rPr>
              <w:t>bir koltuk ise 1, değilse 0)</w:t>
            </w:r>
          </w:p>
        </w:tc>
      </w:tr>
      <w:tr>
        <w:trPr>
          <w:trHeight w:val="530" w:hRule="atLeast"/>
        </w:trPr>
        <w:tc>
          <w:tcPr>
            <w:tcW w:w="8848" w:type="dxa"/>
            <w:gridSpan w:val="2"/>
            <w:tcBorders>
              <w:top w:val="single" w:sz="4" w:space="0" w:color="000000"/>
              <w:bottom w:val="single" w:sz="4" w:space="0" w:color="000000"/>
            </w:tcBorders>
          </w:tcPr>
          <w:p>
            <w:pPr>
              <w:pStyle w:val="TableParagraph"/>
              <w:spacing w:before="2"/>
              <w:ind w:left="116"/>
              <w:rPr>
                <w:sz w:val="20"/>
              </w:rPr>
            </w:pPr>
            <w:r>
              <w:rPr>
                <w:sz w:val="20"/>
              </w:rPr>
              <w:t>Not: </w:t>
            </w:r>
            <w:r>
              <w:rPr>
                <w:i/>
                <w:sz w:val="20"/>
              </w:rPr>
              <w:t>i </w:t>
            </w:r>
            <w:r>
              <w:rPr>
                <w:sz w:val="20"/>
              </w:rPr>
              <w:t>= 1, 2, … N yatay kesit birimi (ürün)</w:t>
            </w:r>
          </w:p>
          <w:p>
            <w:pPr>
              <w:pStyle w:val="TableParagraph"/>
              <w:spacing w:before="34"/>
              <w:ind w:left="519"/>
              <w:rPr>
                <w:sz w:val="20"/>
              </w:rPr>
            </w:pPr>
            <w:r>
              <w:rPr>
                <w:i/>
                <w:sz w:val="20"/>
              </w:rPr>
              <w:t>t </w:t>
            </w:r>
            <w:r>
              <w:rPr>
                <w:sz w:val="20"/>
              </w:rPr>
              <w:t>= 1, 2, … T zaman serisi boyutu (hafta)</w:t>
            </w:r>
          </w:p>
        </w:tc>
      </w:tr>
    </w:tbl>
    <w:p>
      <w:pPr>
        <w:pStyle w:val="Heading1"/>
        <w:numPr>
          <w:ilvl w:val="3"/>
          <w:numId w:val="2"/>
        </w:numPr>
        <w:tabs>
          <w:tab w:pos="2037" w:val="left" w:leader="none"/>
        </w:tabs>
        <w:spacing w:line="240" w:lineRule="auto" w:before="119" w:after="0"/>
        <w:ind w:left="2036" w:right="0" w:hanging="781"/>
        <w:jc w:val="both"/>
      </w:pPr>
      <w:r>
        <w:rPr/>
        <w:t>Bağımlı</w:t>
      </w:r>
      <w:r>
        <w:rPr>
          <w:spacing w:val="-1"/>
        </w:rPr>
        <w:t> </w:t>
      </w:r>
      <w:r>
        <w:rPr/>
        <w:t>Değişken</w:t>
      </w:r>
    </w:p>
    <w:p>
      <w:pPr>
        <w:pStyle w:val="BodyText"/>
        <w:spacing w:line="360" w:lineRule="auto" w:before="139"/>
        <w:ind w:right="307" w:firstLine="708"/>
      </w:pPr>
      <w:r>
        <w:rPr/>
        <w:t>Amazon.com, ürünlere dair satış rakamları yerine ürünlerin ürün grupları içinde</w:t>
      </w:r>
      <w:r>
        <w:rPr>
          <w:spacing w:val="-41"/>
        </w:rPr>
        <w:t> </w:t>
      </w:r>
      <w:r>
        <w:rPr/>
        <w:t>satış sıralamasını yayınlamaktadır. Chevalier ve Goolsbee (2003) satış sıralamasının logaritması ile satış miktarının logaritması arasında negatif doğrusal bir ilişki olduğunu göstermişlerdir. Dolayısıyla, satış sıralaması yükseldikçe satışların azaldığı literatürde kabul edilmekte ve Amazon.com örneklemleriyle yapılan çalışmalarda satış miktarı yerine satış sıralaması değişken</w:t>
      </w:r>
      <w:r>
        <w:rPr>
          <w:spacing w:val="-8"/>
        </w:rPr>
        <w:t> </w:t>
      </w:r>
      <w:r>
        <w:rPr/>
        <w:t>olarak</w:t>
      </w:r>
      <w:r>
        <w:rPr>
          <w:spacing w:val="-7"/>
        </w:rPr>
        <w:t> </w:t>
      </w:r>
      <w:r>
        <w:rPr/>
        <w:t>kullanılmaktadır</w:t>
      </w:r>
      <w:r>
        <w:rPr>
          <w:spacing w:val="-8"/>
        </w:rPr>
        <w:t> </w:t>
      </w:r>
      <w:r>
        <w:rPr/>
        <w:t>(Örn.</w:t>
      </w:r>
      <w:r>
        <w:rPr>
          <w:spacing w:val="-7"/>
        </w:rPr>
        <w:t> </w:t>
      </w:r>
      <w:r>
        <w:rPr/>
        <w:t>Chevalier</w:t>
      </w:r>
      <w:r>
        <w:rPr>
          <w:spacing w:val="-5"/>
        </w:rPr>
        <w:t> </w:t>
      </w:r>
      <w:r>
        <w:rPr/>
        <w:t>ve</w:t>
      </w:r>
      <w:r>
        <w:rPr>
          <w:spacing w:val="-8"/>
        </w:rPr>
        <w:t> </w:t>
      </w:r>
      <w:r>
        <w:rPr/>
        <w:t>Mayzlin,</w:t>
      </w:r>
      <w:r>
        <w:rPr>
          <w:spacing w:val="-7"/>
        </w:rPr>
        <w:t> </w:t>
      </w:r>
      <w:r>
        <w:rPr/>
        <w:t>2006;</w:t>
      </w:r>
      <w:r>
        <w:rPr>
          <w:spacing w:val="-15"/>
        </w:rPr>
        <w:t> </w:t>
      </w:r>
      <w:r>
        <w:rPr/>
        <w:t>Cui</w:t>
      </w:r>
      <w:r>
        <w:rPr>
          <w:spacing w:val="-7"/>
        </w:rPr>
        <w:t> </w:t>
      </w:r>
      <w:r>
        <w:rPr/>
        <w:t>vd.,</w:t>
      </w:r>
      <w:r>
        <w:rPr>
          <w:spacing w:val="-7"/>
        </w:rPr>
        <w:t> </w:t>
      </w:r>
      <w:r>
        <w:rPr/>
        <w:t>2012;</w:t>
      </w:r>
      <w:r>
        <w:rPr>
          <w:spacing w:val="-7"/>
        </w:rPr>
        <w:t> </w:t>
      </w:r>
      <w:r>
        <w:rPr/>
        <w:t>Kocas</w:t>
      </w:r>
      <w:r>
        <w:rPr>
          <w:spacing w:val="-7"/>
        </w:rPr>
        <w:t> </w:t>
      </w:r>
      <w:r>
        <w:rPr/>
        <w:t>ve Akkan, 2016; Hou vd., 2017; Fink vd., 2018; Bao vd., 2019). Ürün yorumlarının satışlara etkisini irdelemeyi amaçlayan bu çalışmada da, literatürdeki gibi, satış sıralamasının doğal </w:t>
      </w:r>
      <w:r>
        <w:rPr>
          <w:position w:val="2"/>
        </w:rPr>
        <w:t>logaritması (</w:t>
      </w:r>
      <w:r>
        <w:rPr>
          <w:i/>
          <w:position w:val="2"/>
        </w:rPr>
        <w:t>ln(Sıralama</w:t>
      </w:r>
      <w:r>
        <w:rPr>
          <w:i/>
          <w:sz w:val="16"/>
        </w:rPr>
        <w:t>it</w:t>
      </w:r>
      <w:r>
        <w:rPr>
          <w:i/>
          <w:position w:val="2"/>
        </w:rPr>
        <w:t>)</w:t>
      </w:r>
      <w:r>
        <w:rPr>
          <w:position w:val="2"/>
        </w:rPr>
        <w:t>) bağımlı değişken olarak</w:t>
      </w:r>
      <w:r>
        <w:rPr>
          <w:spacing w:val="-3"/>
          <w:position w:val="2"/>
        </w:rPr>
        <w:t> </w:t>
      </w:r>
      <w:r>
        <w:rPr>
          <w:position w:val="2"/>
        </w:rPr>
        <w:t>belirlenmiştir.</w:t>
      </w:r>
    </w:p>
    <w:p>
      <w:pPr>
        <w:pStyle w:val="Heading1"/>
        <w:numPr>
          <w:ilvl w:val="3"/>
          <w:numId w:val="2"/>
        </w:numPr>
        <w:tabs>
          <w:tab w:pos="2037" w:val="left" w:leader="none"/>
        </w:tabs>
        <w:spacing w:line="240" w:lineRule="auto" w:before="158" w:after="0"/>
        <w:ind w:left="2036" w:right="0" w:hanging="781"/>
        <w:jc w:val="both"/>
      </w:pPr>
      <w:r>
        <w:rPr/>
        <w:t>Bağımsız Değişkenler</w:t>
      </w:r>
    </w:p>
    <w:p>
      <w:pPr>
        <w:pStyle w:val="BodyText"/>
        <w:spacing w:line="360" w:lineRule="auto" w:before="137"/>
        <w:ind w:right="312" w:firstLine="708"/>
      </w:pPr>
      <w:r>
        <w:rPr/>
        <w:t>Yorumların hacim ve değerliklerini yansıtan değişkenler araştırmanın bağımsız değişkenlerini oluşturmaktadır. Yorum sayısı, hacim göstergesi olarak alınmış ve toplam </w:t>
      </w:r>
      <w:r>
        <w:rPr>
          <w:position w:val="2"/>
        </w:rPr>
        <w:t>yorum sayısının doğal logaritması (</w:t>
      </w:r>
      <w:r>
        <w:rPr>
          <w:i/>
          <w:position w:val="2"/>
        </w:rPr>
        <w:t>ln(ToplamYorum</w:t>
      </w:r>
      <w:r>
        <w:rPr>
          <w:i/>
          <w:sz w:val="16"/>
        </w:rPr>
        <w:t>it</w:t>
      </w:r>
      <w:r>
        <w:rPr>
          <w:i/>
          <w:position w:val="2"/>
        </w:rPr>
        <w:t>)</w:t>
      </w:r>
      <w:r>
        <w:rPr>
          <w:position w:val="2"/>
        </w:rPr>
        <w:t>) bağımsız değişken olarak modellere </w:t>
      </w:r>
      <w:r>
        <w:rPr/>
        <w:t>dahil edilmiştir. Yorum değerliği için ise birden fazla değişken modellere dahil edilmiştir. Öncelikli olarak, yorum yapanların ürüne verdikleri değerlendirme puanlarının ortalaması</w:t>
      </w:r>
    </w:p>
    <w:p>
      <w:pPr>
        <w:spacing w:after="0" w:line="360" w:lineRule="auto"/>
        <w:sectPr>
          <w:pgSz w:w="12240" w:h="15840"/>
          <w:pgMar w:header="718" w:footer="0" w:top="1300" w:bottom="280" w:left="1720" w:right="820"/>
        </w:sectPr>
      </w:pPr>
    </w:p>
    <w:p>
      <w:pPr>
        <w:pStyle w:val="BodyText"/>
        <w:spacing w:line="360" w:lineRule="auto" w:before="99"/>
        <w:ind w:right="308"/>
      </w:pPr>
      <w:r>
        <w:rPr>
          <w:position w:val="2"/>
        </w:rPr>
        <w:t>değerliğin</w:t>
      </w:r>
      <w:r>
        <w:rPr>
          <w:spacing w:val="-5"/>
          <w:position w:val="2"/>
        </w:rPr>
        <w:t> </w:t>
      </w:r>
      <w:r>
        <w:rPr>
          <w:position w:val="2"/>
        </w:rPr>
        <w:t>bir</w:t>
      </w:r>
      <w:r>
        <w:rPr>
          <w:spacing w:val="-5"/>
          <w:position w:val="2"/>
        </w:rPr>
        <w:t> </w:t>
      </w:r>
      <w:r>
        <w:rPr>
          <w:position w:val="2"/>
        </w:rPr>
        <w:t>ölçütü</w:t>
      </w:r>
      <w:r>
        <w:rPr>
          <w:spacing w:val="-4"/>
          <w:position w:val="2"/>
        </w:rPr>
        <w:t> </w:t>
      </w:r>
      <w:r>
        <w:rPr>
          <w:position w:val="2"/>
        </w:rPr>
        <w:t>olarak</w:t>
      </w:r>
      <w:r>
        <w:rPr>
          <w:spacing w:val="-5"/>
          <w:position w:val="2"/>
        </w:rPr>
        <w:t> </w:t>
      </w:r>
      <w:r>
        <w:rPr>
          <w:position w:val="2"/>
        </w:rPr>
        <w:t>alınmış</w:t>
      </w:r>
      <w:r>
        <w:rPr>
          <w:spacing w:val="-4"/>
          <w:position w:val="2"/>
        </w:rPr>
        <w:t> </w:t>
      </w:r>
      <w:r>
        <w:rPr>
          <w:position w:val="2"/>
        </w:rPr>
        <w:t>ve</w:t>
      </w:r>
      <w:r>
        <w:rPr>
          <w:spacing w:val="-6"/>
          <w:position w:val="2"/>
        </w:rPr>
        <w:t> </w:t>
      </w:r>
      <w:r>
        <w:rPr>
          <w:position w:val="2"/>
        </w:rPr>
        <w:t>bu</w:t>
      </w:r>
      <w:r>
        <w:rPr>
          <w:spacing w:val="-4"/>
          <w:position w:val="2"/>
        </w:rPr>
        <w:t> </w:t>
      </w:r>
      <w:r>
        <w:rPr>
          <w:position w:val="2"/>
        </w:rPr>
        <w:t>ortalama</w:t>
      </w:r>
      <w:r>
        <w:rPr>
          <w:spacing w:val="-6"/>
          <w:position w:val="2"/>
        </w:rPr>
        <w:t> </w:t>
      </w:r>
      <w:r>
        <w:rPr>
          <w:position w:val="2"/>
        </w:rPr>
        <w:t>puanın</w:t>
      </w:r>
      <w:r>
        <w:rPr>
          <w:spacing w:val="-3"/>
          <w:position w:val="2"/>
        </w:rPr>
        <w:t> </w:t>
      </w:r>
      <w:r>
        <w:rPr>
          <w:position w:val="2"/>
        </w:rPr>
        <w:t>doğal</w:t>
      </w:r>
      <w:r>
        <w:rPr>
          <w:spacing w:val="-4"/>
          <w:position w:val="2"/>
        </w:rPr>
        <w:t> </w:t>
      </w:r>
      <w:r>
        <w:rPr>
          <w:position w:val="2"/>
        </w:rPr>
        <w:t>logaritması</w:t>
      </w:r>
      <w:r>
        <w:rPr>
          <w:spacing w:val="-2"/>
          <w:position w:val="2"/>
        </w:rPr>
        <w:t> </w:t>
      </w:r>
      <w:r>
        <w:rPr>
          <w:position w:val="2"/>
        </w:rPr>
        <w:t>(</w:t>
      </w:r>
      <w:r>
        <w:rPr>
          <w:i/>
          <w:position w:val="2"/>
        </w:rPr>
        <w:t>ln(Ort.Puan</w:t>
      </w:r>
      <w:r>
        <w:rPr>
          <w:i/>
          <w:sz w:val="16"/>
        </w:rPr>
        <w:t>it</w:t>
      </w:r>
      <w:r>
        <w:rPr>
          <w:i/>
          <w:position w:val="2"/>
        </w:rPr>
        <w:t>)</w:t>
      </w:r>
      <w:r>
        <w:rPr>
          <w:position w:val="2"/>
        </w:rPr>
        <w:t>) </w:t>
      </w:r>
      <w:r>
        <w:rPr/>
        <w:t>bağımsız değişken olarak modellere dahil edilmiştir. Ayrıca, her bir yıldız için ayrı bir değişken oluşturmak yerine, literatürde de kullanılan, olumlu, olumsuz ve nötr olarak yıldızları kategorileştirme işlemi yapılmıştır (örn. Pan ve Zhang, 2011; Ahmad ve Laroche, 2017). 1 ve 2 yıldız yüzdeleri toplanarak olumsuz yorum kategorisi oluşturulmuştur.</w:t>
      </w:r>
      <w:r>
        <w:rPr>
          <w:spacing w:val="-15"/>
        </w:rPr>
        <w:t> </w:t>
      </w:r>
      <w:r>
        <w:rPr/>
        <w:t>Benzer şekilde, 4 ve 5 yıldız yüzdeleri toplanarak da olumlu yorum kategorisi oluşturulmuştur. Son olarak,</w:t>
      </w:r>
      <w:r>
        <w:rPr>
          <w:spacing w:val="-14"/>
        </w:rPr>
        <w:t> </w:t>
      </w:r>
      <w:r>
        <w:rPr/>
        <w:t>3</w:t>
      </w:r>
      <w:r>
        <w:rPr>
          <w:spacing w:val="-13"/>
        </w:rPr>
        <w:t> </w:t>
      </w:r>
      <w:r>
        <w:rPr/>
        <w:t>yıldız</w:t>
      </w:r>
      <w:r>
        <w:rPr>
          <w:spacing w:val="-15"/>
        </w:rPr>
        <w:t> </w:t>
      </w:r>
      <w:r>
        <w:rPr/>
        <w:t>yüzdesi</w:t>
      </w:r>
      <w:r>
        <w:rPr>
          <w:spacing w:val="-13"/>
        </w:rPr>
        <w:t> </w:t>
      </w:r>
      <w:r>
        <w:rPr/>
        <w:t>nötr</w:t>
      </w:r>
      <w:r>
        <w:rPr>
          <w:spacing w:val="-15"/>
        </w:rPr>
        <w:t> </w:t>
      </w:r>
      <w:r>
        <w:rPr/>
        <w:t>yorum</w:t>
      </w:r>
      <w:r>
        <w:rPr>
          <w:spacing w:val="-12"/>
        </w:rPr>
        <w:t> </w:t>
      </w:r>
      <w:r>
        <w:rPr/>
        <w:t>kategorisi</w:t>
      </w:r>
      <w:r>
        <w:rPr>
          <w:spacing w:val="-13"/>
        </w:rPr>
        <w:t> </w:t>
      </w:r>
      <w:r>
        <w:rPr/>
        <w:t>olarak</w:t>
      </w:r>
      <w:r>
        <w:rPr>
          <w:spacing w:val="-13"/>
        </w:rPr>
        <w:t> </w:t>
      </w:r>
      <w:r>
        <w:rPr/>
        <w:t>adlandırılmıştır.</w:t>
      </w:r>
      <w:r>
        <w:rPr>
          <w:spacing w:val="-14"/>
        </w:rPr>
        <w:t> </w:t>
      </w:r>
      <w:r>
        <w:rPr/>
        <w:t>Ancak,</w:t>
      </w:r>
      <w:r>
        <w:rPr>
          <w:spacing w:val="-13"/>
        </w:rPr>
        <w:t> </w:t>
      </w:r>
      <w:r>
        <w:rPr/>
        <w:t>bu</w:t>
      </w:r>
      <w:r>
        <w:rPr>
          <w:spacing w:val="-14"/>
        </w:rPr>
        <w:t> </w:t>
      </w:r>
      <w:r>
        <w:rPr/>
        <w:t>kategorilerin bu şekilde modellere dahil edilmesi neticesinde çoklu doğrusallık (multicollinearity) sorunu ortaya çıkacaktır. Çünkü üç kategorideki verilerin toplamı daima sabittir. Bu nedenle, bu </w:t>
      </w:r>
      <w:r>
        <w:rPr>
          <w:position w:val="2"/>
        </w:rPr>
        <w:t>kategorilerdeki veriler yorum sayısı ile çarpılarak oran yerine miktar yansıtan </w:t>
      </w:r>
      <w:r>
        <w:rPr>
          <w:i/>
          <w:position w:val="2"/>
        </w:rPr>
        <w:t>Olumsuz</w:t>
      </w:r>
      <w:r>
        <w:rPr>
          <w:i/>
          <w:sz w:val="16"/>
        </w:rPr>
        <w:t>it</w:t>
      </w:r>
      <w:r>
        <w:rPr>
          <w:position w:val="2"/>
        </w:rPr>
        <w:t>, </w:t>
      </w:r>
      <w:r>
        <w:rPr>
          <w:i/>
          <w:position w:val="2"/>
        </w:rPr>
        <w:t>Olumlu</w:t>
      </w:r>
      <w:r>
        <w:rPr>
          <w:i/>
          <w:sz w:val="16"/>
        </w:rPr>
        <w:t>it </w:t>
      </w:r>
      <w:r>
        <w:rPr>
          <w:position w:val="2"/>
        </w:rPr>
        <w:t>ve </w:t>
      </w:r>
      <w:r>
        <w:rPr>
          <w:i/>
          <w:position w:val="2"/>
        </w:rPr>
        <w:t>Nötr</w:t>
      </w:r>
      <w:r>
        <w:rPr>
          <w:i/>
          <w:sz w:val="16"/>
        </w:rPr>
        <w:t>it </w:t>
      </w:r>
      <w:r>
        <w:rPr>
          <w:position w:val="2"/>
        </w:rPr>
        <w:t>değişkenleri oluşturulmuş ve modellere dahil</w:t>
      </w:r>
      <w:r>
        <w:rPr>
          <w:spacing w:val="35"/>
          <w:position w:val="2"/>
        </w:rPr>
        <w:t> </w:t>
      </w:r>
      <w:r>
        <w:rPr>
          <w:position w:val="2"/>
        </w:rPr>
        <w:t>edilmiştir.</w:t>
      </w:r>
    </w:p>
    <w:p>
      <w:pPr>
        <w:pStyle w:val="Heading1"/>
        <w:numPr>
          <w:ilvl w:val="3"/>
          <w:numId w:val="2"/>
        </w:numPr>
        <w:tabs>
          <w:tab w:pos="2037" w:val="left" w:leader="none"/>
        </w:tabs>
        <w:spacing w:line="240" w:lineRule="auto" w:before="154" w:after="0"/>
        <w:ind w:left="2036" w:right="0" w:hanging="781"/>
        <w:jc w:val="both"/>
      </w:pPr>
      <w:r>
        <w:rPr/>
        <w:t>Kukla</w:t>
      </w:r>
      <w:r>
        <w:rPr>
          <w:spacing w:val="-1"/>
        </w:rPr>
        <w:t> </w:t>
      </w:r>
      <w:r>
        <w:rPr/>
        <w:t>Değişkenler</w:t>
      </w:r>
    </w:p>
    <w:p>
      <w:pPr>
        <w:pStyle w:val="BodyText"/>
        <w:spacing w:line="360" w:lineRule="auto" w:before="137"/>
        <w:ind w:right="310" w:firstLine="708"/>
      </w:pPr>
      <w:r>
        <w:rPr/>
        <w:t>Yorumların satış üzerine etkisine ürün kategorisinin aracılık edip etmediğini test etmek için her bir ürün kategorisi için kukla değişken oluşturulmuştur (bk. Tablo 7). </w:t>
      </w:r>
      <w:r>
        <w:rPr>
          <w:i/>
          <w:position w:val="2"/>
        </w:rPr>
        <w:t>Kategori</w:t>
      </w:r>
      <w:r>
        <w:rPr>
          <w:i/>
          <w:sz w:val="16"/>
        </w:rPr>
        <w:t>j</w:t>
      </w:r>
      <w:r>
        <w:rPr>
          <w:i/>
          <w:spacing w:val="-8"/>
          <w:sz w:val="16"/>
        </w:rPr>
        <w:t> </w:t>
      </w:r>
      <w:r>
        <w:rPr>
          <w:position w:val="2"/>
        </w:rPr>
        <w:t>değişkeni,</w:t>
      </w:r>
      <w:r>
        <w:rPr>
          <w:spacing w:val="-11"/>
          <w:position w:val="2"/>
        </w:rPr>
        <w:t> </w:t>
      </w:r>
      <w:r>
        <w:rPr>
          <w:position w:val="2"/>
        </w:rPr>
        <w:t>bu</w:t>
      </w:r>
      <w:r>
        <w:rPr>
          <w:spacing w:val="-12"/>
          <w:position w:val="2"/>
        </w:rPr>
        <w:t> </w:t>
      </w:r>
      <w:r>
        <w:rPr>
          <w:position w:val="2"/>
        </w:rPr>
        <w:t>ürün</w:t>
      </w:r>
      <w:r>
        <w:rPr>
          <w:spacing w:val="-11"/>
          <w:position w:val="2"/>
        </w:rPr>
        <w:t> </w:t>
      </w:r>
      <w:r>
        <w:rPr>
          <w:position w:val="2"/>
        </w:rPr>
        <w:t>kategorisi</w:t>
      </w:r>
      <w:r>
        <w:rPr>
          <w:spacing w:val="-11"/>
          <w:position w:val="2"/>
        </w:rPr>
        <w:t> </w:t>
      </w:r>
      <w:r>
        <w:rPr>
          <w:position w:val="2"/>
        </w:rPr>
        <w:t>kukla</w:t>
      </w:r>
      <w:r>
        <w:rPr>
          <w:spacing w:val="-12"/>
          <w:position w:val="2"/>
        </w:rPr>
        <w:t> </w:t>
      </w:r>
      <w:r>
        <w:rPr>
          <w:position w:val="2"/>
        </w:rPr>
        <w:t>değişkenlerinin</w:t>
      </w:r>
      <w:r>
        <w:rPr>
          <w:spacing w:val="-12"/>
          <w:position w:val="2"/>
        </w:rPr>
        <w:t> </w:t>
      </w:r>
      <w:r>
        <w:rPr>
          <w:position w:val="2"/>
        </w:rPr>
        <w:t>genel</w:t>
      </w:r>
      <w:r>
        <w:rPr>
          <w:spacing w:val="-12"/>
          <w:position w:val="2"/>
        </w:rPr>
        <w:t> </w:t>
      </w:r>
      <w:r>
        <w:rPr>
          <w:position w:val="2"/>
        </w:rPr>
        <w:t>ifadesi</w:t>
      </w:r>
      <w:r>
        <w:rPr>
          <w:spacing w:val="-10"/>
          <w:position w:val="2"/>
        </w:rPr>
        <w:t> </w:t>
      </w:r>
      <w:r>
        <w:rPr>
          <w:position w:val="2"/>
        </w:rPr>
        <w:t>olarak</w:t>
      </w:r>
      <w:r>
        <w:rPr>
          <w:spacing w:val="-12"/>
          <w:position w:val="2"/>
        </w:rPr>
        <w:t> </w:t>
      </w:r>
      <w:r>
        <w:rPr>
          <w:position w:val="2"/>
        </w:rPr>
        <w:t>modellerde </w:t>
      </w:r>
      <w:r>
        <w:rPr/>
        <w:t>yer</w:t>
      </w:r>
      <w:r>
        <w:rPr>
          <w:spacing w:val="-1"/>
        </w:rPr>
        <w:t> </w:t>
      </w:r>
      <w:r>
        <w:rPr/>
        <w:t>almaktadır.</w:t>
      </w:r>
    </w:p>
    <w:p>
      <w:pPr>
        <w:pStyle w:val="Heading1"/>
        <w:numPr>
          <w:ilvl w:val="3"/>
          <w:numId w:val="2"/>
        </w:numPr>
        <w:tabs>
          <w:tab w:pos="2037" w:val="left" w:leader="none"/>
        </w:tabs>
        <w:spacing w:line="240" w:lineRule="auto" w:before="158" w:after="0"/>
        <w:ind w:left="2036" w:right="0" w:hanging="781"/>
        <w:jc w:val="both"/>
      </w:pPr>
      <w:r>
        <w:rPr/>
        <w:t>Kontrol Değişkenleri</w:t>
      </w:r>
    </w:p>
    <w:p>
      <w:pPr>
        <w:pStyle w:val="BodyText"/>
        <w:spacing w:line="360" w:lineRule="auto" w:before="137"/>
        <w:ind w:right="309" w:firstLine="708"/>
      </w:pPr>
      <w:r>
        <w:rPr/>
        <w:t>Hacim ve değerlik değişkenleri dışında, hipotez testlerine dahil edilmeyen, ancak tüketicilerin satın alma kararlarında etkili olabilecek kontrol değişkenleri de modellere</w:t>
      </w:r>
      <w:r>
        <w:rPr>
          <w:spacing w:val="-25"/>
        </w:rPr>
        <w:t> </w:t>
      </w:r>
      <w:r>
        <w:rPr/>
        <w:t>dahil edilmiştir. Fiyat değişimlerinin satışlara etkisini kontrol edebilmek için ürün satış fiyatının </w:t>
      </w:r>
      <w:r>
        <w:rPr>
          <w:position w:val="2"/>
        </w:rPr>
        <w:t>doğal logaritması (</w:t>
      </w:r>
      <w:r>
        <w:rPr>
          <w:i/>
          <w:position w:val="2"/>
        </w:rPr>
        <w:t>ln(Fiyat</w:t>
      </w:r>
      <w:r>
        <w:rPr>
          <w:i/>
          <w:sz w:val="16"/>
        </w:rPr>
        <w:t>it</w:t>
      </w:r>
      <w:r>
        <w:rPr>
          <w:i/>
          <w:position w:val="2"/>
        </w:rPr>
        <w:t>)</w:t>
      </w:r>
      <w:r>
        <w:rPr>
          <w:position w:val="2"/>
          <w:sz w:val="20"/>
        </w:rPr>
        <w:t>) </w:t>
      </w:r>
      <w:r>
        <w:rPr>
          <w:position w:val="2"/>
        </w:rPr>
        <w:t>ve dönemsel indirimlerin satışlara etkisini kontrol edebilmek için de indirim oranı (</w:t>
      </w:r>
      <w:r>
        <w:rPr>
          <w:i/>
          <w:position w:val="2"/>
        </w:rPr>
        <w:t>İndirim</w:t>
      </w:r>
      <w:r>
        <w:rPr>
          <w:i/>
          <w:sz w:val="16"/>
        </w:rPr>
        <w:t>it</w:t>
      </w:r>
      <w:r>
        <w:rPr>
          <w:i/>
          <w:position w:val="2"/>
        </w:rPr>
        <w:t>) </w:t>
      </w:r>
      <w:r>
        <w:rPr>
          <w:position w:val="2"/>
        </w:rPr>
        <w:t>kontrol değişkenleri olarak modellere dahil</w:t>
      </w:r>
      <w:r>
        <w:rPr>
          <w:spacing w:val="-5"/>
          <w:position w:val="2"/>
        </w:rPr>
        <w:t> </w:t>
      </w:r>
      <w:r>
        <w:rPr>
          <w:position w:val="2"/>
        </w:rPr>
        <w:t>edilmiştir.</w:t>
      </w:r>
    </w:p>
    <w:p>
      <w:pPr>
        <w:pStyle w:val="Heading1"/>
        <w:numPr>
          <w:ilvl w:val="2"/>
          <w:numId w:val="2"/>
        </w:numPr>
        <w:tabs>
          <w:tab w:pos="1857" w:val="left" w:leader="none"/>
        </w:tabs>
        <w:spacing w:line="240" w:lineRule="auto" w:before="157" w:after="0"/>
        <w:ind w:left="1856" w:right="0" w:hanging="601"/>
        <w:jc w:val="both"/>
      </w:pPr>
      <w:r>
        <w:rPr/>
        <w:t>Genelleştirilmiş Momentler Yöntemi ve Model</w:t>
      </w:r>
      <w:r>
        <w:rPr>
          <w:spacing w:val="-2"/>
        </w:rPr>
        <w:t> </w:t>
      </w:r>
      <w:r>
        <w:rPr/>
        <w:t>Geliştirme</w:t>
      </w:r>
    </w:p>
    <w:p>
      <w:pPr>
        <w:pStyle w:val="ListParagraph"/>
        <w:numPr>
          <w:ilvl w:val="3"/>
          <w:numId w:val="2"/>
        </w:numPr>
        <w:tabs>
          <w:tab w:pos="2037" w:val="left" w:leader="none"/>
        </w:tabs>
        <w:spacing w:line="240" w:lineRule="auto" w:before="137" w:after="0"/>
        <w:ind w:left="2036" w:right="0" w:hanging="781"/>
        <w:jc w:val="both"/>
        <w:rPr>
          <w:b/>
          <w:sz w:val="24"/>
        </w:rPr>
      </w:pPr>
      <w:r>
        <w:rPr>
          <w:b/>
          <w:sz w:val="24"/>
        </w:rPr>
        <w:t>İçsellik Problemi ve Genelleştirilmiş Momentler</w:t>
      </w:r>
      <w:r>
        <w:rPr>
          <w:b/>
          <w:spacing w:val="-3"/>
          <w:sz w:val="24"/>
        </w:rPr>
        <w:t> </w:t>
      </w:r>
      <w:r>
        <w:rPr>
          <w:b/>
          <w:sz w:val="24"/>
        </w:rPr>
        <w:t>Yöntemi</w:t>
      </w:r>
    </w:p>
    <w:p>
      <w:pPr>
        <w:pStyle w:val="BodyText"/>
        <w:spacing w:line="360" w:lineRule="auto" w:before="137"/>
        <w:ind w:right="310" w:firstLine="708"/>
      </w:pPr>
      <w:r>
        <w:rPr/>
        <w:t>Şekil 16’da araştırma hipotezlerine dayanarak oluşturulan bütüncül model çerçevesi görsel olarak sunulmuştur. Şekil 11’den yola çıkarak, araştırmayı doğrusal regresyon modelleri ile gerçekleştirmek uygun görünmektedir. Ancak, değişkenler arası ilişkiler kaynaklı ortaya çıkan içsellik probleminden dolayı, en küçük kareler yöntemiyle tahmin edilen doğrusal regresyon modelleri bu araştırma için uygun değildir.</w:t>
      </w:r>
    </w:p>
    <w:p>
      <w:pPr>
        <w:spacing w:after="0" w:line="360" w:lineRule="auto"/>
        <w:sectPr>
          <w:pgSz w:w="12240" w:h="15840"/>
          <w:pgMar w:header="718" w:footer="0" w:top="1300" w:bottom="280" w:left="1720" w:right="820"/>
        </w:sectPr>
      </w:pPr>
    </w:p>
    <w:p>
      <w:pPr>
        <w:pStyle w:val="BodyText"/>
        <w:spacing w:before="4" w:after="1"/>
        <w:ind w:left="0"/>
        <w:jc w:val="left"/>
        <w:rPr>
          <w:sz w:val="12"/>
        </w:rPr>
      </w:pPr>
    </w:p>
    <w:p>
      <w:pPr>
        <w:pStyle w:val="BodyText"/>
        <w:jc w:val="left"/>
        <w:rPr>
          <w:sz w:val="20"/>
        </w:rPr>
      </w:pPr>
      <w:r>
        <w:rPr>
          <w:sz w:val="20"/>
        </w:rPr>
        <w:drawing>
          <wp:inline distT="0" distB="0" distL="0" distR="0">
            <wp:extent cx="4088508" cy="2497454"/>
            <wp:effectExtent l="0" t="0" r="0" b="0"/>
            <wp:docPr id="17" name="image17.png"/>
            <wp:cNvGraphicFramePr>
              <a:graphicFrameLocks noChangeAspect="1"/>
            </wp:cNvGraphicFramePr>
            <a:graphic>
              <a:graphicData uri="http://schemas.openxmlformats.org/drawingml/2006/picture">
                <pic:pic>
                  <pic:nvPicPr>
                    <pic:cNvPr id="18" name="image17.png"/>
                    <pic:cNvPicPr/>
                  </pic:nvPicPr>
                  <pic:blipFill>
                    <a:blip r:embed="rId25" cstate="print"/>
                    <a:stretch>
                      <a:fillRect/>
                    </a:stretch>
                  </pic:blipFill>
                  <pic:spPr>
                    <a:xfrm>
                      <a:off x="0" y="0"/>
                      <a:ext cx="4088508" cy="2497454"/>
                    </a:xfrm>
                    <a:prstGeom prst="rect">
                      <a:avLst/>
                    </a:prstGeom>
                  </pic:spPr>
                </pic:pic>
              </a:graphicData>
            </a:graphic>
          </wp:inline>
        </w:drawing>
      </w:r>
      <w:r>
        <w:rPr>
          <w:sz w:val="20"/>
        </w:rPr>
      </w:r>
    </w:p>
    <w:p>
      <w:pPr>
        <w:pStyle w:val="BodyText"/>
        <w:spacing w:before="10"/>
        <w:ind w:left="0"/>
        <w:jc w:val="left"/>
        <w:rPr>
          <w:sz w:val="9"/>
        </w:rPr>
      </w:pPr>
    </w:p>
    <w:p>
      <w:pPr>
        <w:spacing w:before="90"/>
        <w:ind w:left="548" w:right="0" w:firstLine="0"/>
        <w:jc w:val="left"/>
        <w:rPr>
          <w:sz w:val="24"/>
        </w:rPr>
      </w:pPr>
      <w:r>
        <w:rPr>
          <w:b/>
          <w:sz w:val="24"/>
        </w:rPr>
        <w:t>Şekil 11: </w:t>
      </w:r>
      <w:r>
        <w:rPr>
          <w:sz w:val="24"/>
        </w:rPr>
        <w:t>Araştırma modelinin bütüncül çerçevesi</w:t>
      </w:r>
    </w:p>
    <w:p>
      <w:pPr>
        <w:pStyle w:val="BodyText"/>
        <w:spacing w:before="1"/>
        <w:ind w:left="0"/>
        <w:jc w:val="left"/>
        <w:rPr>
          <w:sz w:val="26"/>
        </w:rPr>
      </w:pPr>
    </w:p>
    <w:p>
      <w:pPr>
        <w:pStyle w:val="BodyText"/>
        <w:spacing w:line="360" w:lineRule="auto"/>
        <w:ind w:right="308" w:firstLine="708"/>
      </w:pPr>
      <w:r>
        <w:rPr/>
        <w:t>İlk olarak, online yorumlar ve satışlar arasındaki ilişkiyi analiz ederken içsellik problemiyle karşılaşılmaktadır. İçsellik probleminin kaynağı, ağızdan ağıza iletişimin satışların hem nedeni hem de sonucu olmasıdır (Amblee ve Bui, 2011). Yorumların artması satışları artırmakta, satışların artması da yorumları artırmaktadır (Duan vd., 2008a). Satışlar yorumların bir fonksiyonu iken yorumlar da satışların bir fonksiyonudur. Dolayısıyla, satışların bağımlı değişken, yorumların bağımsız değişken olduğu bir regresyon modelinde yorumlar modelin hata terimi ile ilişkili olmaktadır (Zaefarian vd., 2017). Bağımsız değişkenin hata terimiyle ilişkili olması en küçük kareler yönteminin </w:t>
      </w:r>
      <w:r>
        <w:rPr>
          <w:i/>
        </w:rPr>
        <w:t>cov(x,e)=0 </w:t>
      </w:r>
      <w:r>
        <w:rPr/>
        <w:t>varsayımının</w:t>
      </w:r>
      <w:r>
        <w:rPr>
          <w:spacing w:val="-16"/>
        </w:rPr>
        <w:t> </w:t>
      </w:r>
      <w:r>
        <w:rPr/>
        <w:t>ihlali</w:t>
      </w:r>
      <w:r>
        <w:rPr>
          <w:spacing w:val="-14"/>
        </w:rPr>
        <w:t> </w:t>
      </w:r>
      <w:r>
        <w:rPr/>
        <w:t>anlamına</w:t>
      </w:r>
      <w:r>
        <w:rPr>
          <w:spacing w:val="-16"/>
        </w:rPr>
        <w:t> </w:t>
      </w:r>
      <w:r>
        <w:rPr/>
        <w:t>gelmektedir.</w:t>
      </w:r>
      <w:r>
        <w:rPr>
          <w:spacing w:val="-13"/>
        </w:rPr>
        <w:t> </w:t>
      </w:r>
      <w:r>
        <w:rPr/>
        <w:t>Bu</w:t>
      </w:r>
      <w:r>
        <w:rPr>
          <w:spacing w:val="-16"/>
        </w:rPr>
        <w:t> </w:t>
      </w:r>
      <w:r>
        <w:rPr/>
        <w:t>durumda,</w:t>
      </w:r>
      <w:r>
        <w:rPr>
          <w:spacing w:val="-15"/>
        </w:rPr>
        <w:t> </w:t>
      </w:r>
      <w:r>
        <w:rPr/>
        <w:t>en</w:t>
      </w:r>
      <w:r>
        <w:rPr>
          <w:spacing w:val="-14"/>
        </w:rPr>
        <w:t> </w:t>
      </w:r>
      <w:r>
        <w:rPr/>
        <w:t>küçük</w:t>
      </w:r>
      <w:r>
        <w:rPr>
          <w:spacing w:val="-15"/>
        </w:rPr>
        <w:t> </w:t>
      </w:r>
      <w:r>
        <w:rPr/>
        <w:t>kareler</w:t>
      </w:r>
      <w:r>
        <w:rPr>
          <w:spacing w:val="-17"/>
        </w:rPr>
        <w:t> </w:t>
      </w:r>
      <w:r>
        <w:rPr/>
        <w:t>tahmincileri</w:t>
      </w:r>
      <w:r>
        <w:rPr>
          <w:spacing w:val="-15"/>
        </w:rPr>
        <w:t> </w:t>
      </w:r>
      <w:r>
        <w:rPr/>
        <w:t>tutarsız olmaktadır (Hill vd., 2011:403). Böyle bir durumda, araç değişkenler</w:t>
      </w:r>
      <w:r>
        <w:rPr>
          <w:vertAlign w:val="superscript"/>
        </w:rPr>
        <w:t>2</w:t>
      </w:r>
      <w:r>
        <w:rPr>
          <w:vertAlign w:val="baseline"/>
        </w:rPr>
        <w:t> (instrumental variables) teknikleri (iki aşamalı en küçük kareler tahmin yöntemi gibi) en yaygın tahmin yöntemi olarak kullanılmaktadır. Araç değişkenler tekniklerinin arkasındaki ana fikir içsel bağımsız</w:t>
      </w:r>
      <w:r>
        <w:rPr>
          <w:spacing w:val="-10"/>
          <w:vertAlign w:val="baseline"/>
        </w:rPr>
        <w:t> </w:t>
      </w:r>
      <w:r>
        <w:rPr>
          <w:vertAlign w:val="baseline"/>
        </w:rPr>
        <w:t>değişkende</w:t>
      </w:r>
      <w:r>
        <w:rPr>
          <w:spacing w:val="-10"/>
          <w:vertAlign w:val="baseline"/>
        </w:rPr>
        <w:t> </w:t>
      </w:r>
      <w:r>
        <w:rPr>
          <w:vertAlign w:val="baseline"/>
        </w:rPr>
        <w:t>gözlenen</w:t>
      </w:r>
      <w:r>
        <w:rPr>
          <w:spacing w:val="-10"/>
          <w:vertAlign w:val="baseline"/>
        </w:rPr>
        <w:t> </w:t>
      </w:r>
      <w:r>
        <w:rPr>
          <w:vertAlign w:val="baseline"/>
        </w:rPr>
        <w:t>varyasyonun</w:t>
      </w:r>
      <w:r>
        <w:rPr>
          <w:spacing w:val="-6"/>
          <w:vertAlign w:val="baseline"/>
        </w:rPr>
        <w:t> </w:t>
      </w:r>
      <w:r>
        <w:rPr>
          <w:vertAlign w:val="baseline"/>
        </w:rPr>
        <w:t>dışsal</w:t>
      </w:r>
      <w:r>
        <w:rPr>
          <w:spacing w:val="-5"/>
          <w:vertAlign w:val="baseline"/>
        </w:rPr>
        <w:t> </w:t>
      </w:r>
      <w:r>
        <w:rPr>
          <w:vertAlign w:val="baseline"/>
        </w:rPr>
        <w:t>ve</w:t>
      </w:r>
      <w:r>
        <w:rPr>
          <w:spacing w:val="-11"/>
          <w:vertAlign w:val="baseline"/>
        </w:rPr>
        <w:t> </w:t>
      </w:r>
      <w:r>
        <w:rPr>
          <w:vertAlign w:val="baseline"/>
        </w:rPr>
        <w:t>içsel</w:t>
      </w:r>
      <w:r>
        <w:rPr>
          <w:spacing w:val="-8"/>
          <w:vertAlign w:val="baseline"/>
        </w:rPr>
        <w:t> </w:t>
      </w:r>
      <w:r>
        <w:rPr>
          <w:vertAlign w:val="baseline"/>
        </w:rPr>
        <w:t>parçalara</w:t>
      </w:r>
      <w:r>
        <w:rPr>
          <w:spacing w:val="-9"/>
          <w:vertAlign w:val="baseline"/>
        </w:rPr>
        <w:t> </w:t>
      </w:r>
      <w:r>
        <w:rPr>
          <w:vertAlign w:val="baseline"/>
        </w:rPr>
        <w:t>ayrılabilmesidir</w:t>
      </w:r>
      <w:r>
        <w:rPr>
          <w:spacing w:val="-9"/>
          <w:vertAlign w:val="baseline"/>
        </w:rPr>
        <w:t> </w:t>
      </w:r>
      <w:r>
        <w:rPr>
          <w:vertAlign w:val="baseline"/>
        </w:rPr>
        <w:t>(Papies</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14"/>
        </w:rPr>
      </w:pPr>
      <w:r>
        <w:rPr/>
        <w:pict>
          <v:rect style="position:absolute;margin-left:113.419998pt;margin-top:10.344625pt;width:144.020pt;height:.71997pt;mso-position-horizontal-relative:page;mso-position-vertical-relative:paragraph;z-index:-15709184;mso-wrap-distance-left:0;mso-wrap-distance-right:0" filled="true" fillcolor="#000000" stroked="false">
            <v:fill type="solid"/>
            <w10:wrap type="topAndBottom"/>
          </v:rect>
        </w:pict>
      </w:r>
    </w:p>
    <w:p>
      <w:pPr>
        <w:spacing w:before="72"/>
        <w:ind w:left="548" w:right="314" w:firstLine="0"/>
        <w:jc w:val="both"/>
        <w:rPr>
          <w:sz w:val="20"/>
        </w:rPr>
      </w:pPr>
      <w:r>
        <w:rPr>
          <w:sz w:val="20"/>
          <w:vertAlign w:val="superscript"/>
        </w:rPr>
        <w:t>2</w:t>
      </w:r>
      <w:r>
        <w:rPr>
          <w:spacing w:val="-8"/>
          <w:sz w:val="20"/>
          <w:vertAlign w:val="baseline"/>
        </w:rPr>
        <w:t> </w:t>
      </w:r>
      <w:r>
        <w:rPr>
          <w:sz w:val="20"/>
          <w:vertAlign w:val="baseline"/>
        </w:rPr>
        <w:t>Araç</w:t>
      </w:r>
      <w:r>
        <w:rPr>
          <w:spacing w:val="-6"/>
          <w:sz w:val="20"/>
          <w:vertAlign w:val="baseline"/>
        </w:rPr>
        <w:t> </w:t>
      </w:r>
      <w:r>
        <w:rPr>
          <w:sz w:val="20"/>
          <w:vertAlign w:val="baseline"/>
        </w:rPr>
        <w:t>değişken;</w:t>
      </w:r>
      <w:r>
        <w:rPr>
          <w:spacing w:val="-7"/>
          <w:sz w:val="20"/>
          <w:vertAlign w:val="baseline"/>
        </w:rPr>
        <w:t> </w:t>
      </w:r>
      <w:r>
        <w:rPr>
          <w:sz w:val="20"/>
          <w:vertAlign w:val="baseline"/>
        </w:rPr>
        <w:t>içsel</w:t>
      </w:r>
      <w:r>
        <w:rPr>
          <w:spacing w:val="-7"/>
          <w:sz w:val="20"/>
          <w:vertAlign w:val="baseline"/>
        </w:rPr>
        <w:t> </w:t>
      </w:r>
      <w:r>
        <w:rPr>
          <w:sz w:val="20"/>
          <w:vertAlign w:val="baseline"/>
        </w:rPr>
        <w:t>olan</w:t>
      </w:r>
      <w:r>
        <w:rPr>
          <w:spacing w:val="-8"/>
          <w:sz w:val="20"/>
          <w:vertAlign w:val="baseline"/>
        </w:rPr>
        <w:t> </w:t>
      </w:r>
      <w:r>
        <w:rPr>
          <w:sz w:val="20"/>
          <w:vertAlign w:val="baseline"/>
        </w:rPr>
        <w:t>bağımsız</w:t>
      </w:r>
      <w:r>
        <w:rPr>
          <w:spacing w:val="-7"/>
          <w:sz w:val="20"/>
          <w:vertAlign w:val="baseline"/>
        </w:rPr>
        <w:t> </w:t>
      </w:r>
      <w:r>
        <w:rPr>
          <w:sz w:val="20"/>
          <w:vertAlign w:val="baseline"/>
        </w:rPr>
        <w:t>değişkenle</w:t>
      </w:r>
      <w:r>
        <w:rPr>
          <w:spacing w:val="-7"/>
          <w:sz w:val="20"/>
          <w:vertAlign w:val="baseline"/>
        </w:rPr>
        <w:t> </w:t>
      </w:r>
      <w:r>
        <w:rPr>
          <w:sz w:val="20"/>
          <w:vertAlign w:val="baseline"/>
        </w:rPr>
        <w:t>güçlü</w:t>
      </w:r>
      <w:r>
        <w:rPr>
          <w:spacing w:val="-9"/>
          <w:sz w:val="20"/>
          <w:vertAlign w:val="baseline"/>
        </w:rPr>
        <w:t> </w:t>
      </w:r>
      <w:r>
        <w:rPr>
          <w:sz w:val="20"/>
          <w:vertAlign w:val="baseline"/>
        </w:rPr>
        <w:t>bir</w:t>
      </w:r>
      <w:r>
        <w:rPr>
          <w:spacing w:val="-6"/>
          <w:sz w:val="20"/>
          <w:vertAlign w:val="baseline"/>
        </w:rPr>
        <w:t> </w:t>
      </w:r>
      <w:r>
        <w:rPr>
          <w:sz w:val="20"/>
          <w:vertAlign w:val="baseline"/>
        </w:rPr>
        <w:t>ilişkisi</w:t>
      </w:r>
      <w:r>
        <w:rPr>
          <w:spacing w:val="-7"/>
          <w:sz w:val="20"/>
          <w:vertAlign w:val="baseline"/>
        </w:rPr>
        <w:t> </w:t>
      </w:r>
      <w:r>
        <w:rPr>
          <w:sz w:val="20"/>
          <w:vertAlign w:val="baseline"/>
        </w:rPr>
        <w:t>olan,</w:t>
      </w:r>
      <w:r>
        <w:rPr>
          <w:spacing w:val="-6"/>
          <w:sz w:val="20"/>
          <w:vertAlign w:val="baseline"/>
        </w:rPr>
        <w:t> </w:t>
      </w:r>
      <w:r>
        <w:rPr>
          <w:sz w:val="20"/>
          <w:vertAlign w:val="baseline"/>
        </w:rPr>
        <w:t>ancak</w:t>
      </w:r>
      <w:r>
        <w:rPr>
          <w:spacing w:val="-8"/>
          <w:sz w:val="20"/>
          <w:vertAlign w:val="baseline"/>
        </w:rPr>
        <w:t> </w:t>
      </w:r>
      <w:r>
        <w:rPr>
          <w:sz w:val="20"/>
          <w:vertAlign w:val="baseline"/>
        </w:rPr>
        <w:t>bağımlı</w:t>
      </w:r>
      <w:r>
        <w:rPr>
          <w:spacing w:val="-7"/>
          <w:sz w:val="20"/>
          <w:vertAlign w:val="baseline"/>
        </w:rPr>
        <w:t> </w:t>
      </w:r>
      <w:r>
        <w:rPr>
          <w:sz w:val="20"/>
          <w:vertAlign w:val="baseline"/>
        </w:rPr>
        <w:t>değişkene</w:t>
      </w:r>
      <w:r>
        <w:rPr>
          <w:spacing w:val="-6"/>
          <w:sz w:val="20"/>
          <w:vertAlign w:val="baseline"/>
        </w:rPr>
        <w:t> </w:t>
      </w:r>
      <w:r>
        <w:rPr>
          <w:sz w:val="20"/>
          <w:vertAlign w:val="baseline"/>
        </w:rPr>
        <w:t>doğrudan</w:t>
      </w:r>
      <w:r>
        <w:rPr>
          <w:spacing w:val="-6"/>
          <w:sz w:val="20"/>
          <w:vertAlign w:val="baseline"/>
        </w:rPr>
        <w:t> </w:t>
      </w:r>
      <w:r>
        <w:rPr>
          <w:sz w:val="20"/>
          <w:vertAlign w:val="baseline"/>
        </w:rPr>
        <w:t>etkisi bulunmayan</w:t>
      </w:r>
      <w:r>
        <w:rPr>
          <w:spacing w:val="-8"/>
          <w:sz w:val="20"/>
          <w:vertAlign w:val="baseline"/>
        </w:rPr>
        <w:t> </w:t>
      </w:r>
      <w:r>
        <w:rPr>
          <w:sz w:val="20"/>
          <w:vertAlign w:val="baseline"/>
        </w:rPr>
        <w:t>(modelde</w:t>
      </w:r>
      <w:r>
        <w:rPr>
          <w:spacing w:val="-11"/>
          <w:sz w:val="20"/>
          <w:vertAlign w:val="baseline"/>
        </w:rPr>
        <w:t> </w:t>
      </w:r>
      <w:r>
        <w:rPr>
          <w:sz w:val="20"/>
          <w:vertAlign w:val="baseline"/>
        </w:rPr>
        <w:t>yer</w:t>
      </w:r>
      <w:r>
        <w:rPr>
          <w:spacing w:val="-8"/>
          <w:sz w:val="20"/>
          <w:vertAlign w:val="baseline"/>
        </w:rPr>
        <w:t> </w:t>
      </w:r>
      <w:r>
        <w:rPr>
          <w:sz w:val="20"/>
          <w:vertAlign w:val="baseline"/>
        </w:rPr>
        <w:t>almayan)</w:t>
      </w:r>
      <w:r>
        <w:rPr>
          <w:spacing w:val="-9"/>
          <w:sz w:val="20"/>
          <w:vertAlign w:val="baseline"/>
        </w:rPr>
        <w:t> </w:t>
      </w:r>
      <w:r>
        <w:rPr>
          <w:sz w:val="20"/>
          <w:vertAlign w:val="baseline"/>
        </w:rPr>
        <w:t>ve</w:t>
      </w:r>
      <w:r>
        <w:rPr>
          <w:spacing w:val="-11"/>
          <w:sz w:val="20"/>
          <w:vertAlign w:val="baseline"/>
        </w:rPr>
        <w:t> </w:t>
      </w:r>
      <w:r>
        <w:rPr>
          <w:sz w:val="20"/>
          <w:vertAlign w:val="baseline"/>
        </w:rPr>
        <w:t>modelin</w:t>
      </w:r>
      <w:r>
        <w:rPr>
          <w:spacing w:val="-10"/>
          <w:sz w:val="20"/>
          <w:vertAlign w:val="baseline"/>
        </w:rPr>
        <w:t> </w:t>
      </w:r>
      <w:r>
        <w:rPr>
          <w:sz w:val="20"/>
          <w:vertAlign w:val="baseline"/>
        </w:rPr>
        <w:t>hata</w:t>
      </w:r>
      <w:r>
        <w:rPr>
          <w:spacing w:val="-9"/>
          <w:sz w:val="20"/>
          <w:vertAlign w:val="baseline"/>
        </w:rPr>
        <w:t> </w:t>
      </w:r>
      <w:r>
        <w:rPr>
          <w:sz w:val="20"/>
          <w:vertAlign w:val="baseline"/>
        </w:rPr>
        <w:t>terimiyle</w:t>
      </w:r>
      <w:r>
        <w:rPr>
          <w:spacing w:val="-9"/>
          <w:sz w:val="20"/>
          <w:vertAlign w:val="baseline"/>
        </w:rPr>
        <w:t> </w:t>
      </w:r>
      <w:r>
        <w:rPr>
          <w:sz w:val="20"/>
          <w:vertAlign w:val="baseline"/>
        </w:rPr>
        <w:t>ilişkili</w:t>
      </w:r>
      <w:r>
        <w:rPr>
          <w:spacing w:val="-10"/>
          <w:sz w:val="20"/>
          <w:vertAlign w:val="baseline"/>
        </w:rPr>
        <w:t> </w:t>
      </w:r>
      <w:r>
        <w:rPr>
          <w:sz w:val="20"/>
          <w:vertAlign w:val="baseline"/>
        </w:rPr>
        <w:t>olmayan</w:t>
      </w:r>
      <w:r>
        <w:rPr>
          <w:spacing w:val="-8"/>
          <w:sz w:val="20"/>
          <w:vertAlign w:val="baseline"/>
        </w:rPr>
        <w:t> </w:t>
      </w:r>
      <w:r>
        <w:rPr>
          <w:sz w:val="20"/>
          <w:vertAlign w:val="baseline"/>
        </w:rPr>
        <w:t>(dışsal)</w:t>
      </w:r>
      <w:r>
        <w:rPr>
          <w:spacing w:val="-8"/>
          <w:sz w:val="20"/>
          <w:vertAlign w:val="baseline"/>
        </w:rPr>
        <w:t> </w:t>
      </w:r>
      <w:r>
        <w:rPr>
          <w:sz w:val="20"/>
          <w:vertAlign w:val="baseline"/>
        </w:rPr>
        <w:t>bir</w:t>
      </w:r>
      <w:r>
        <w:rPr>
          <w:spacing w:val="-9"/>
          <w:sz w:val="20"/>
          <w:vertAlign w:val="baseline"/>
        </w:rPr>
        <w:t> </w:t>
      </w:r>
      <w:r>
        <w:rPr>
          <w:sz w:val="20"/>
          <w:vertAlign w:val="baseline"/>
        </w:rPr>
        <w:t>değişkendir.</w:t>
      </w:r>
      <w:r>
        <w:rPr>
          <w:spacing w:val="-8"/>
          <w:sz w:val="20"/>
          <w:vertAlign w:val="baseline"/>
        </w:rPr>
        <w:t> </w:t>
      </w:r>
      <w:r>
        <w:rPr>
          <w:sz w:val="20"/>
          <w:vertAlign w:val="baseline"/>
        </w:rPr>
        <w:t>Bağımlı değişkenle doğrudan ilişkili olmasa da bağımlı değişken ile içsel bağımsız değişken arasındaki ilişkinin tahminine yardımcı olmaktadır (Hill. Vd., 2011: 410; Wooldridge, 2016: 463; Papies vd., 2017:</w:t>
      </w:r>
      <w:r>
        <w:rPr>
          <w:spacing w:val="-13"/>
          <w:sz w:val="20"/>
          <w:vertAlign w:val="baseline"/>
        </w:rPr>
        <w:t> </w:t>
      </w:r>
      <w:r>
        <w:rPr>
          <w:sz w:val="20"/>
          <w:vertAlign w:val="baseline"/>
        </w:rPr>
        <w:t>586).</w:t>
      </w:r>
    </w:p>
    <w:p>
      <w:pPr>
        <w:spacing w:line="223" w:lineRule="auto" w:before="13"/>
        <w:ind w:left="548" w:right="310" w:firstLine="0"/>
        <w:jc w:val="both"/>
        <w:rPr>
          <w:sz w:val="20"/>
        </w:rPr>
      </w:pPr>
      <w:r>
        <w:rPr>
          <w:rFonts w:ascii="DejaVu Serif Condensed" w:hAnsi="DejaVu Serif Condensed" w:eastAsia="DejaVu Serif Condensed"/>
          <w:sz w:val="20"/>
        </w:rPr>
        <w:t>𝑦 = </w:t>
      </w:r>
      <w:r>
        <w:rPr>
          <w:rFonts w:ascii="DejaVu Serif Condensed" w:hAnsi="DejaVu Serif Condensed" w:eastAsia="DejaVu Serif Condensed"/>
          <w:spacing w:val="-7"/>
          <w:sz w:val="20"/>
        </w:rPr>
        <w:t>𝛽</w:t>
      </w:r>
      <w:r>
        <w:rPr>
          <w:rFonts w:ascii="DejaVu Serif Condensed" w:hAnsi="DejaVu Serif Condensed" w:eastAsia="DejaVu Serif Condensed"/>
          <w:spacing w:val="-7"/>
          <w:position w:val="-3"/>
          <w:sz w:val="14"/>
        </w:rPr>
        <w:t>0 </w:t>
      </w:r>
      <w:r>
        <w:rPr>
          <w:rFonts w:ascii="DejaVu Serif Condensed" w:hAnsi="DejaVu Serif Condensed" w:eastAsia="DejaVu Serif Condensed"/>
          <w:sz w:val="20"/>
        </w:rPr>
        <w:t>+ </w:t>
      </w:r>
      <w:r>
        <w:rPr>
          <w:rFonts w:ascii="DejaVu Serif Condensed" w:hAnsi="DejaVu Serif Condensed" w:eastAsia="DejaVu Serif Condensed"/>
          <w:spacing w:val="-3"/>
          <w:sz w:val="20"/>
        </w:rPr>
        <w:t>𝛽</w:t>
      </w:r>
      <w:r>
        <w:rPr>
          <w:rFonts w:ascii="DejaVu Serif Condensed" w:hAnsi="DejaVu Serif Condensed" w:eastAsia="DejaVu Serif Condensed"/>
          <w:spacing w:val="-3"/>
          <w:position w:val="-3"/>
          <w:sz w:val="14"/>
        </w:rPr>
        <w:t>1</w:t>
      </w:r>
      <w:r>
        <w:rPr>
          <w:rFonts w:ascii="DejaVu Serif Condensed" w:hAnsi="DejaVu Serif Condensed" w:eastAsia="DejaVu Serif Condensed"/>
          <w:spacing w:val="-3"/>
          <w:sz w:val="20"/>
        </w:rPr>
        <w:t>𝑥 </w:t>
      </w:r>
      <w:r>
        <w:rPr>
          <w:rFonts w:ascii="DejaVu Serif Condensed" w:hAnsi="DejaVu Serif Condensed" w:eastAsia="DejaVu Serif Condensed"/>
          <w:sz w:val="20"/>
        </w:rPr>
        <w:t>+ 𝜀 </w:t>
      </w:r>
      <w:r>
        <w:rPr>
          <w:sz w:val="20"/>
        </w:rPr>
        <w:t>regresyon modelinde cov(</w:t>
      </w:r>
      <w:r>
        <w:rPr>
          <w:rFonts w:ascii="DejaVu Serif Condensed" w:hAnsi="DejaVu Serif Condensed" w:eastAsia="DejaVu Serif Condensed"/>
          <w:sz w:val="20"/>
        </w:rPr>
        <w:t>𝑥</w:t>
      </w:r>
      <w:r>
        <w:rPr>
          <w:sz w:val="20"/>
        </w:rPr>
        <w:t>, </w:t>
      </w:r>
      <w:r>
        <w:rPr>
          <w:rFonts w:ascii="DejaVu Serif Condensed" w:hAnsi="DejaVu Serif Condensed" w:eastAsia="DejaVu Serif Condensed"/>
          <w:sz w:val="20"/>
        </w:rPr>
        <w:t>𝜀</w:t>
      </w:r>
      <w:r>
        <w:rPr>
          <w:sz w:val="20"/>
        </w:rPr>
        <w:t>)≠0, yani </w:t>
      </w:r>
      <w:r>
        <w:rPr>
          <w:rFonts w:ascii="DejaVu Serif Condensed" w:hAnsi="DejaVu Serif Condensed" w:eastAsia="DejaVu Serif Condensed"/>
          <w:sz w:val="20"/>
        </w:rPr>
        <w:t>𝑥 </w:t>
      </w:r>
      <w:r>
        <w:rPr>
          <w:sz w:val="20"/>
        </w:rPr>
        <w:t>içsel  bağımsız  değişkendir.  Bu  durumda, cov(</w:t>
      </w:r>
      <w:r>
        <w:rPr>
          <w:rFonts w:ascii="DejaVu Serif Condensed" w:hAnsi="DejaVu Serif Condensed" w:eastAsia="DejaVu Serif Condensed"/>
          <w:sz w:val="20"/>
        </w:rPr>
        <w:t>𝑧</w:t>
      </w:r>
      <w:r>
        <w:rPr>
          <w:sz w:val="20"/>
        </w:rPr>
        <w:t>,</w:t>
      </w:r>
      <w:r>
        <w:rPr>
          <w:spacing w:val="-13"/>
          <w:sz w:val="20"/>
        </w:rPr>
        <w:t> </w:t>
      </w:r>
      <w:r>
        <w:rPr>
          <w:rFonts w:ascii="DejaVu Serif Condensed" w:hAnsi="DejaVu Serif Condensed" w:eastAsia="DejaVu Serif Condensed"/>
          <w:sz w:val="20"/>
        </w:rPr>
        <w:t>𝜀</w:t>
      </w:r>
      <w:r>
        <w:rPr>
          <w:sz w:val="20"/>
        </w:rPr>
        <w:t>)=0</w:t>
      </w:r>
      <w:r>
        <w:rPr>
          <w:spacing w:val="-13"/>
          <w:sz w:val="20"/>
        </w:rPr>
        <w:t> </w:t>
      </w:r>
      <w:r>
        <w:rPr>
          <w:sz w:val="20"/>
        </w:rPr>
        <w:t>ve</w:t>
      </w:r>
      <w:r>
        <w:rPr>
          <w:spacing w:val="-15"/>
          <w:sz w:val="20"/>
        </w:rPr>
        <w:t> </w:t>
      </w:r>
      <w:r>
        <w:rPr>
          <w:sz w:val="20"/>
        </w:rPr>
        <w:t>cov(</w:t>
      </w:r>
      <w:r>
        <w:rPr>
          <w:rFonts w:ascii="DejaVu Serif Condensed" w:hAnsi="DejaVu Serif Condensed" w:eastAsia="DejaVu Serif Condensed"/>
          <w:sz w:val="20"/>
        </w:rPr>
        <w:t>𝑧,</w:t>
      </w:r>
      <w:r>
        <w:rPr>
          <w:rFonts w:ascii="DejaVu Serif Condensed" w:hAnsi="DejaVu Serif Condensed" w:eastAsia="DejaVu Serif Condensed"/>
          <w:spacing w:val="-27"/>
          <w:sz w:val="20"/>
        </w:rPr>
        <w:t> </w:t>
      </w:r>
      <w:r>
        <w:rPr>
          <w:rFonts w:ascii="DejaVu Serif Condensed" w:hAnsi="DejaVu Serif Condensed" w:eastAsia="DejaVu Serif Condensed"/>
          <w:sz w:val="20"/>
        </w:rPr>
        <w:t>𝑥</w:t>
      </w:r>
      <w:r>
        <w:rPr>
          <w:sz w:val="20"/>
        </w:rPr>
        <w:t>)≠0</w:t>
      </w:r>
      <w:r>
        <w:rPr>
          <w:spacing w:val="-13"/>
          <w:sz w:val="20"/>
        </w:rPr>
        <w:t> </w:t>
      </w:r>
      <w:r>
        <w:rPr>
          <w:sz w:val="20"/>
        </w:rPr>
        <w:t>koşullarını</w:t>
      </w:r>
      <w:r>
        <w:rPr>
          <w:spacing w:val="-15"/>
          <w:sz w:val="20"/>
        </w:rPr>
        <w:t> </w:t>
      </w:r>
      <w:r>
        <w:rPr>
          <w:sz w:val="20"/>
        </w:rPr>
        <w:t>sağlayan</w:t>
      </w:r>
      <w:r>
        <w:rPr>
          <w:spacing w:val="-15"/>
          <w:sz w:val="20"/>
        </w:rPr>
        <w:t> </w:t>
      </w:r>
      <w:r>
        <w:rPr>
          <w:rFonts w:ascii="DejaVu Serif Condensed" w:hAnsi="DejaVu Serif Condensed" w:eastAsia="DejaVu Serif Condensed"/>
          <w:sz w:val="20"/>
        </w:rPr>
        <w:t>𝑧</w:t>
      </w:r>
      <w:r>
        <w:rPr>
          <w:rFonts w:ascii="DejaVu Serif Condensed" w:hAnsi="DejaVu Serif Condensed" w:eastAsia="DejaVu Serif Condensed"/>
          <w:spacing w:val="-18"/>
          <w:sz w:val="20"/>
        </w:rPr>
        <w:t> </w:t>
      </w:r>
      <w:r>
        <w:rPr>
          <w:sz w:val="20"/>
        </w:rPr>
        <w:t>değişkeni</w:t>
      </w:r>
      <w:r>
        <w:rPr>
          <w:spacing w:val="-15"/>
          <w:sz w:val="20"/>
        </w:rPr>
        <w:t> </w:t>
      </w:r>
      <w:r>
        <w:rPr>
          <w:sz w:val="20"/>
        </w:rPr>
        <w:t>araç</w:t>
      </w:r>
      <w:r>
        <w:rPr>
          <w:spacing w:val="-16"/>
          <w:sz w:val="20"/>
        </w:rPr>
        <w:t> </w:t>
      </w:r>
      <w:r>
        <w:rPr>
          <w:sz w:val="20"/>
        </w:rPr>
        <w:t>değişken</w:t>
      </w:r>
      <w:r>
        <w:rPr>
          <w:spacing w:val="-14"/>
          <w:sz w:val="20"/>
        </w:rPr>
        <w:t> </w:t>
      </w:r>
      <w:r>
        <w:rPr>
          <w:sz w:val="20"/>
        </w:rPr>
        <w:t>olarak</w:t>
      </w:r>
      <w:r>
        <w:rPr>
          <w:spacing w:val="-16"/>
          <w:sz w:val="20"/>
        </w:rPr>
        <w:t> </w:t>
      </w:r>
      <w:r>
        <w:rPr>
          <w:sz w:val="20"/>
        </w:rPr>
        <w:t>alınmaktadır.</w:t>
      </w:r>
      <w:r>
        <w:rPr>
          <w:spacing w:val="-16"/>
          <w:sz w:val="20"/>
        </w:rPr>
        <w:t> </w:t>
      </w:r>
      <w:r>
        <w:rPr>
          <w:sz w:val="20"/>
        </w:rPr>
        <w:t>En</w:t>
      </w:r>
      <w:r>
        <w:rPr>
          <w:spacing w:val="-14"/>
          <w:sz w:val="20"/>
        </w:rPr>
        <w:t> </w:t>
      </w:r>
      <w:r>
        <w:rPr>
          <w:sz w:val="20"/>
        </w:rPr>
        <w:t>sık</w:t>
      </w:r>
      <w:r>
        <w:rPr>
          <w:spacing w:val="-14"/>
          <w:sz w:val="20"/>
        </w:rPr>
        <w:t> </w:t>
      </w:r>
      <w:r>
        <w:rPr>
          <w:sz w:val="20"/>
        </w:rPr>
        <w:t>kullanılan araç</w:t>
      </w:r>
      <w:r>
        <w:rPr>
          <w:spacing w:val="-12"/>
          <w:sz w:val="20"/>
        </w:rPr>
        <w:t> </w:t>
      </w:r>
      <w:r>
        <w:rPr>
          <w:sz w:val="20"/>
        </w:rPr>
        <w:t>değişken</w:t>
      </w:r>
      <w:r>
        <w:rPr>
          <w:spacing w:val="-13"/>
          <w:sz w:val="20"/>
        </w:rPr>
        <w:t> </w:t>
      </w:r>
      <w:r>
        <w:rPr>
          <w:sz w:val="20"/>
        </w:rPr>
        <w:t>tekniği</w:t>
      </w:r>
      <w:r>
        <w:rPr>
          <w:spacing w:val="-15"/>
          <w:sz w:val="20"/>
        </w:rPr>
        <w:t> </w:t>
      </w:r>
      <w:r>
        <w:rPr>
          <w:sz w:val="20"/>
        </w:rPr>
        <w:t>olan</w:t>
      </w:r>
      <w:r>
        <w:rPr>
          <w:spacing w:val="-14"/>
          <w:sz w:val="20"/>
        </w:rPr>
        <w:t> </w:t>
      </w:r>
      <w:r>
        <w:rPr>
          <w:sz w:val="20"/>
        </w:rPr>
        <w:t>iki</w:t>
      </w:r>
      <w:r>
        <w:rPr>
          <w:spacing w:val="-12"/>
          <w:sz w:val="20"/>
        </w:rPr>
        <w:t> </w:t>
      </w:r>
      <w:r>
        <w:rPr>
          <w:sz w:val="20"/>
        </w:rPr>
        <w:t>aşamalı</w:t>
      </w:r>
      <w:r>
        <w:rPr>
          <w:spacing w:val="-12"/>
          <w:sz w:val="20"/>
        </w:rPr>
        <w:t> </w:t>
      </w:r>
      <w:r>
        <w:rPr>
          <w:sz w:val="20"/>
        </w:rPr>
        <w:t>en</w:t>
      </w:r>
      <w:r>
        <w:rPr>
          <w:spacing w:val="-12"/>
          <w:sz w:val="20"/>
        </w:rPr>
        <w:t> </w:t>
      </w:r>
      <w:r>
        <w:rPr>
          <w:sz w:val="20"/>
        </w:rPr>
        <w:t>küçük</w:t>
      </w:r>
      <w:r>
        <w:rPr>
          <w:spacing w:val="-13"/>
          <w:sz w:val="20"/>
        </w:rPr>
        <w:t> </w:t>
      </w:r>
      <w:r>
        <w:rPr>
          <w:sz w:val="20"/>
        </w:rPr>
        <w:t>kareler</w:t>
      </w:r>
      <w:r>
        <w:rPr>
          <w:spacing w:val="-13"/>
          <w:sz w:val="20"/>
        </w:rPr>
        <w:t> </w:t>
      </w:r>
      <w:r>
        <w:rPr>
          <w:sz w:val="20"/>
        </w:rPr>
        <w:t>yönteminde,</w:t>
      </w:r>
      <w:r>
        <w:rPr>
          <w:spacing w:val="-15"/>
          <w:sz w:val="20"/>
        </w:rPr>
        <w:t> </w:t>
      </w:r>
      <w:r>
        <w:rPr>
          <w:sz w:val="20"/>
        </w:rPr>
        <w:t>önce</w:t>
      </w:r>
      <w:r>
        <w:rPr>
          <w:spacing w:val="-9"/>
          <w:sz w:val="20"/>
        </w:rPr>
        <w:t> </w:t>
      </w:r>
      <w:r>
        <w:rPr>
          <w:rFonts w:ascii="DejaVu Serif Condensed" w:hAnsi="DejaVu Serif Condensed" w:eastAsia="DejaVu Serif Condensed"/>
          <w:sz w:val="20"/>
        </w:rPr>
        <w:t>𝑥</w:t>
      </w:r>
      <w:r>
        <w:rPr>
          <w:rFonts w:ascii="DejaVu Serif Condensed" w:hAnsi="DejaVu Serif Condensed" w:eastAsia="DejaVu Serif Condensed"/>
          <w:spacing w:val="4"/>
          <w:sz w:val="20"/>
        </w:rPr>
        <w:t> </w:t>
      </w:r>
      <w:r>
        <w:rPr>
          <w:rFonts w:ascii="DejaVu Serif Condensed" w:hAnsi="DejaVu Serif Condensed" w:eastAsia="DejaVu Serif Condensed"/>
          <w:sz w:val="20"/>
        </w:rPr>
        <w:t>=</w:t>
      </w:r>
      <w:r>
        <w:rPr>
          <w:rFonts w:ascii="DejaVu Serif Condensed" w:hAnsi="DejaVu Serif Condensed" w:eastAsia="DejaVu Serif Condensed"/>
          <w:spacing w:val="-3"/>
          <w:sz w:val="20"/>
        </w:rPr>
        <w:t> </w:t>
      </w:r>
      <w:r>
        <w:rPr>
          <w:rFonts w:ascii="DejaVu Serif Condensed" w:hAnsi="DejaVu Serif Condensed" w:eastAsia="DejaVu Serif Condensed"/>
          <w:sz w:val="20"/>
        </w:rPr>
        <w:t>𝛼</w:t>
      </w:r>
      <w:r>
        <w:rPr>
          <w:rFonts w:ascii="DejaVu Serif Condensed" w:hAnsi="DejaVu Serif Condensed" w:eastAsia="DejaVu Serif Condensed"/>
          <w:position w:val="-3"/>
          <w:sz w:val="14"/>
        </w:rPr>
        <w:t>0</w:t>
      </w:r>
      <w:r>
        <w:rPr>
          <w:rFonts w:ascii="DejaVu Serif Condensed" w:hAnsi="DejaVu Serif Condensed" w:eastAsia="DejaVu Serif Condensed"/>
          <w:spacing w:val="13"/>
          <w:position w:val="-3"/>
          <w:sz w:val="14"/>
        </w:rPr>
        <w:t> </w:t>
      </w:r>
      <w:r>
        <w:rPr>
          <w:rFonts w:ascii="DejaVu Serif Condensed" w:hAnsi="DejaVu Serif Condensed" w:eastAsia="DejaVu Serif Condensed"/>
          <w:sz w:val="20"/>
        </w:rPr>
        <w:t>+</w:t>
      </w:r>
      <w:r>
        <w:rPr>
          <w:rFonts w:ascii="DejaVu Serif Condensed" w:hAnsi="DejaVu Serif Condensed" w:eastAsia="DejaVu Serif Condensed"/>
          <w:spacing w:val="-13"/>
          <w:sz w:val="20"/>
        </w:rPr>
        <w:t> </w:t>
      </w:r>
      <w:r>
        <w:rPr>
          <w:rFonts w:ascii="DejaVu Serif Condensed" w:hAnsi="DejaVu Serif Condensed" w:eastAsia="DejaVu Serif Condensed"/>
          <w:sz w:val="20"/>
        </w:rPr>
        <w:t>𝛼</w:t>
      </w:r>
      <w:r>
        <w:rPr>
          <w:rFonts w:ascii="DejaVu Serif Condensed" w:hAnsi="DejaVu Serif Condensed" w:eastAsia="DejaVu Serif Condensed"/>
          <w:position w:val="-3"/>
          <w:sz w:val="14"/>
        </w:rPr>
        <w:t>1</w:t>
      </w:r>
      <w:r>
        <w:rPr>
          <w:rFonts w:ascii="DejaVu Serif Condensed" w:hAnsi="DejaVu Serif Condensed" w:eastAsia="DejaVu Serif Condensed"/>
          <w:sz w:val="20"/>
        </w:rPr>
        <w:t>𝑧</w:t>
      </w:r>
      <w:r>
        <w:rPr>
          <w:rFonts w:ascii="DejaVu Serif Condensed" w:hAnsi="DejaVu Serif Condensed" w:eastAsia="DejaVu Serif Condensed"/>
          <w:spacing w:val="-10"/>
          <w:sz w:val="20"/>
        </w:rPr>
        <w:t> </w:t>
      </w:r>
      <w:r>
        <w:rPr>
          <w:rFonts w:ascii="DejaVu Serif Condensed" w:hAnsi="DejaVu Serif Condensed" w:eastAsia="DejaVu Serif Condensed"/>
          <w:sz w:val="20"/>
        </w:rPr>
        <w:t>+</w:t>
      </w:r>
      <w:r>
        <w:rPr>
          <w:rFonts w:ascii="DejaVu Serif Condensed" w:hAnsi="DejaVu Serif Condensed" w:eastAsia="DejaVu Serif Condensed"/>
          <w:spacing w:val="-11"/>
          <w:sz w:val="20"/>
        </w:rPr>
        <w:t> </w:t>
      </w:r>
      <w:r>
        <w:rPr>
          <w:rFonts w:ascii="DejaVu Serif Condensed" w:hAnsi="DejaVu Serif Condensed" w:eastAsia="DejaVu Serif Condensed"/>
          <w:sz w:val="20"/>
        </w:rPr>
        <w:t>𝜃</w:t>
      </w:r>
      <w:r>
        <w:rPr>
          <w:rFonts w:ascii="DejaVu Serif Condensed" w:hAnsi="DejaVu Serif Condensed" w:eastAsia="DejaVu Serif Condensed"/>
          <w:spacing w:val="-12"/>
          <w:sz w:val="20"/>
        </w:rPr>
        <w:t> </w:t>
      </w:r>
      <w:r>
        <w:rPr>
          <w:sz w:val="20"/>
        </w:rPr>
        <w:t>modeli</w:t>
      </w:r>
      <w:r>
        <w:rPr>
          <w:spacing w:val="-14"/>
          <w:sz w:val="20"/>
        </w:rPr>
        <w:t> </w:t>
      </w:r>
      <w:r>
        <w:rPr>
          <w:sz w:val="20"/>
        </w:rPr>
        <w:t>ile</w:t>
      </w:r>
      <w:r>
        <w:rPr>
          <w:spacing w:val="-14"/>
          <w:sz w:val="20"/>
        </w:rPr>
        <w:t> </w:t>
      </w:r>
      <w:r>
        <w:rPr>
          <w:rFonts w:ascii="DejaVu Serif Condensed" w:hAnsi="DejaVu Serif Condensed" w:eastAsia="DejaVu Serif Condensed"/>
          <w:sz w:val="20"/>
        </w:rPr>
        <w:t>𝑥</w:t>
      </w:r>
      <w:r>
        <w:rPr>
          <w:rFonts w:ascii="DejaVu Serif Condensed" w:hAnsi="DejaVu Serif Condensed" w:eastAsia="DejaVu Serif Condensed"/>
          <w:spacing w:val="-13"/>
          <w:sz w:val="20"/>
        </w:rPr>
        <w:t> </w:t>
      </w:r>
      <w:r>
        <w:rPr>
          <w:sz w:val="20"/>
        </w:rPr>
        <w:t>tahmin edilir, sonrasında ise tahmin edilen </w:t>
      </w:r>
      <w:r>
        <w:rPr>
          <w:rFonts w:ascii="DejaVu Serif Condensed" w:hAnsi="DejaVu Serif Condensed" w:eastAsia="DejaVu Serif Condensed"/>
          <w:sz w:val="20"/>
        </w:rPr>
        <w:t>𝑥 </w:t>
      </w:r>
      <w:r>
        <w:rPr>
          <w:sz w:val="20"/>
        </w:rPr>
        <w:t>değerleri </w:t>
      </w:r>
      <w:r>
        <w:rPr>
          <w:rFonts w:ascii="DejaVu Serif Condensed" w:hAnsi="DejaVu Serif Condensed" w:eastAsia="DejaVu Serif Condensed"/>
          <w:sz w:val="20"/>
        </w:rPr>
        <w:t>𝑦 = </w:t>
      </w:r>
      <w:r>
        <w:rPr>
          <w:rFonts w:ascii="DejaVu Serif Condensed" w:hAnsi="DejaVu Serif Condensed" w:eastAsia="DejaVu Serif Condensed"/>
          <w:spacing w:val="-7"/>
          <w:sz w:val="20"/>
        </w:rPr>
        <w:t>𝛽</w:t>
      </w:r>
      <w:r>
        <w:rPr>
          <w:rFonts w:ascii="DejaVu Serif Condensed" w:hAnsi="DejaVu Serif Condensed" w:eastAsia="DejaVu Serif Condensed"/>
          <w:spacing w:val="-7"/>
          <w:position w:val="-3"/>
          <w:sz w:val="14"/>
        </w:rPr>
        <w:t>0 </w:t>
      </w:r>
      <w:r>
        <w:rPr>
          <w:rFonts w:ascii="DejaVu Serif Condensed" w:hAnsi="DejaVu Serif Condensed" w:eastAsia="DejaVu Serif Condensed"/>
          <w:sz w:val="20"/>
        </w:rPr>
        <w:t>+ </w:t>
      </w:r>
      <w:r>
        <w:rPr>
          <w:rFonts w:ascii="DejaVu Serif Condensed" w:hAnsi="DejaVu Serif Condensed" w:eastAsia="DejaVu Serif Condensed"/>
          <w:spacing w:val="-4"/>
          <w:sz w:val="20"/>
        </w:rPr>
        <w:t>𝛽</w:t>
      </w:r>
      <w:r>
        <w:rPr>
          <w:rFonts w:ascii="DejaVu Serif Condensed" w:hAnsi="DejaVu Serif Condensed" w:eastAsia="DejaVu Serif Condensed"/>
          <w:spacing w:val="-4"/>
          <w:position w:val="-3"/>
          <w:sz w:val="14"/>
        </w:rPr>
        <w:t>1</w:t>
      </w:r>
      <w:r>
        <w:rPr>
          <w:rFonts w:ascii="DejaVu Serif Condensed" w:hAnsi="DejaVu Serif Condensed" w:eastAsia="DejaVu Serif Condensed"/>
          <w:spacing w:val="-4"/>
          <w:sz w:val="20"/>
        </w:rPr>
        <w:t>𝑥 </w:t>
      </w:r>
      <w:r>
        <w:rPr>
          <w:rFonts w:ascii="DejaVu Serif Condensed" w:hAnsi="DejaVu Serif Condensed" w:eastAsia="DejaVu Serif Condensed"/>
          <w:sz w:val="20"/>
        </w:rPr>
        <w:t>+ 𝜀 </w:t>
      </w:r>
      <w:r>
        <w:rPr>
          <w:sz w:val="20"/>
        </w:rPr>
        <w:t>modeline dahil edilerek </w:t>
      </w:r>
      <w:r>
        <w:rPr>
          <w:rFonts w:ascii="DejaVu Serif Condensed" w:hAnsi="DejaVu Serif Condensed" w:eastAsia="DejaVu Serif Condensed"/>
          <w:sz w:val="20"/>
        </w:rPr>
        <w:t>𝑦 </w:t>
      </w:r>
      <w:r>
        <w:rPr>
          <w:sz w:val="20"/>
        </w:rPr>
        <w:t>tahmin</w:t>
      </w:r>
      <w:r>
        <w:rPr>
          <w:spacing w:val="-7"/>
          <w:sz w:val="20"/>
        </w:rPr>
        <w:t> </w:t>
      </w:r>
      <w:r>
        <w:rPr>
          <w:sz w:val="20"/>
        </w:rPr>
        <w:t>edilir.</w:t>
      </w:r>
    </w:p>
    <w:p>
      <w:pPr>
        <w:spacing w:after="0" w:line="223" w:lineRule="auto"/>
        <w:jc w:val="both"/>
        <w:rPr>
          <w:sz w:val="20"/>
        </w:rPr>
        <w:sectPr>
          <w:pgSz w:w="12240" w:h="15840"/>
          <w:pgMar w:header="718" w:footer="0" w:top="1300" w:bottom="280" w:left="1720" w:right="820"/>
        </w:sectPr>
      </w:pPr>
    </w:p>
    <w:p>
      <w:pPr>
        <w:pStyle w:val="BodyText"/>
        <w:spacing w:line="360" w:lineRule="auto" w:before="100"/>
        <w:ind w:right="314"/>
      </w:pPr>
      <w:r>
        <w:rPr/>
        <w:t>vd., 2017: 586). Kullanılacak tahmin yöntemine karar vermeden önce göz önünde bulundurulması gereken bir diğer içsellik sorunu kaynağı daha bulunmaktadır.</w:t>
      </w:r>
    </w:p>
    <w:p>
      <w:pPr>
        <w:pStyle w:val="BodyText"/>
        <w:spacing w:line="360" w:lineRule="auto" w:before="1"/>
        <w:ind w:right="308" w:firstLine="708"/>
      </w:pPr>
      <w:r>
        <w:rPr/>
        <w:t>İçsellik</w:t>
      </w:r>
      <w:r>
        <w:rPr>
          <w:spacing w:val="-10"/>
        </w:rPr>
        <w:t> </w:t>
      </w:r>
      <w:r>
        <w:rPr/>
        <w:t>sorunun</w:t>
      </w:r>
      <w:r>
        <w:rPr>
          <w:spacing w:val="-11"/>
        </w:rPr>
        <w:t> </w:t>
      </w:r>
      <w:r>
        <w:rPr/>
        <w:t>ikinci</w:t>
      </w:r>
      <w:r>
        <w:rPr>
          <w:spacing w:val="-11"/>
        </w:rPr>
        <w:t> </w:t>
      </w:r>
      <w:r>
        <w:rPr/>
        <w:t>kaynağı</w:t>
      </w:r>
      <w:r>
        <w:rPr>
          <w:spacing w:val="-10"/>
        </w:rPr>
        <w:t> </w:t>
      </w:r>
      <w:r>
        <w:rPr/>
        <w:t>ise</w:t>
      </w:r>
      <w:r>
        <w:rPr>
          <w:spacing w:val="-11"/>
        </w:rPr>
        <w:t> </w:t>
      </w:r>
      <w:r>
        <w:rPr/>
        <w:t>bağımlı</w:t>
      </w:r>
      <w:r>
        <w:rPr>
          <w:spacing w:val="-10"/>
        </w:rPr>
        <w:t> </w:t>
      </w:r>
      <w:r>
        <w:rPr/>
        <w:t>değişken</w:t>
      </w:r>
      <w:r>
        <w:rPr>
          <w:spacing w:val="-11"/>
        </w:rPr>
        <w:t> </w:t>
      </w:r>
      <w:r>
        <w:rPr/>
        <w:t>olan</w:t>
      </w:r>
      <w:r>
        <w:rPr>
          <w:spacing w:val="-11"/>
        </w:rPr>
        <w:t> </w:t>
      </w:r>
      <w:r>
        <w:rPr/>
        <w:t>satışların</w:t>
      </w:r>
      <w:r>
        <w:rPr>
          <w:spacing w:val="-11"/>
        </w:rPr>
        <w:t> </w:t>
      </w:r>
      <w:r>
        <w:rPr/>
        <w:t>doğası</w:t>
      </w:r>
      <w:r>
        <w:rPr>
          <w:spacing w:val="-8"/>
        </w:rPr>
        <w:t> </w:t>
      </w:r>
      <w:r>
        <w:rPr/>
        <w:t>ile</w:t>
      </w:r>
      <w:r>
        <w:rPr>
          <w:spacing w:val="-12"/>
        </w:rPr>
        <w:t> </w:t>
      </w:r>
      <w:r>
        <w:rPr/>
        <w:t>ilgilidir. Satışların doğasını oluşturan unsur da insanların diğer insanları taklit etme eğiliminde olmasıdır. Tüketici kararsız kaldığında veya az bilgiye sahip olduğunda başkalarının satın aldığı ürünlere veya markalara yönelmektedir. Psikologlar bu olguya sosyal kanıt (social proof) demektedirler (Berger, 2013: 128). Örneğin, bilinmeyen bir şehirde yemek için tenha restoranlar değil kalabalık olanlar tercih edilir. Benzer şekilde, semt pazarlarında kalabalık olan tezgahlar başka insanların da dikkatini çekerek daha da kalabalıklaşırken hiç müşterisi olmayan</w:t>
      </w:r>
      <w:r>
        <w:rPr>
          <w:spacing w:val="-14"/>
        </w:rPr>
        <w:t> </w:t>
      </w:r>
      <w:r>
        <w:rPr/>
        <w:t>tezgahlara</w:t>
      </w:r>
      <w:r>
        <w:rPr>
          <w:spacing w:val="-12"/>
        </w:rPr>
        <w:t> </w:t>
      </w:r>
      <w:r>
        <w:rPr/>
        <w:t>insanların</w:t>
      </w:r>
      <w:r>
        <w:rPr>
          <w:spacing w:val="-13"/>
        </w:rPr>
        <w:t> </w:t>
      </w:r>
      <w:r>
        <w:rPr/>
        <w:t>yönelmesi</w:t>
      </w:r>
      <w:r>
        <w:rPr>
          <w:spacing w:val="-13"/>
        </w:rPr>
        <w:t> </w:t>
      </w:r>
      <w:r>
        <w:rPr/>
        <w:t>daha</w:t>
      </w:r>
      <w:r>
        <w:rPr>
          <w:spacing w:val="-12"/>
        </w:rPr>
        <w:t> </w:t>
      </w:r>
      <w:r>
        <w:rPr/>
        <w:t>az</w:t>
      </w:r>
      <w:r>
        <w:rPr>
          <w:spacing w:val="-12"/>
        </w:rPr>
        <w:t> </w:t>
      </w:r>
      <w:r>
        <w:rPr/>
        <w:t>olasıdır.</w:t>
      </w:r>
      <w:r>
        <w:rPr>
          <w:spacing w:val="-11"/>
        </w:rPr>
        <w:t> </w:t>
      </w:r>
      <w:r>
        <w:rPr/>
        <w:t>Benzer</w:t>
      </w:r>
      <w:r>
        <w:rPr>
          <w:spacing w:val="-13"/>
        </w:rPr>
        <w:t> </w:t>
      </w:r>
      <w:r>
        <w:rPr/>
        <w:t>bir</w:t>
      </w:r>
      <w:r>
        <w:rPr>
          <w:spacing w:val="-14"/>
        </w:rPr>
        <w:t> </w:t>
      </w:r>
      <w:r>
        <w:rPr/>
        <w:t>örneği</w:t>
      </w:r>
      <w:r>
        <w:rPr>
          <w:spacing w:val="-13"/>
        </w:rPr>
        <w:t> </w:t>
      </w:r>
      <w:r>
        <w:rPr/>
        <w:t>de</w:t>
      </w:r>
      <w:r>
        <w:rPr>
          <w:spacing w:val="-14"/>
        </w:rPr>
        <w:t> </w:t>
      </w:r>
      <w:r>
        <w:rPr/>
        <w:t>Berger</w:t>
      </w:r>
      <w:r>
        <w:rPr>
          <w:spacing w:val="-14"/>
        </w:rPr>
        <w:t> </w:t>
      </w:r>
      <w:r>
        <w:rPr/>
        <w:t>(2013:</w:t>
      </w:r>
    </w:p>
    <w:p>
      <w:pPr>
        <w:pStyle w:val="BodyText"/>
        <w:spacing w:line="360" w:lineRule="auto"/>
        <w:ind w:right="309"/>
      </w:pPr>
      <w:r>
        <w:rPr/>
        <w:t>130) kitabında şöyle aktarmaktadır; “New York City’de Halal Chicken and Gyro (seyyar yemek satıcısı) tavuk ve kuzu etinden lezzetli yemekler satmaktadır. New York dergisi, (Halal Chicken and Gyro’yu) şehirdeki en iyi 20 seyyar yemek satıcısından biri olarak göstermektedir. İnsanlar yemek almak için bazen bir saat sıra beklemek zorunda kalabilmektedir. İnsanların böyle güzel yemekler için sıra beklemesi doğaldır. Ancak, aynı kişiler aynı yemekleri sokağın karşısında Halal Guys isimli başka bir seyyar yemek arabasında da satmaktadır. Aynı yemekler, aynı paketler, temel olarak aynı ürünler. Fakat, Halal Guys’ın önünde sıra olmaz.” Bir nevi sürü davranışı olan bu tüketim davranışı dijital mecrada da kendisini göstermektedir (Huang ve Chen, 2006). Online perakendeci sayfalarında yer alan çok satanlar listeleri tüketici satın alma kararlarını etkileme potansiyeline sahiptir. Bu durum çok satan ürünlerin daha çok, az satan ürünlerin nispeten daha az satmasına neden olabilmektedir. Özet olarak, geçmiş dönem satışları mevcut dönemdeki satışları etkileyebilmektedir. Bu durum literatürdeki çalışma sonuçlarında da görülmektedir (örn. Huang ve Chen, 2006; Shah vd., 2014; Kübler vd., 2018). Satış bağımlı değişkeninin gecikmelisi bağımsız değişken olarak modele eklendiğinde ilk problemdeki gibi içsellik sorunu ortaya çıkmaktadır. Ayrıca, gecikmeli değerin bağımlı değişkene etkisinin olması, verinin aynı zamanda dinamik olduğunu da göstermektedir.</w:t>
      </w:r>
    </w:p>
    <w:p>
      <w:pPr>
        <w:pStyle w:val="BodyText"/>
        <w:ind w:left="0"/>
        <w:jc w:val="left"/>
        <w:rPr>
          <w:sz w:val="20"/>
        </w:rPr>
      </w:pPr>
    </w:p>
    <w:p>
      <w:pPr>
        <w:pStyle w:val="BodyText"/>
        <w:spacing w:before="8"/>
        <w:ind w:left="0"/>
        <w:jc w:val="left"/>
        <w:rPr>
          <w:sz w:val="12"/>
        </w:rPr>
      </w:pPr>
    </w:p>
    <w:tbl>
      <w:tblPr>
        <w:tblW w:w="0" w:type="auto"/>
        <w:jc w:val="left"/>
        <w:tblInd w:w="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90"/>
        <w:gridCol w:w="2724"/>
      </w:tblGrid>
      <w:tr>
        <w:trPr>
          <w:trHeight w:val="304" w:hRule="atLeast"/>
        </w:trPr>
        <w:tc>
          <w:tcPr>
            <w:tcW w:w="6290" w:type="dxa"/>
          </w:tcPr>
          <w:p>
            <w:pPr>
              <w:pStyle w:val="TableParagraph"/>
              <w:spacing w:line="285" w:lineRule="exact"/>
              <w:ind w:left="200"/>
              <w:rPr>
                <w:rFonts w:ascii="DejaVu Serif Condensed" w:hAnsi="DejaVu Serif Condensed" w:eastAsia="DejaVu Serif Condensed"/>
                <w:sz w:val="17"/>
              </w:rPr>
            </w:pPr>
            <w:r>
              <w:rPr>
                <w:rFonts w:ascii="DejaVu Serif Condensed" w:hAnsi="DejaVu Serif Condensed" w:eastAsia="DejaVu Serif Condensed"/>
                <w:position w:val="5"/>
                <w:sz w:val="24"/>
              </w:rPr>
              <w:t>𝑌</w:t>
            </w:r>
            <w:r>
              <w:rPr>
                <w:rFonts w:ascii="DejaVu Serif Condensed" w:hAnsi="DejaVu Serif Condensed" w:eastAsia="DejaVu Serif Condensed"/>
                <w:sz w:val="17"/>
              </w:rPr>
              <w:t>𝑖,𝑡 </w:t>
            </w:r>
            <w:r>
              <w:rPr>
                <w:rFonts w:ascii="DejaVu Serif Condensed" w:hAnsi="DejaVu Serif Condensed" w:eastAsia="DejaVu Serif Condensed"/>
                <w:position w:val="5"/>
                <w:sz w:val="24"/>
              </w:rPr>
              <w:t>= 𝛽</w:t>
            </w:r>
            <w:r>
              <w:rPr>
                <w:rFonts w:ascii="DejaVu Serif Condensed" w:hAnsi="DejaVu Serif Condensed" w:eastAsia="DejaVu Serif Condensed"/>
                <w:sz w:val="17"/>
              </w:rPr>
              <w:t>0 </w:t>
            </w:r>
            <w:r>
              <w:rPr>
                <w:rFonts w:ascii="DejaVu Serif Condensed" w:hAnsi="DejaVu Serif Condensed" w:eastAsia="DejaVu Serif Condensed"/>
                <w:position w:val="5"/>
                <w:sz w:val="24"/>
              </w:rPr>
              <w:t>+ 𝛽</w:t>
            </w:r>
            <w:r>
              <w:rPr>
                <w:rFonts w:ascii="DejaVu Serif Condensed" w:hAnsi="DejaVu Serif Condensed" w:eastAsia="DejaVu Serif Condensed"/>
                <w:sz w:val="17"/>
              </w:rPr>
              <w:t>1</w:t>
            </w:r>
            <w:r>
              <w:rPr>
                <w:rFonts w:ascii="DejaVu Serif Condensed" w:hAnsi="DejaVu Serif Condensed" w:eastAsia="DejaVu Serif Condensed"/>
                <w:position w:val="5"/>
                <w:sz w:val="24"/>
              </w:rPr>
              <w:t>𝑌</w:t>
            </w:r>
            <w:r>
              <w:rPr>
                <w:rFonts w:ascii="DejaVu Serif Condensed" w:hAnsi="DejaVu Serif Condensed" w:eastAsia="DejaVu Serif Condensed"/>
                <w:sz w:val="17"/>
              </w:rPr>
              <w:t>𝑖,𝑡−1 </w:t>
            </w:r>
            <w:r>
              <w:rPr>
                <w:rFonts w:ascii="DejaVu Serif Condensed" w:hAnsi="DejaVu Serif Condensed" w:eastAsia="DejaVu Serif Condensed"/>
                <w:position w:val="5"/>
                <w:sz w:val="24"/>
              </w:rPr>
              <w:t>+ 𝛽</w:t>
            </w:r>
            <w:r>
              <w:rPr>
                <w:rFonts w:ascii="DejaVu Serif Condensed" w:hAnsi="DejaVu Serif Condensed" w:eastAsia="DejaVu Serif Condensed"/>
                <w:sz w:val="17"/>
              </w:rPr>
              <w:t>2</w:t>
            </w:r>
            <w:r>
              <w:rPr>
                <w:rFonts w:ascii="DejaVu Serif Condensed" w:hAnsi="DejaVu Serif Condensed" w:eastAsia="DejaVu Serif Condensed"/>
                <w:position w:val="5"/>
                <w:sz w:val="24"/>
              </w:rPr>
              <w:t>𝑋</w:t>
            </w:r>
            <w:r>
              <w:rPr>
                <w:rFonts w:ascii="DejaVu Serif Condensed" w:hAnsi="DejaVu Serif Condensed" w:eastAsia="DejaVu Serif Condensed"/>
                <w:sz w:val="17"/>
              </w:rPr>
              <w:t>𝑖,𝑡 </w:t>
            </w:r>
            <w:r>
              <w:rPr>
                <w:rFonts w:ascii="DejaVu Serif Condensed" w:hAnsi="DejaVu Serif Condensed" w:eastAsia="DejaVu Serif Condensed"/>
                <w:position w:val="5"/>
                <w:sz w:val="24"/>
              </w:rPr>
              <w:t>+ 𝛼</w:t>
            </w:r>
            <w:r>
              <w:rPr>
                <w:rFonts w:ascii="DejaVu Serif Condensed" w:hAnsi="DejaVu Serif Condensed" w:eastAsia="DejaVu Serif Condensed"/>
                <w:sz w:val="17"/>
              </w:rPr>
              <w:t>𝑖 </w:t>
            </w:r>
            <w:r>
              <w:rPr>
                <w:rFonts w:ascii="DejaVu Serif Condensed" w:hAnsi="DejaVu Serif Condensed" w:eastAsia="DejaVu Serif Condensed"/>
                <w:position w:val="5"/>
                <w:sz w:val="24"/>
              </w:rPr>
              <w:t>+ 𝑢</w:t>
            </w:r>
            <w:r>
              <w:rPr>
                <w:rFonts w:ascii="DejaVu Serif Condensed" w:hAnsi="DejaVu Serif Condensed" w:eastAsia="DejaVu Serif Condensed"/>
                <w:sz w:val="17"/>
              </w:rPr>
              <w:t>𝑖,𝑡</w:t>
            </w:r>
          </w:p>
        </w:tc>
        <w:tc>
          <w:tcPr>
            <w:tcW w:w="2724" w:type="dxa"/>
          </w:tcPr>
          <w:p>
            <w:pPr>
              <w:pStyle w:val="TableParagraph"/>
              <w:spacing w:line="266" w:lineRule="exact"/>
              <w:ind w:left="0" w:right="197"/>
              <w:jc w:val="right"/>
              <w:rPr>
                <w:sz w:val="24"/>
              </w:rPr>
            </w:pPr>
            <w:r>
              <w:rPr>
                <w:sz w:val="24"/>
              </w:rPr>
              <w:t>(1)</w:t>
            </w:r>
          </w:p>
        </w:tc>
      </w:tr>
    </w:tbl>
    <w:p>
      <w:pPr>
        <w:pStyle w:val="BodyText"/>
        <w:spacing w:before="3"/>
        <w:ind w:left="0"/>
        <w:jc w:val="left"/>
        <w:rPr>
          <w:sz w:val="29"/>
        </w:rPr>
      </w:pPr>
    </w:p>
    <w:p>
      <w:pPr>
        <w:pStyle w:val="BodyText"/>
        <w:ind w:left="0" w:right="314"/>
        <w:jc w:val="right"/>
        <w:rPr>
          <w:i/>
          <w:sz w:val="16"/>
        </w:rPr>
      </w:pPr>
      <w:r>
        <w:rPr>
          <w:position w:val="2"/>
        </w:rPr>
        <w:t>Denklem (1) dinamik panel modellerine ait genel gösterimi sunmaktadır. Burada, </w:t>
      </w:r>
      <w:r>
        <w:rPr>
          <w:spacing w:val="6"/>
          <w:position w:val="2"/>
        </w:rPr>
        <w:t> </w:t>
      </w:r>
      <w:r>
        <w:rPr>
          <w:i/>
          <w:position w:val="2"/>
        </w:rPr>
        <w:t>α</w:t>
      </w:r>
      <w:r>
        <w:rPr>
          <w:i/>
          <w:sz w:val="16"/>
        </w:rPr>
        <w:t>i</w:t>
      </w:r>
    </w:p>
    <w:p>
      <w:pPr>
        <w:pStyle w:val="BodyText"/>
        <w:spacing w:before="137"/>
        <w:ind w:left="0" w:right="311"/>
        <w:jc w:val="right"/>
      </w:pPr>
      <w:r>
        <w:rPr>
          <w:position w:val="2"/>
        </w:rPr>
        <w:t>birim</w:t>
      </w:r>
      <w:r>
        <w:rPr>
          <w:spacing w:val="41"/>
          <w:position w:val="2"/>
        </w:rPr>
        <w:t> </w:t>
      </w:r>
      <w:r>
        <w:rPr>
          <w:position w:val="2"/>
        </w:rPr>
        <w:t>düzeyinde</w:t>
      </w:r>
      <w:r>
        <w:rPr>
          <w:spacing w:val="40"/>
          <w:position w:val="2"/>
        </w:rPr>
        <w:t> </w:t>
      </w:r>
      <w:r>
        <w:rPr>
          <w:position w:val="2"/>
        </w:rPr>
        <w:t>gözlemlenemeyen</w:t>
      </w:r>
      <w:r>
        <w:rPr>
          <w:spacing w:val="40"/>
          <w:position w:val="2"/>
        </w:rPr>
        <w:t> </w:t>
      </w:r>
      <w:r>
        <w:rPr>
          <w:position w:val="2"/>
        </w:rPr>
        <w:t>sabit</w:t>
      </w:r>
      <w:r>
        <w:rPr>
          <w:spacing w:val="41"/>
          <w:position w:val="2"/>
        </w:rPr>
        <w:t> </w:t>
      </w:r>
      <w:r>
        <w:rPr>
          <w:position w:val="2"/>
        </w:rPr>
        <w:t>etkileri</w:t>
      </w:r>
      <w:r>
        <w:rPr>
          <w:spacing w:val="45"/>
          <w:position w:val="2"/>
        </w:rPr>
        <w:t> </w:t>
      </w:r>
      <w:r>
        <w:rPr>
          <w:position w:val="2"/>
        </w:rPr>
        <w:t>ve</w:t>
      </w:r>
      <w:r>
        <w:rPr>
          <w:spacing w:val="40"/>
          <w:position w:val="2"/>
        </w:rPr>
        <w:t> </w:t>
      </w:r>
      <w:r>
        <w:rPr>
          <w:i/>
          <w:position w:val="2"/>
        </w:rPr>
        <w:t>u</w:t>
      </w:r>
      <w:r>
        <w:rPr>
          <w:i/>
          <w:sz w:val="16"/>
        </w:rPr>
        <w:t>i,t </w:t>
      </w:r>
      <w:r>
        <w:rPr>
          <w:i/>
          <w:spacing w:val="22"/>
          <w:sz w:val="16"/>
        </w:rPr>
        <w:t> </w:t>
      </w:r>
      <w:r>
        <w:rPr>
          <w:position w:val="2"/>
        </w:rPr>
        <w:t>ise</w:t>
      </w:r>
      <w:r>
        <w:rPr>
          <w:spacing w:val="40"/>
          <w:position w:val="2"/>
        </w:rPr>
        <w:t> </w:t>
      </w:r>
      <w:r>
        <w:rPr>
          <w:position w:val="2"/>
        </w:rPr>
        <w:t>birim</w:t>
      </w:r>
      <w:r>
        <w:rPr>
          <w:spacing w:val="42"/>
          <w:position w:val="2"/>
        </w:rPr>
        <w:t> </w:t>
      </w:r>
      <w:r>
        <w:rPr>
          <w:position w:val="2"/>
        </w:rPr>
        <w:t>ve</w:t>
      </w:r>
      <w:r>
        <w:rPr>
          <w:spacing w:val="40"/>
          <w:position w:val="2"/>
        </w:rPr>
        <w:t> </w:t>
      </w:r>
      <w:r>
        <w:rPr>
          <w:position w:val="2"/>
        </w:rPr>
        <w:t>zaman</w:t>
      </w:r>
      <w:r>
        <w:rPr>
          <w:spacing w:val="40"/>
          <w:position w:val="2"/>
        </w:rPr>
        <w:t> </w:t>
      </w:r>
      <w:r>
        <w:rPr>
          <w:position w:val="2"/>
        </w:rPr>
        <w:t>boyutlarında</w:t>
      </w:r>
    </w:p>
    <w:p>
      <w:pPr>
        <w:spacing w:after="0"/>
        <w:jc w:val="right"/>
        <w:sectPr>
          <w:pgSz w:w="12240" w:h="15840"/>
          <w:pgMar w:header="718" w:footer="0" w:top="1300" w:bottom="280" w:left="1720" w:right="820"/>
        </w:sectPr>
      </w:pPr>
    </w:p>
    <w:p>
      <w:pPr>
        <w:pStyle w:val="BodyText"/>
        <w:spacing w:line="360" w:lineRule="auto" w:before="99"/>
        <w:ind w:right="308"/>
      </w:pPr>
      <w:r>
        <w:rPr>
          <w:position w:val="2"/>
        </w:rPr>
        <w:t>gözlemlenemeyen etkileri göstermektedir. Modelin hata terimi, </w:t>
      </w:r>
      <w:r>
        <w:rPr>
          <w:i/>
          <w:position w:val="2"/>
        </w:rPr>
        <w:t>ε</w:t>
      </w:r>
      <w:r>
        <w:rPr>
          <w:i/>
          <w:sz w:val="16"/>
        </w:rPr>
        <w:t>it</w:t>
      </w:r>
      <w:r>
        <w:rPr>
          <w:position w:val="2"/>
        </w:rPr>
        <w:t>, </w:t>
      </w:r>
      <w:r>
        <w:rPr>
          <w:i/>
          <w:position w:val="2"/>
        </w:rPr>
        <w:t>α</w:t>
      </w:r>
      <w:r>
        <w:rPr>
          <w:i/>
          <w:sz w:val="16"/>
        </w:rPr>
        <w:t>i </w:t>
      </w:r>
      <w:r>
        <w:rPr>
          <w:position w:val="2"/>
        </w:rPr>
        <w:t>ve </w:t>
      </w:r>
      <w:r>
        <w:rPr>
          <w:i/>
          <w:position w:val="2"/>
        </w:rPr>
        <w:t>u</w:t>
      </w:r>
      <w:r>
        <w:rPr>
          <w:i/>
          <w:sz w:val="16"/>
        </w:rPr>
        <w:t>i,t</w:t>
      </w:r>
      <w:r>
        <w:rPr>
          <w:position w:val="2"/>
        </w:rPr>
        <w:t>’nin toplamı olarak varsayılmaktadır. Bağımlı değişken, </w:t>
      </w:r>
      <w:r>
        <w:rPr>
          <w:i/>
          <w:position w:val="2"/>
        </w:rPr>
        <w:t>Y</w:t>
      </w:r>
      <w:r>
        <w:rPr>
          <w:i/>
          <w:sz w:val="16"/>
        </w:rPr>
        <w:t>i,t</w:t>
      </w:r>
      <w:r>
        <w:rPr>
          <w:position w:val="2"/>
        </w:rPr>
        <w:t>, </w:t>
      </w:r>
      <w:r>
        <w:rPr>
          <w:i/>
          <w:position w:val="2"/>
        </w:rPr>
        <w:t>α</w:t>
      </w:r>
      <w:r>
        <w:rPr>
          <w:i/>
          <w:sz w:val="16"/>
        </w:rPr>
        <w:t>i</w:t>
      </w:r>
      <w:r>
        <w:rPr>
          <w:position w:val="2"/>
        </w:rPr>
        <w:t>’nin bir fonksiyonudur ve dolayısıyla bağımlı değişkenin gecikmelisi olan bağımsız değişken </w:t>
      </w:r>
      <w:r>
        <w:rPr>
          <w:i/>
          <w:position w:val="2"/>
        </w:rPr>
        <w:t>Y</w:t>
      </w:r>
      <w:r>
        <w:rPr>
          <w:i/>
          <w:sz w:val="16"/>
        </w:rPr>
        <w:t>i,t-1 </w:t>
      </w:r>
      <w:r>
        <w:rPr>
          <w:position w:val="2"/>
        </w:rPr>
        <w:t>de </w:t>
      </w:r>
      <w:r>
        <w:rPr>
          <w:i/>
          <w:position w:val="2"/>
        </w:rPr>
        <w:t>α</w:t>
      </w:r>
      <w:r>
        <w:rPr>
          <w:i/>
          <w:sz w:val="16"/>
        </w:rPr>
        <w:t>i</w:t>
      </w:r>
      <w:r>
        <w:rPr>
          <w:position w:val="2"/>
        </w:rPr>
        <w:t>’nin bir fonksiyonudur. Bu durumda, bağımsız değişken </w:t>
      </w:r>
      <w:r>
        <w:rPr>
          <w:i/>
          <w:position w:val="2"/>
        </w:rPr>
        <w:t>Y</w:t>
      </w:r>
      <w:r>
        <w:rPr>
          <w:i/>
          <w:sz w:val="16"/>
        </w:rPr>
        <w:t>i,t-1 </w:t>
      </w:r>
      <w:r>
        <w:rPr>
          <w:position w:val="2"/>
        </w:rPr>
        <w:t>ile modelin hata terimi </w:t>
      </w:r>
      <w:r>
        <w:rPr>
          <w:i/>
          <w:position w:val="2"/>
        </w:rPr>
        <w:t>ε</w:t>
      </w:r>
      <w:r>
        <w:rPr>
          <w:i/>
          <w:sz w:val="16"/>
        </w:rPr>
        <w:t>it </w:t>
      </w:r>
      <w:r>
        <w:rPr>
          <w:position w:val="2"/>
        </w:rPr>
        <w:t>arasında korelasyon ortaya </w:t>
      </w:r>
      <w:r>
        <w:rPr/>
        <w:t>çıkmaktadır. İçsellik sorunu kaynağı olan bu durumun çözümünde Genelleştirilmiş Momentler Yöntemi (Generalized Method of Moments-GMM) modeli sıklıkla kullanılmaktadır (Ullah vd., 2018). Holtz-Eakin vd., (1988), Arellano ve Bond (1991), Arellano ve Bover (1995) ve Blundell ve Bond (1998) tarafından geliştirilen GMM modeli, dinamik panel verilerdeki içsellik sorununa karşın tutarlı sonuçlar ortaya çıkarmaktadır (Wintoki vd., 2012). GMM modeli, içsellik sorununu verileri dönüştürüp birim düzeyinde </w:t>
      </w:r>
      <w:r>
        <w:rPr>
          <w:position w:val="2"/>
        </w:rPr>
        <w:t>gözlemlenemeyen sabit etkileri, </w:t>
      </w:r>
      <w:r>
        <w:rPr>
          <w:i/>
          <w:position w:val="2"/>
        </w:rPr>
        <w:t>α</w:t>
      </w:r>
      <w:r>
        <w:rPr>
          <w:i/>
          <w:sz w:val="16"/>
        </w:rPr>
        <w:t>i</w:t>
      </w:r>
      <w:r>
        <w:rPr>
          <w:position w:val="2"/>
        </w:rPr>
        <w:t>, sıfırlayarak ya da araç değişkenler kullanarak ortadan </w:t>
      </w:r>
      <w:r>
        <w:rPr/>
        <w:t>kaldırmaktadır (Roodman, 2009a).</w:t>
      </w:r>
    </w:p>
    <w:p>
      <w:pPr>
        <w:pStyle w:val="BodyText"/>
        <w:spacing w:line="360" w:lineRule="auto"/>
        <w:ind w:right="309" w:firstLine="708"/>
      </w:pPr>
      <w:r>
        <w:rPr/>
        <w:t>İki tür dönüşüm kullanılmaktadır. İlki, birinci fark dönüşümü, bir değişkenin</w:t>
      </w:r>
      <w:r>
        <w:rPr>
          <w:spacing w:val="-22"/>
        </w:rPr>
        <w:t> </w:t>
      </w:r>
      <w:r>
        <w:rPr/>
        <w:t>mevcut dönem değerinden geçmiş dönem değerinin çıkarılmasıyla elde edilmektedir (Ullah vd., 2018). Ancak, birinci fark dönüşümü dengesiz panellerde veri kaybını artırmaktadır. Bu olumsuzluk</w:t>
      </w:r>
      <w:r>
        <w:rPr>
          <w:spacing w:val="-15"/>
        </w:rPr>
        <w:t> </w:t>
      </w:r>
      <w:r>
        <w:rPr/>
        <w:t>ikinci</w:t>
      </w:r>
      <w:r>
        <w:rPr>
          <w:spacing w:val="-15"/>
        </w:rPr>
        <w:t> </w:t>
      </w:r>
      <w:r>
        <w:rPr/>
        <w:t>tür</w:t>
      </w:r>
      <w:r>
        <w:rPr>
          <w:spacing w:val="-15"/>
        </w:rPr>
        <w:t> </w:t>
      </w:r>
      <w:r>
        <w:rPr/>
        <w:t>dönüşümü</w:t>
      </w:r>
      <w:r>
        <w:rPr>
          <w:spacing w:val="-16"/>
        </w:rPr>
        <w:t> </w:t>
      </w:r>
      <w:r>
        <w:rPr/>
        <w:t>ön</w:t>
      </w:r>
      <w:r>
        <w:rPr>
          <w:spacing w:val="-16"/>
        </w:rPr>
        <w:t> </w:t>
      </w:r>
      <w:r>
        <w:rPr/>
        <w:t>plana</w:t>
      </w:r>
      <w:r>
        <w:rPr>
          <w:spacing w:val="-14"/>
        </w:rPr>
        <w:t> </w:t>
      </w:r>
      <w:r>
        <w:rPr/>
        <w:t>çıkarmaktadır.</w:t>
      </w:r>
      <w:r>
        <w:rPr>
          <w:spacing w:val="-14"/>
        </w:rPr>
        <w:t> </w:t>
      </w:r>
      <w:r>
        <w:rPr/>
        <w:t>İleri</w:t>
      </w:r>
      <w:r>
        <w:rPr>
          <w:spacing w:val="-15"/>
        </w:rPr>
        <w:t> </w:t>
      </w:r>
      <w:r>
        <w:rPr/>
        <w:t>dönük</w:t>
      </w:r>
      <w:r>
        <w:rPr>
          <w:spacing w:val="-16"/>
        </w:rPr>
        <w:t> </w:t>
      </w:r>
      <w:r>
        <w:rPr/>
        <w:t>dikey</w:t>
      </w:r>
      <w:r>
        <w:rPr>
          <w:spacing w:val="-14"/>
        </w:rPr>
        <w:t> </w:t>
      </w:r>
      <w:r>
        <w:rPr/>
        <w:t>sapmalar</w:t>
      </w:r>
      <w:r>
        <w:rPr>
          <w:spacing w:val="-16"/>
        </w:rPr>
        <w:t> </w:t>
      </w:r>
      <w:r>
        <w:rPr/>
        <w:t>(forward orthogonal deviations) ya da dikey sapmalar (orthogonal deviations) denilen bu dönüşüm, değişkenin veri setinde olan tüm gelecek değerlerinin ortalamasının mevcut dönem değerinden çıkarılmasıyla elde edilmektedir (Arellano ve Bover, 1995). Ne kadar eksik veri olursa olsun tüm gözlemler için, en son dönem hariç, hesaplanabilir bir dönüşümdür. Dolayısıyla veri kaybı en aza indirgenmiş olmaktadır (Roodman, 2009a). Denklem (2)’de GMM modelinin veriler dönüştürüldükten sonraki genel gösterimi</w:t>
      </w:r>
      <w:r>
        <w:rPr>
          <w:spacing w:val="-6"/>
        </w:rPr>
        <w:t> </w:t>
      </w:r>
      <w:r>
        <w:rPr/>
        <w:t>sunulmuştur.</w:t>
      </w:r>
    </w:p>
    <w:p>
      <w:pPr>
        <w:pStyle w:val="BodyText"/>
        <w:ind w:left="0"/>
        <w:jc w:val="left"/>
        <w:rPr>
          <w:sz w:val="20"/>
        </w:rPr>
      </w:pPr>
    </w:p>
    <w:p>
      <w:pPr>
        <w:pStyle w:val="BodyText"/>
        <w:spacing w:before="9"/>
        <w:ind w:left="0"/>
        <w:jc w:val="left"/>
        <w:rPr>
          <w:sz w:val="12"/>
        </w:rPr>
      </w:pPr>
    </w:p>
    <w:tbl>
      <w:tblPr>
        <w:tblW w:w="0" w:type="auto"/>
        <w:jc w:val="left"/>
        <w:tblInd w:w="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61"/>
        <w:gridCol w:w="2953"/>
      </w:tblGrid>
      <w:tr>
        <w:trPr>
          <w:trHeight w:val="290" w:hRule="atLeast"/>
        </w:trPr>
        <w:tc>
          <w:tcPr>
            <w:tcW w:w="6061" w:type="dxa"/>
          </w:tcPr>
          <w:p>
            <w:pPr>
              <w:pStyle w:val="TableParagraph"/>
              <w:spacing w:line="270" w:lineRule="exact"/>
              <w:ind w:left="200"/>
              <w:rPr>
                <w:rFonts w:ascii="DejaVu Serif Condensed" w:hAnsi="DejaVu Serif Condensed" w:eastAsia="DejaVu Serif Condensed"/>
                <w:sz w:val="17"/>
              </w:rPr>
            </w:pPr>
            <w:r>
              <w:rPr>
                <w:rFonts w:ascii="DejaVu Serif Condensed" w:hAnsi="DejaVu Serif Condensed" w:eastAsia="DejaVu Serif Condensed"/>
                <w:position w:val="5"/>
                <w:sz w:val="24"/>
              </w:rPr>
              <w:t>∆𝑌</w:t>
            </w:r>
            <w:r>
              <w:rPr>
                <w:rFonts w:ascii="DejaVu Serif Condensed" w:hAnsi="DejaVu Serif Condensed" w:eastAsia="DejaVu Serif Condensed"/>
                <w:sz w:val="17"/>
              </w:rPr>
              <w:t>𝑖,𝑡 </w:t>
            </w:r>
            <w:r>
              <w:rPr>
                <w:rFonts w:ascii="DejaVu Serif Condensed" w:hAnsi="DejaVu Serif Condensed" w:eastAsia="DejaVu Serif Condensed"/>
                <w:position w:val="5"/>
                <w:sz w:val="24"/>
              </w:rPr>
              <w:t>= 𝛽</w:t>
            </w:r>
            <w:r>
              <w:rPr>
                <w:rFonts w:ascii="DejaVu Serif Condensed" w:hAnsi="DejaVu Serif Condensed" w:eastAsia="DejaVu Serif Condensed"/>
                <w:sz w:val="17"/>
              </w:rPr>
              <w:t>1</w:t>
            </w:r>
            <w:r>
              <w:rPr>
                <w:rFonts w:ascii="DejaVu Serif Condensed" w:hAnsi="DejaVu Serif Condensed" w:eastAsia="DejaVu Serif Condensed"/>
                <w:position w:val="5"/>
                <w:sz w:val="24"/>
              </w:rPr>
              <w:t>∆𝑌</w:t>
            </w:r>
            <w:r>
              <w:rPr>
                <w:rFonts w:ascii="DejaVu Serif Condensed" w:hAnsi="DejaVu Serif Condensed" w:eastAsia="DejaVu Serif Condensed"/>
                <w:sz w:val="17"/>
              </w:rPr>
              <w:t>𝑖,𝑡−1 </w:t>
            </w:r>
            <w:r>
              <w:rPr>
                <w:rFonts w:ascii="DejaVu Serif Condensed" w:hAnsi="DejaVu Serif Condensed" w:eastAsia="DejaVu Serif Condensed"/>
                <w:position w:val="5"/>
                <w:sz w:val="24"/>
              </w:rPr>
              <w:t>+ 𝛽</w:t>
            </w:r>
            <w:r>
              <w:rPr>
                <w:rFonts w:ascii="DejaVu Serif Condensed" w:hAnsi="DejaVu Serif Condensed" w:eastAsia="DejaVu Serif Condensed"/>
                <w:sz w:val="17"/>
              </w:rPr>
              <w:t>2</w:t>
            </w:r>
            <w:r>
              <w:rPr>
                <w:rFonts w:ascii="DejaVu Serif Condensed" w:hAnsi="DejaVu Serif Condensed" w:eastAsia="DejaVu Serif Condensed"/>
                <w:position w:val="5"/>
                <w:sz w:val="24"/>
              </w:rPr>
              <w:t>∆𝑋</w:t>
            </w:r>
            <w:r>
              <w:rPr>
                <w:rFonts w:ascii="DejaVu Serif Condensed" w:hAnsi="DejaVu Serif Condensed" w:eastAsia="DejaVu Serif Condensed"/>
                <w:sz w:val="17"/>
              </w:rPr>
              <w:t>𝑖,𝑡 </w:t>
            </w:r>
            <w:r>
              <w:rPr>
                <w:rFonts w:ascii="DejaVu Serif Condensed" w:hAnsi="DejaVu Serif Condensed" w:eastAsia="DejaVu Serif Condensed"/>
                <w:position w:val="5"/>
                <w:sz w:val="24"/>
              </w:rPr>
              <w:t>+ ∆𝑢</w:t>
            </w:r>
            <w:r>
              <w:rPr>
                <w:rFonts w:ascii="DejaVu Serif Condensed" w:hAnsi="DejaVu Serif Condensed" w:eastAsia="DejaVu Serif Condensed"/>
                <w:sz w:val="17"/>
              </w:rPr>
              <w:t>𝑖,𝑡</w:t>
            </w:r>
          </w:p>
        </w:tc>
        <w:tc>
          <w:tcPr>
            <w:tcW w:w="2953" w:type="dxa"/>
          </w:tcPr>
          <w:p>
            <w:pPr>
              <w:pStyle w:val="TableParagraph"/>
              <w:spacing w:line="266" w:lineRule="exact"/>
              <w:ind w:left="0" w:right="197"/>
              <w:jc w:val="right"/>
              <w:rPr>
                <w:sz w:val="24"/>
              </w:rPr>
            </w:pPr>
            <w:r>
              <w:rPr>
                <w:sz w:val="24"/>
              </w:rPr>
              <w:t>(2)</w:t>
            </w:r>
          </w:p>
        </w:tc>
      </w:tr>
    </w:tbl>
    <w:p>
      <w:pPr>
        <w:pStyle w:val="BodyText"/>
        <w:spacing w:before="10"/>
        <w:ind w:left="0"/>
        <w:jc w:val="left"/>
        <w:rPr>
          <w:sz w:val="31"/>
        </w:rPr>
      </w:pPr>
    </w:p>
    <w:p>
      <w:pPr>
        <w:pStyle w:val="BodyText"/>
        <w:spacing w:line="360" w:lineRule="auto"/>
        <w:ind w:right="308" w:firstLine="708"/>
      </w:pPr>
      <w:r>
        <w:rPr/>
        <w:t>İki temel GMM tahmincisi bulunmaktadır. İlki, birinci fark dönüşümünü merkezine alan “fark GMM” (Difference GMM) olarak adlandırılmaktadır (Arellano ve Bond, 1991). Ancak, fark GMM kullanılan modellerde otoregresif parametreler (bağımlı değişkenin gecikmelileri) fazla ise ve zaman boyutu küçük ise zayıf araç değişken sorunu ortaya çıkabilmektedir (Köseoğlu, 2019). Arellano ve Bover (1995) ve Blundell ve Bond (1998) birinci</w:t>
      </w:r>
      <w:r>
        <w:rPr>
          <w:spacing w:val="-12"/>
        </w:rPr>
        <w:t> </w:t>
      </w:r>
      <w:r>
        <w:rPr/>
        <w:t>farklar</w:t>
      </w:r>
      <w:r>
        <w:rPr>
          <w:spacing w:val="-13"/>
        </w:rPr>
        <w:t> </w:t>
      </w:r>
      <w:r>
        <w:rPr/>
        <w:t>dönüşümüne</w:t>
      </w:r>
      <w:r>
        <w:rPr>
          <w:spacing w:val="-12"/>
        </w:rPr>
        <w:t> </w:t>
      </w:r>
      <w:r>
        <w:rPr/>
        <w:t>alternatif</w:t>
      </w:r>
      <w:r>
        <w:rPr>
          <w:spacing w:val="-13"/>
        </w:rPr>
        <w:t> </w:t>
      </w:r>
      <w:r>
        <w:rPr/>
        <w:t>olarak</w:t>
      </w:r>
      <w:r>
        <w:rPr>
          <w:spacing w:val="-10"/>
        </w:rPr>
        <w:t> </w:t>
      </w:r>
      <w:r>
        <w:rPr/>
        <w:t>dikey</w:t>
      </w:r>
      <w:r>
        <w:rPr>
          <w:spacing w:val="-9"/>
        </w:rPr>
        <w:t> </w:t>
      </w:r>
      <w:r>
        <w:rPr/>
        <w:t>sapmalar</w:t>
      </w:r>
      <w:r>
        <w:rPr>
          <w:spacing w:val="-12"/>
        </w:rPr>
        <w:t> </w:t>
      </w:r>
      <w:r>
        <w:rPr/>
        <w:t>dönüşümünü</w:t>
      </w:r>
      <w:r>
        <w:rPr>
          <w:spacing w:val="-12"/>
        </w:rPr>
        <w:t> </w:t>
      </w:r>
      <w:r>
        <w:rPr/>
        <w:t>ortaya</w:t>
      </w:r>
      <w:r>
        <w:rPr>
          <w:spacing w:val="-12"/>
        </w:rPr>
        <w:t> </w:t>
      </w:r>
      <w:r>
        <w:rPr/>
        <w:t>koyup</w:t>
      </w:r>
      <w:r>
        <w:rPr>
          <w:spacing w:val="-12"/>
        </w:rPr>
        <w:t> </w:t>
      </w:r>
      <w:r>
        <w:rPr/>
        <w:t>ikinci tahminci</w:t>
      </w:r>
      <w:r>
        <w:rPr>
          <w:spacing w:val="20"/>
        </w:rPr>
        <w:t> </w:t>
      </w:r>
      <w:r>
        <w:rPr/>
        <w:t>olan</w:t>
      </w:r>
      <w:r>
        <w:rPr>
          <w:spacing w:val="20"/>
        </w:rPr>
        <w:t> </w:t>
      </w:r>
      <w:r>
        <w:rPr/>
        <w:t>“sistem</w:t>
      </w:r>
      <w:r>
        <w:rPr>
          <w:spacing w:val="20"/>
        </w:rPr>
        <w:t> </w:t>
      </w:r>
      <w:r>
        <w:rPr/>
        <w:t>GMM”</w:t>
      </w:r>
      <w:r>
        <w:rPr>
          <w:spacing w:val="19"/>
        </w:rPr>
        <w:t> </w:t>
      </w:r>
      <w:r>
        <w:rPr/>
        <w:t>(System</w:t>
      </w:r>
      <w:r>
        <w:rPr>
          <w:spacing w:val="20"/>
        </w:rPr>
        <w:t> </w:t>
      </w:r>
      <w:r>
        <w:rPr/>
        <w:t>GMM)</w:t>
      </w:r>
      <w:r>
        <w:rPr>
          <w:spacing w:val="20"/>
        </w:rPr>
        <w:t> </w:t>
      </w:r>
      <w:r>
        <w:rPr/>
        <w:t>tahmincisini</w:t>
      </w:r>
      <w:r>
        <w:rPr>
          <w:spacing w:val="20"/>
        </w:rPr>
        <w:t> </w:t>
      </w:r>
      <w:r>
        <w:rPr/>
        <w:t>geliştirmişlerdir.</w:t>
      </w:r>
      <w:r>
        <w:rPr>
          <w:spacing w:val="20"/>
        </w:rPr>
        <w:t> </w:t>
      </w:r>
      <w:r>
        <w:rPr/>
        <w:t>Bu</w:t>
      </w:r>
      <w:r>
        <w:rPr>
          <w:spacing w:val="20"/>
        </w:rPr>
        <w:t> </w:t>
      </w:r>
      <w:r>
        <w:rPr/>
        <w:t>tahminci,</w:t>
      </w:r>
    </w:p>
    <w:p>
      <w:pPr>
        <w:spacing w:after="0" w:line="360" w:lineRule="auto"/>
        <w:sectPr>
          <w:pgSz w:w="12240" w:h="15840"/>
          <w:pgMar w:header="718" w:footer="0" w:top="1300" w:bottom="280" w:left="1720" w:right="820"/>
        </w:sectPr>
      </w:pPr>
    </w:p>
    <w:p>
      <w:pPr>
        <w:pStyle w:val="BodyText"/>
        <w:spacing w:line="369" w:lineRule="auto" w:before="100"/>
        <w:ind w:right="308"/>
      </w:pPr>
      <w:r>
        <w:rPr/>
        <w:t>Denklem (1) ve (2)’yi denklemler sistemi olarak ele almaktadır. Sistem GMM, bağımlı değişkenin gecikmelisinin olası içselliğini kontrol edebilmek için, bağımlı değişkenin farklarının</w:t>
      </w:r>
      <w:r>
        <w:rPr>
          <w:spacing w:val="-10"/>
        </w:rPr>
        <w:t> </w:t>
      </w:r>
      <w:r>
        <w:rPr/>
        <w:t>gecikmelilerini</w:t>
      </w:r>
      <w:r>
        <w:rPr>
          <w:spacing w:val="-9"/>
        </w:rPr>
        <w:t> </w:t>
      </w:r>
      <w:r>
        <w:rPr/>
        <w:t>(</w:t>
      </w:r>
      <w:r>
        <w:rPr>
          <w:i/>
        </w:rPr>
        <w:t>∆Y</w:t>
      </w:r>
      <w:r>
        <w:rPr>
          <w:i/>
          <w:vertAlign w:val="subscript"/>
        </w:rPr>
        <w:t>i,t-s</w:t>
      </w:r>
      <w:r>
        <w:rPr>
          <w:vertAlign w:val="baseline"/>
        </w:rPr>
        <w:t>)</w:t>
      </w:r>
      <w:r>
        <w:rPr>
          <w:spacing w:val="-13"/>
          <w:vertAlign w:val="baseline"/>
        </w:rPr>
        <w:t> </w:t>
      </w:r>
      <w:r>
        <w:rPr>
          <w:vertAlign w:val="baseline"/>
        </w:rPr>
        <w:t>düzey</w:t>
      </w:r>
      <w:r>
        <w:rPr>
          <w:spacing w:val="-11"/>
          <w:vertAlign w:val="baseline"/>
        </w:rPr>
        <w:t> </w:t>
      </w:r>
      <w:r>
        <w:rPr>
          <w:vertAlign w:val="baseline"/>
        </w:rPr>
        <w:t>denklemi</w:t>
      </w:r>
      <w:r>
        <w:rPr>
          <w:spacing w:val="-9"/>
          <w:vertAlign w:val="baseline"/>
        </w:rPr>
        <w:t> </w:t>
      </w:r>
      <w:r>
        <w:rPr>
          <w:vertAlign w:val="baseline"/>
        </w:rPr>
        <w:t>için</w:t>
      </w:r>
      <w:r>
        <w:rPr>
          <w:spacing w:val="-11"/>
          <w:vertAlign w:val="baseline"/>
        </w:rPr>
        <w:t> </w:t>
      </w:r>
      <w:r>
        <w:rPr>
          <w:vertAlign w:val="baseline"/>
        </w:rPr>
        <w:t>(Denklem</w:t>
      </w:r>
      <w:r>
        <w:rPr>
          <w:spacing w:val="-10"/>
          <w:vertAlign w:val="baseline"/>
        </w:rPr>
        <w:t> </w:t>
      </w:r>
      <w:r>
        <w:rPr>
          <w:vertAlign w:val="baseline"/>
        </w:rPr>
        <w:t>(1))</w:t>
      </w:r>
      <w:r>
        <w:rPr>
          <w:spacing w:val="-10"/>
          <w:vertAlign w:val="baseline"/>
        </w:rPr>
        <w:t> </w:t>
      </w:r>
      <w:r>
        <w:rPr>
          <w:vertAlign w:val="baseline"/>
        </w:rPr>
        <w:t>ve</w:t>
      </w:r>
      <w:r>
        <w:rPr>
          <w:spacing w:val="-12"/>
          <w:vertAlign w:val="baseline"/>
        </w:rPr>
        <w:t> </w:t>
      </w:r>
      <w:r>
        <w:rPr>
          <w:vertAlign w:val="baseline"/>
        </w:rPr>
        <w:t>bağımlı</w:t>
      </w:r>
      <w:r>
        <w:rPr>
          <w:spacing w:val="-9"/>
          <w:vertAlign w:val="baseline"/>
        </w:rPr>
        <w:t> </w:t>
      </w:r>
      <w:r>
        <w:rPr>
          <w:vertAlign w:val="baseline"/>
        </w:rPr>
        <w:t>değişkenin gecikmelilerini de (</w:t>
      </w:r>
      <w:r>
        <w:rPr>
          <w:i/>
          <w:vertAlign w:val="baseline"/>
        </w:rPr>
        <w:t>Y</w:t>
      </w:r>
      <w:r>
        <w:rPr>
          <w:i/>
          <w:vertAlign w:val="subscript"/>
        </w:rPr>
        <w:t>i,t-s</w:t>
      </w:r>
      <w:r>
        <w:rPr>
          <w:rFonts w:ascii="DejaVu Serif Condensed" w:hAnsi="DejaVu Serif Condensed"/>
          <w:vertAlign w:val="baseline"/>
        </w:rPr>
        <w:t>) </w:t>
      </w:r>
      <w:r>
        <w:rPr>
          <w:vertAlign w:val="baseline"/>
        </w:rPr>
        <w:t>fark denklemi için (Denklem (2)) araç değişken olarak kullanmaktadır (Germann vd., 2015).</w:t>
      </w:r>
    </w:p>
    <w:p>
      <w:pPr>
        <w:pStyle w:val="BodyText"/>
        <w:spacing w:line="360" w:lineRule="auto"/>
        <w:ind w:right="307" w:firstLine="708"/>
      </w:pPr>
      <w:r>
        <w:rPr/>
        <w:t>Roodman (2009a) GMM tahmincilerinin şu durumlar için tasarlandığını belirtmektedir: (1) dar zaman boyutu ve nispeten fazla birim sayısı (küçük </w:t>
      </w:r>
      <w:r>
        <w:rPr>
          <w:i/>
        </w:rPr>
        <w:t>T, </w:t>
      </w:r>
      <w:r>
        <w:rPr/>
        <w:t>büyük </w:t>
      </w:r>
      <w:r>
        <w:rPr>
          <w:i/>
        </w:rPr>
        <w:t>N</w:t>
      </w:r>
      <w:r>
        <w:rPr/>
        <w:t>), (2) doğrusal</w:t>
      </w:r>
      <w:r>
        <w:rPr>
          <w:spacing w:val="-9"/>
        </w:rPr>
        <w:t> </w:t>
      </w:r>
      <w:r>
        <w:rPr/>
        <w:t>fonksiyonel</w:t>
      </w:r>
      <w:r>
        <w:rPr>
          <w:spacing w:val="-5"/>
        </w:rPr>
        <w:t> </w:t>
      </w:r>
      <w:r>
        <w:rPr/>
        <w:t>bir</w:t>
      </w:r>
      <w:r>
        <w:rPr>
          <w:spacing w:val="-9"/>
        </w:rPr>
        <w:t> </w:t>
      </w:r>
      <w:r>
        <w:rPr/>
        <w:t>ilişki,</w:t>
      </w:r>
      <w:r>
        <w:rPr>
          <w:spacing w:val="-9"/>
        </w:rPr>
        <w:t> </w:t>
      </w:r>
      <w:r>
        <w:rPr/>
        <w:t>(3)</w:t>
      </w:r>
      <w:r>
        <w:rPr>
          <w:spacing w:val="-9"/>
        </w:rPr>
        <w:t> </w:t>
      </w:r>
      <w:r>
        <w:rPr/>
        <w:t>kendi</w:t>
      </w:r>
      <w:r>
        <w:rPr>
          <w:spacing w:val="-6"/>
        </w:rPr>
        <w:t> </w:t>
      </w:r>
      <w:r>
        <w:rPr/>
        <w:t>geçmiş</w:t>
      </w:r>
      <w:r>
        <w:rPr>
          <w:spacing w:val="-9"/>
        </w:rPr>
        <w:t> </w:t>
      </w:r>
      <w:r>
        <w:rPr/>
        <w:t>değerlerinden</w:t>
      </w:r>
      <w:r>
        <w:rPr>
          <w:spacing w:val="-7"/>
        </w:rPr>
        <w:t> </w:t>
      </w:r>
      <w:r>
        <w:rPr/>
        <w:t>etkilenen</w:t>
      </w:r>
      <w:r>
        <w:rPr>
          <w:spacing w:val="-7"/>
        </w:rPr>
        <w:t> </w:t>
      </w:r>
      <w:r>
        <w:rPr/>
        <w:t>dinamik</w:t>
      </w:r>
      <w:r>
        <w:rPr>
          <w:spacing w:val="-9"/>
        </w:rPr>
        <w:t> </w:t>
      </w:r>
      <w:r>
        <w:rPr/>
        <w:t>bir</w:t>
      </w:r>
      <w:r>
        <w:rPr>
          <w:spacing w:val="-5"/>
        </w:rPr>
        <w:t> </w:t>
      </w:r>
      <w:r>
        <w:rPr/>
        <w:t>bağımlı değişken, (4) kesin biçimde dışsal olmayan bağımsız değişkenler (içsel olma ihtimali olan bağımsız değişkenler), (5) sabit birim etkisi (6) kendi içinde değişen varyans (heteroskedasticity)</w:t>
      </w:r>
      <w:r>
        <w:rPr>
          <w:spacing w:val="-15"/>
        </w:rPr>
        <w:t> </w:t>
      </w:r>
      <w:r>
        <w:rPr/>
        <w:t>ve</w:t>
      </w:r>
      <w:r>
        <w:rPr>
          <w:spacing w:val="-12"/>
        </w:rPr>
        <w:t> </w:t>
      </w:r>
      <w:r>
        <w:rPr/>
        <w:t>otokorelasyon</w:t>
      </w:r>
      <w:r>
        <w:rPr>
          <w:spacing w:val="-14"/>
        </w:rPr>
        <w:t> </w:t>
      </w:r>
      <w:r>
        <w:rPr/>
        <w:t>sorununa</w:t>
      </w:r>
      <w:r>
        <w:rPr>
          <w:spacing w:val="-12"/>
        </w:rPr>
        <w:t> </w:t>
      </w:r>
      <w:r>
        <w:rPr/>
        <w:t>sahip</w:t>
      </w:r>
      <w:r>
        <w:rPr>
          <w:spacing w:val="-12"/>
        </w:rPr>
        <w:t> </w:t>
      </w:r>
      <w:r>
        <w:rPr/>
        <w:t>ancak</w:t>
      </w:r>
      <w:r>
        <w:rPr>
          <w:spacing w:val="-12"/>
        </w:rPr>
        <w:t> </w:t>
      </w:r>
      <w:r>
        <w:rPr/>
        <w:t>birbirleri</w:t>
      </w:r>
      <w:r>
        <w:rPr>
          <w:spacing w:val="-12"/>
        </w:rPr>
        <w:t> </w:t>
      </w:r>
      <w:r>
        <w:rPr/>
        <w:t>arasında</w:t>
      </w:r>
      <w:r>
        <w:rPr>
          <w:spacing w:val="-14"/>
        </w:rPr>
        <w:t> </w:t>
      </w:r>
      <w:r>
        <w:rPr/>
        <w:t>böyle</w:t>
      </w:r>
      <w:r>
        <w:rPr>
          <w:spacing w:val="-14"/>
        </w:rPr>
        <w:t> </w:t>
      </w:r>
      <w:r>
        <w:rPr/>
        <w:t>sorunlar olmayan birimler. Bu durumlara ek olarak, GMM’in geçerliliği için hayati bir varsayım da araç değişkenlerin dışsal olmasıdır (Roodman, 2009b). GMM, model dışı araç değişkenlere ihtiyaç duymamakta ve değişkenlerin gecikmeli değerlerini araç değişken olarak kullanarak dışsal araç değişken gerekliliğini sağlamaktadır (Germann vd.,</w:t>
      </w:r>
      <w:r>
        <w:rPr>
          <w:spacing w:val="-4"/>
        </w:rPr>
        <w:t> </w:t>
      </w:r>
      <w:r>
        <w:rPr/>
        <w:t>2015).</w:t>
      </w:r>
    </w:p>
    <w:p>
      <w:pPr>
        <w:pStyle w:val="BodyText"/>
        <w:spacing w:line="360" w:lineRule="auto"/>
        <w:ind w:right="308" w:firstLine="708"/>
      </w:pPr>
      <w:r>
        <w:rPr/>
        <w:t>Bu varsayımlar doğrultusunda, GMM sonuçlarının tutarlılığı için iki önemli test yapılmalıdır. İlk olarak, araç değişkenlerin geçerliliği (dışsal olup olmadığı) test</w:t>
      </w:r>
      <w:r>
        <w:rPr>
          <w:spacing w:val="-30"/>
        </w:rPr>
        <w:t> </w:t>
      </w:r>
      <w:r>
        <w:rPr/>
        <w:t>edilmelidir. Bunun</w:t>
      </w:r>
      <w:r>
        <w:rPr>
          <w:spacing w:val="-17"/>
        </w:rPr>
        <w:t> </w:t>
      </w:r>
      <w:r>
        <w:rPr/>
        <w:t>için</w:t>
      </w:r>
      <w:r>
        <w:rPr>
          <w:spacing w:val="28"/>
        </w:rPr>
        <w:t> </w:t>
      </w:r>
      <w:r>
        <w:rPr/>
        <w:t>Sargan</w:t>
      </w:r>
      <w:r>
        <w:rPr>
          <w:spacing w:val="-17"/>
        </w:rPr>
        <w:t> </w:t>
      </w:r>
      <w:r>
        <w:rPr/>
        <w:t>veya</w:t>
      </w:r>
      <w:r>
        <w:rPr>
          <w:spacing w:val="-14"/>
        </w:rPr>
        <w:t> </w:t>
      </w:r>
      <w:r>
        <w:rPr/>
        <w:t>Hansen</w:t>
      </w:r>
      <w:r>
        <w:rPr>
          <w:spacing w:val="-17"/>
        </w:rPr>
        <w:t> </w:t>
      </w:r>
      <w:r>
        <w:rPr/>
        <w:t>test</w:t>
      </w:r>
      <w:r>
        <w:rPr>
          <w:spacing w:val="-16"/>
        </w:rPr>
        <w:t> </w:t>
      </w:r>
      <w:r>
        <w:rPr/>
        <w:t>istatistikleri</w:t>
      </w:r>
      <w:r>
        <w:rPr>
          <w:spacing w:val="-16"/>
        </w:rPr>
        <w:t> </w:t>
      </w:r>
      <w:r>
        <w:rPr/>
        <w:t>kullanılmaktadır.</w:t>
      </w:r>
      <w:r>
        <w:rPr>
          <w:spacing w:val="-16"/>
        </w:rPr>
        <w:t> </w:t>
      </w:r>
      <w:r>
        <w:rPr/>
        <w:t>Her</w:t>
      </w:r>
      <w:r>
        <w:rPr>
          <w:spacing w:val="-18"/>
        </w:rPr>
        <w:t> </w:t>
      </w:r>
      <w:r>
        <w:rPr/>
        <w:t>iki</w:t>
      </w:r>
      <w:r>
        <w:rPr>
          <w:spacing w:val="-16"/>
        </w:rPr>
        <w:t> </w:t>
      </w:r>
      <w:r>
        <w:rPr/>
        <w:t>testin</w:t>
      </w:r>
      <w:r>
        <w:rPr>
          <w:spacing w:val="-16"/>
        </w:rPr>
        <w:t> </w:t>
      </w:r>
      <w:r>
        <w:rPr/>
        <w:t>sıfır</w:t>
      </w:r>
      <w:r>
        <w:rPr>
          <w:spacing w:val="-17"/>
        </w:rPr>
        <w:t> </w:t>
      </w:r>
      <w:r>
        <w:rPr/>
        <w:t>hipotezi de araç değişkenlerin geçerli olduğunu ifade etmektedir. Dolayısıyla, reddedilemeyen sıfır hipotezi, modelde belirlenen araç değişkenlerin geçerli olduğuna işaret etmektedir (Roodman, 2009b). Kontrol edilmesi gereken bir diğer test de, Arellano ve Bond (1991) tarafından geliştirilen otokorelasyon testleridir. Sıfır hipotezi otokorelasyon yoktur şeklinde olan</w:t>
      </w:r>
      <w:r>
        <w:rPr>
          <w:spacing w:val="-13"/>
        </w:rPr>
        <w:t> </w:t>
      </w:r>
      <w:r>
        <w:rPr/>
        <w:t>otokorelasyon</w:t>
      </w:r>
      <w:r>
        <w:rPr>
          <w:spacing w:val="-9"/>
        </w:rPr>
        <w:t> </w:t>
      </w:r>
      <w:r>
        <w:rPr/>
        <w:t>testleri,</w:t>
      </w:r>
      <w:r>
        <w:rPr>
          <w:spacing w:val="-12"/>
        </w:rPr>
        <w:t> </w:t>
      </w:r>
      <w:r>
        <w:rPr/>
        <w:t>genellikle</w:t>
      </w:r>
      <w:r>
        <w:rPr>
          <w:spacing w:val="-12"/>
        </w:rPr>
        <w:t> </w:t>
      </w:r>
      <w:r>
        <w:rPr/>
        <w:t>birinci</w:t>
      </w:r>
      <w:r>
        <w:rPr>
          <w:spacing w:val="-12"/>
        </w:rPr>
        <w:t> </w:t>
      </w:r>
      <w:r>
        <w:rPr/>
        <w:t>dereceden</w:t>
      </w:r>
      <w:r>
        <w:rPr>
          <w:spacing w:val="-9"/>
        </w:rPr>
        <w:t> </w:t>
      </w:r>
      <w:r>
        <w:rPr/>
        <w:t>(AR(1))</w:t>
      </w:r>
      <w:r>
        <w:rPr>
          <w:spacing w:val="-10"/>
        </w:rPr>
        <w:t> </w:t>
      </w:r>
      <w:r>
        <w:rPr/>
        <w:t>ve</w:t>
      </w:r>
      <w:r>
        <w:rPr>
          <w:spacing w:val="-11"/>
        </w:rPr>
        <w:t> </w:t>
      </w:r>
      <w:r>
        <w:rPr/>
        <w:t>ikinci</w:t>
      </w:r>
      <w:r>
        <w:rPr>
          <w:spacing w:val="-11"/>
        </w:rPr>
        <w:t> </w:t>
      </w:r>
      <w:r>
        <w:rPr/>
        <w:t>dereceden</w:t>
      </w:r>
      <w:r>
        <w:rPr>
          <w:spacing w:val="-10"/>
        </w:rPr>
        <w:t> </w:t>
      </w:r>
      <w:r>
        <w:rPr/>
        <w:t>(AR(2)) sınanmaktadır. AR (2) yani ikinci dereceden otokorelasyon yoktur hipotezinin reddedilememesi</w:t>
      </w:r>
      <w:r>
        <w:rPr>
          <w:spacing w:val="-1"/>
        </w:rPr>
        <w:t> </w:t>
      </w:r>
      <w:r>
        <w:rPr/>
        <w:t>beklenmektedir.</w:t>
      </w:r>
    </w:p>
    <w:p>
      <w:pPr>
        <w:pStyle w:val="Heading1"/>
        <w:numPr>
          <w:ilvl w:val="3"/>
          <w:numId w:val="2"/>
        </w:numPr>
        <w:tabs>
          <w:tab w:pos="2037" w:val="left" w:leader="none"/>
        </w:tabs>
        <w:spacing w:line="240" w:lineRule="auto" w:before="151" w:after="0"/>
        <w:ind w:left="2036" w:right="0" w:hanging="781"/>
        <w:jc w:val="both"/>
      </w:pPr>
      <w:r>
        <w:rPr/>
        <w:t>Araştırma</w:t>
      </w:r>
      <w:r>
        <w:rPr>
          <w:spacing w:val="-1"/>
        </w:rPr>
        <w:t> </w:t>
      </w:r>
      <w:r>
        <w:rPr/>
        <w:t>Modelleri</w:t>
      </w:r>
    </w:p>
    <w:p>
      <w:pPr>
        <w:pStyle w:val="BodyText"/>
        <w:spacing w:line="360" w:lineRule="auto" w:before="137"/>
        <w:ind w:right="310" w:firstLine="708"/>
      </w:pPr>
      <w:r>
        <w:rPr/>
        <w:t>Bölüm 2.2.5.1’de aktarılan içsellik probleminden ve GMM modellerinin bu sorunun çözümü</w:t>
      </w:r>
      <w:r>
        <w:rPr>
          <w:spacing w:val="-14"/>
        </w:rPr>
        <w:t> </w:t>
      </w:r>
      <w:r>
        <w:rPr/>
        <w:t>için</w:t>
      </w:r>
      <w:r>
        <w:rPr>
          <w:spacing w:val="-13"/>
        </w:rPr>
        <w:t> </w:t>
      </w:r>
      <w:r>
        <w:rPr/>
        <w:t>uygun</w:t>
      </w:r>
      <w:r>
        <w:rPr>
          <w:spacing w:val="-13"/>
        </w:rPr>
        <w:t> </w:t>
      </w:r>
      <w:r>
        <w:rPr/>
        <w:t>yöntem</w:t>
      </w:r>
      <w:r>
        <w:rPr>
          <w:spacing w:val="-13"/>
        </w:rPr>
        <w:t> </w:t>
      </w:r>
      <w:r>
        <w:rPr/>
        <w:t>olmasından</w:t>
      </w:r>
      <w:r>
        <w:rPr>
          <w:spacing w:val="-15"/>
        </w:rPr>
        <w:t> </w:t>
      </w:r>
      <w:r>
        <w:rPr/>
        <w:t>dolayı,</w:t>
      </w:r>
      <w:r>
        <w:rPr>
          <w:spacing w:val="-13"/>
        </w:rPr>
        <w:t> </w:t>
      </w:r>
      <w:r>
        <w:rPr/>
        <w:t>hipotezlerin</w:t>
      </w:r>
      <w:r>
        <w:rPr>
          <w:spacing w:val="-11"/>
        </w:rPr>
        <w:t> </w:t>
      </w:r>
      <w:r>
        <w:rPr/>
        <w:t>GMM</w:t>
      </w:r>
      <w:r>
        <w:rPr>
          <w:spacing w:val="-14"/>
        </w:rPr>
        <w:t> </w:t>
      </w:r>
      <w:r>
        <w:rPr/>
        <w:t>modeli</w:t>
      </w:r>
      <w:r>
        <w:rPr>
          <w:spacing w:val="-13"/>
        </w:rPr>
        <w:t> </w:t>
      </w:r>
      <w:r>
        <w:rPr/>
        <w:t>ile</w:t>
      </w:r>
      <w:r>
        <w:rPr>
          <w:spacing w:val="-14"/>
        </w:rPr>
        <w:t> </w:t>
      </w:r>
      <w:r>
        <w:rPr/>
        <w:t>test</w:t>
      </w:r>
      <w:r>
        <w:rPr>
          <w:spacing w:val="-13"/>
        </w:rPr>
        <w:t> </w:t>
      </w:r>
      <w:r>
        <w:rPr/>
        <w:t>edilmesinin</w:t>
      </w:r>
    </w:p>
    <w:p>
      <w:pPr>
        <w:spacing w:after="0" w:line="360" w:lineRule="auto"/>
        <w:sectPr>
          <w:pgSz w:w="12240" w:h="15840"/>
          <w:pgMar w:header="718" w:footer="0" w:top="1300" w:bottom="280" w:left="1720" w:right="820"/>
        </w:sectPr>
      </w:pPr>
    </w:p>
    <w:p>
      <w:pPr>
        <w:pStyle w:val="BodyText"/>
        <w:spacing w:line="362" w:lineRule="auto" w:before="100"/>
        <w:ind w:right="309"/>
      </w:pPr>
      <w:r>
        <w:rPr/>
        <w:t>uygun</w:t>
      </w:r>
      <w:r>
        <w:rPr>
          <w:spacing w:val="-12"/>
        </w:rPr>
        <w:t> </w:t>
      </w:r>
      <w:r>
        <w:rPr/>
        <w:t>olduğuna</w:t>
      </w:r>
      <w:r>
        <w:rPr>
          <w:spacing w:val="-13"/>
        </w:rPr>
        <w:t> </w:t>
      </w:r>
      <w:r>
        <w:rPr/>
        <w:t>karar</w:t>
      </w:r>
      <w:r>
        <w:rPr>
          <w:spacing w:val="-13"/>
        </w:rPr>
        <w:t> </w:t>
      </w:r>
      <w:r>
        <w:rPr/>
        <w:t>verilmiştir.</w:t>
      </w:r>
      <w:r>
        <w:rPr>
          <w:spacing w:val="-15"/>
        </w:rPr>
        <w:t> </w:t>
      </w:r>
      <w:r>
        <w:rPr/>
        <w:t>Denklem</w:t>
      </w:r>
      <w:r>
        <w:rPr>
          <w:spacing w:val="-12"/>
        </w:rPr>
        <w:t> </w:t>
      </w:r>
      <w:r>
        <w:rPr/>
        <w:t>(3)</w:t>
      </w:r>
      <w:r>
        <w:rPr>
          <w:vertAlign w:val="superscript"/>
        </w:rPr>
        <w:t>3</w:t>
      </w:r>
      <w:r>
        <w:rPr>
          <w:vertAlign w:val="baseline"/>
        </w:rPr>
        <w:t>,</w:t>
      </w:r>
      <w:r>
        <w:rPr>
          <w:spacing w:val="-12"/>
          <w:vertAlign w:val="baseline"/>
        </w:rPr>
        <w:t> </w:t>
      </w:r>
      <w:r>
        <w:rPr>
          <w:vertAlign w:val="baseline"/>
        </w:rPr>
        <w:t>temel</w:t>
      </w:r>
      <w:r>
        <w:rPr>
          <w:spacing w:val="-11"/>
          <w:vertAlign w:val="baseline"/>
        </w:rPr>
        <w:t> </w:t>
      </w:r>
      <w:r>
        <w:rPr>
          <w:vertAlign w:val="baseline"/>
        </w:rPr>
        <w:t>dinamik</w:t>
      </w:r>
      <w:r>
        <w:rPr>
          <w:spacing w:val="-11"/>
          <w:vertAlign w:val="baseline"/>
        </w:rPr>
        <w:t> </w:t>
      </w:r>
      <w:r>
        <w:rPr>
          <w:vertAlign w:val="baseline"/>
        </w:rPr>
        <w:t>modeli</w:t>
      </w:r>
      <w:r>
        <w:rPr>
          <w:spacing w:val="-14"/>
          <w:vertAlign w:val="baseline"/>
        </w:rPr>
        <w:t> </w:t>
      </w:r>
      <w:r>
        <w:rPr>
          <w:vertAlign w:val="baseline"/>
        </w:rPr>
        <w:t>basitleştirilmiş</w:t>
      </w:r>
      <w:r>
        <w:rPr>
          <w:spacing w:val="-11"/>
          <w:vertAlign w:val="baseline"/>
        </w:rPr>
        <w:t> </w:t>
      </w:r>
      <w:r>
        <w:rPr>
          <w:vertAlign w:val="baseline"/>
        </w:rPr>
        <w:t>olarak ifade</w:t>
      </w:r>
      <w:r>
        <w:rPr>
          <w:spacing w:val="-18"/>
          <w:vertAlign w:val="baseline"/>
        </w:rPr>
        <w:t> </w:t>
      </w:r>
      <w:r>
        <w:rPr>
          <w:vertAlign w:val="baseline"/>
        </w:rPr>
        <w:t>etmektedir.</w:t>
      </w:r>
      <w:r>
        <w:rPr>
          <w:spacing w:val="-15"/>
          <w:vertAlign w:val="baseline"/>
        </w:rPr>
        <w:t> </w:t>
      </w:r>
      <w:r>
        <w:rPr>
          <w:vertAlign w:val="baseline"/>
        </w:rPr>
        <w:t>Burada</w:t>
      </w:r>
      <w:r>
        <w:rPr>
          <w:spacing w:val="-13"/>
          <w:vertAlign w:val="baseline"/>
        </w:rPr>
        <w:t> </w:t>
      </w:r>
      <w:r>
        <w:rPr>
          <w:i/>
          <w:vertAlign w:val="baseline"/>
        </w:rPr>
        <w:t>S</w:t>
      </w:r>
      <w:r>
        <w:rPr>
          <w:i/>
          <w:spacing w:val="-16"/>
          <w:vertAlign w:val="baseline"/>
        </w:rPr>
        <w:t> </w:t>
      </w:r>
      <w:r>
        <w:rPr>
          <w:vertAlign w:val="baseline"/>
        </w:rPr>
        <w:t>satış</w:t>
      </w:r>
      <w:r>
        <w:rPr>
          <w:spacing w:val="-16"/>
          <w:vertAlign w:val="baseline"/>
        </w:rPr>
        <w:t> </w:t>
      </w:r>
      <w:r>
        <w:rPr>
          <w:vertAlign w:val="baseline"/>
        </w:rPr>
        <w:t>sıralamasını,</w:t>
      </w:r>
      <w:r>
        <w:rPr>
          <w:spacing w:val="-15"/>
          <w:vertAlign w:val="baseline"/>
        </w:rPr>
        <w:t> </w:t>
      </w:r>
      <w:r>
        <w:rPr>
          <w:i/>
          <w:vertAlign w:val="baseline"/>
        </w:rPr>
        <w:t>H</w:t>
      </w:r>
      <w:r>
        <w:rPr>
          <w:i/>
          <w:spacing w:val="-16"/>
          <w:vertAlign w:val="baseline"/>
        </w:rPr>
        <w:t> </w:t>
      </w:r>
      <w:r>
        <w:rPr>
          <w:vertAlign w:val="baseline"/>
        </w:rPr>
        <w:t>hacim</w:t>
      </w:r>
      <w:r>
        <w:rPr>
          <w:spacing w:val="-16"/>
          <w:vertAlign w:val="baseline"/>
        </w:rPr>
        <w:t> </w:t>
      </w:r>
      <w:r>
        <w:rPr>
          <w:vertAlign w:val="baseline"/>
        </w:rPr>
        <w:t>değişkenini,</w:t>
      </w:r>
      <w:r>
        <w:rPr>
          <w:spacing w:val="-15"/>
          <w:vertAlign w:val="baseline"/>
        </w:rPr>
        <w:t> </w:t>
      </w:r>
      <w:r>
        <w:rPr>
          <w:i/>
          <w:vertAlign w:val="baseline"/>
        </w:rPr>
        <w:t>D</w:t>
      </w:r>
      <w:r>
        <w:rPr>
          <w:i/>
          <w:spacing w:val="-16"/>
          <w:vertAlign w:val="baseline"/>
        </w:rPr>
        <w:t> </w:t>
      </w:r>
      <w:r>
        <w:rPr>
          <w:vertAlign w:val="baseline"/>
        </w:rPr>
        <w:t>değerlik</w:t>
      </w:r>
      <w:r>
        <w:rPr>
          <w:spacing w:val="-15"/>
          <w:vertAlign w:val="baseline"/>
        </w:rPr>
        <w:t> </w:t>
      </w:r>
      <w:r>
        <w:rPr>
          <w:vertAlign w:val="baseline"/>
        </w:rPr>
        <w:t>değişkenlerini, </w:t>
      </w:r>
      <w:r>
        <w:rPr>
          <w:i/>
          <w:vertAlign w:val="baseline"/>
        </w:rPr>
        <w:t>K </w:t>
      </w:r>
      <w:r>
        <w:rPr>
          <w:vertAlign w:val="baseline"/>
        </w:rPr>
        <w:t>kontrol değişkenlerini, </w:t>
      </w:r>
      <w:r>
        <w:rPr>
          <w:rFonts w:ascii="DejaVu Serif Condensed" w:hAnsi="DejaVu Serif Condensed" w:eastAsia="DejaVu Serif Condensed"/>
          <w:vertAlign w:val="baseline"/>
        </w:rPr>
        <w:t>𝛼</w:t>
      </w:r>
      <w:r>
        <w:rPr>
          <w:rFonts w:ascii="DejaVu Serif Condensed" w:hAnsi="DejaVu Serif Condensed" w:eastAsia="DejaVu Serif Condensed"/>
          <w:vertAlign w:val="subscript"/>
        </w:rPr>
        <w:t>𝑖</w:t>
      </w:r>
      <w:r>
        <w:rPr>
          <w:rFonts w:ascii="DejaVu Serif Condensed" w:hAnsi="DejaVu Serif Condensed" w:eastAsia="DejaVu Serif Condensed"/>
          <w:vertAlign w:val="baseline"/>
        </w:rPr>
        <w:t> </w:t>
      </w:r>
      <w:r>
        <w:rPr>
          <w:vertAlign w:val="baseline"/>
        </w:rPr>
        <w:t>birim sabit etkilerini ve </w:t>
      </w:r>
      <w:r>
        <w:rPr>
          <w:rFonts w:ascii="DejaVu Serif Condensed" w:hAnsi="DejaVu Serif Condensed" w:eastAsia="DejaVu Serif Condensed"/>
          <w:vertAlign w:val="baseline"/>
        </w:rPr>
        <w:t>𝑢</w:t>
      </w:r>
      <w:r>
        <w:rPr>
          <w:rFonts w:ascii="DejaVu Serif Condensed" w:hAnsi="DejaVu Serif Condensed" w:eastAsia="DejaVu Serif Condensed"/>
          <w:vertAlign w:val="subscript"/>
        </w:rPr>
        <w:t>𝑖,𝑡</w:t>
      </w:r>
      <w:r>
        <w:rPr>
          <w:rFonts w:ascii="DejaVu Serif Condensed" w:hAnsi="DejaVu Serif Condensed" w:eastAsia="DejaVu Serif Condensed"/>
          <w:vertAlign w:val="baseline"/>
        </w:rPr>
        <w:t> </w:t>
      </w:r>
      <w:r>
        <w:rPr>
          <w:vertAlign w:val="baseline"/>
        </w:rPr>
        <w:t>ise birim ve zaman boyutlarında gözlemlenemeyen etkileri göstermektedir. Modelin dönüştürülmüş hali Denklem (4)’te sunulmuştur. Denklem (4), tüm değişkenler açıkça ifade edildiğinde Denklem (5)’teki biçimini almaktadır.</w:t>
      </w:r>
    </w:p>
    <w:p>
      <w:pPr>
        <w:pStyle w:val="BodyText"/>
        <w:ind w:left="0"/>
        <w:jc w:val="left"/>
        <w:rPr>
          <w:sz w:val="20"/>
        </w:rPr>
      </w:pPr>
    </w:p>
    <w:p>
      <w:pPr>
        <w:pStyle w:val="BodyText"/>
        <w:ind w:left="0"/>
        <w:jc w:val="left"/>
        <w:rPr>
          <w:sz w:val="20"/>
        </w:rPr>
      </w:pPr>
    </w:p>
    <w:p>
      <w:pPr>
        <w:pStyle w:val="BodyText"/>
        <w:spacing w:before="9"/>
        <w:ind w:left="0"/>
        <w:jc w:val="left"/>
        <w:rPr>
          <w:sz w:val="12"/>
        </w:rPr>
      </w:pPr>
    </w:p>
    <w:tbl>
      <w:tblPr>
        <w:tblW w:w="0" w:type="auto"/>
        <w:jc w:val="left"/>
        <w:tblInd w:w="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90"/>
        <w:gridCol w:w="1031"/>
      </w:tblGrid>
      <w:tr>
        <w:trPr>
          <w:trHeight w:val="579" w:hRule="atLeast"/>
        </w:trPr>
        <w:tc>
          <w:tcPr>
            <w:tcW w:w="7990" w:type="dxa"/>
          </w:tcPr>
          <w:p>
            <w:pPr>
              <w:pStyle w:val="TableParagraph"/>
              <w:spacing w:line="179" w:lineRule="exact"/>
              <w:ind w:left="200"/>
              <w:rPr>
                <w:rFonts w:ascii="DejaVu Serif Condensed" w:hAnsi="DejaVu Serif Condensed" w:eastAsia="DejaVu Serif Condensed"/>
                <w:sz w:val="14"/>
              </w:rPr>
            </w:pPr>
            <w:r>
              <w:rPr>
                <w:rFonts w:ascii="DejaVu Serif Condensed" w:hAnsi="DejaVu Serif Condensed" w:eastAsia="DejaVu Serif Condensed"/>
                <w:spacing w:val="-10"/>
                <w:w w:val="97"/>
                <w:position w:val="4"/>
                <w:sz w:val="20"/>
              </w:rPr>
              <w:t>𝑆</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z w:val="14"/>
              </w:rPr>
              <w:t> </w:t>
            </w:r>
            <w:r>
              <w:rPr>
                <w:rFonts w:ascii="DejaVu Serif Condensed" w:hAnsi="DejaVu Serif Condensed" w:eastAsia="DejaVu Serif Condensed"/>
                <w:spacing w:val="-12"/>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2"/>
                <w:position w:val="4"/>
                <w:sz w:val="20"/>
              </w:rPr>
              <w:t> </w:t>
            </w:r>
            <w:r>
              <w:rPr>
                <w:rFonts w:ascii="DejaVu Serif Condensed" w:hAnsi="DejaVu Serif Condensed" w:eastAsia="DejaVu Serif Condensed"/>
                <w:w w:val="111"/>
                <w:position w:val="4"/>
                <w:sz w:val="20"/>
              </w:rPr>
              <w:t>𝛽</w:t>
            </w:r>
            <w:r>
              <w:rPr>
                <w:rFonts w:ascii="DejaVu Serif Condensed" w:hAnsi="DejaVu Serif Condensed" w:eastAsia="DejaVu Serif Condensed"/>
                <w:spacing w:val="-6"/>
                <w:position w:val="4"/>
                <w:sz w:val="20"/>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4"/>
                <w:position w:val="4"/>
                <w:sz w:val="20"/>
              </w:rPr>
              <w:t> </w:t>
            </w:r>
            <w:r>
              <w:rPr>
                <w:rFonts w:ascii="DejaVu Serif Condensed" w:hAnsi="DejaVu Serif Condensed" w:eastAsia="DejaVu Serif Condensed"/>
                <w:w w:val="109"/>
                <w:position w:val="5"/>
                <w:sz w:val="20"/>
              </w:rPr>
              <w:t>∑</w:t>
            </w:r>
            <w:r>
              <w:rPr>
                <w:rFonts w:ascii="DejaVu Serif Condensed" w:hAnsi="DejaVu Serif Condensed" w:eastAsia="DejaVu Serif Condensed"/>
                <w:w w:val="100"/>
                <w:position w:val="12"/>
                <w:sz w:val="14"/>
              </w:rPr>
              <w:t>3</w:t>
            </w:r>
            <w:r>
              <w:rPr>
                <w:rFonts w:ascii="DejaVu Serif Condensed" w:hAnsi="DejaVu Serif Condensed" w:eastAsia="DejaVu Serif Condensed"/>
                <w:spacing w:val="-27"/>
                <w:position w:val="12"/>
                <w:sz w:val="14"/>
              </w:rPr>
              <w:t> </w:t>
            </w:r>
            <w:r>
              <w:rPr>
                <w:rFonts w:ascii="DejaVu Serif Condensed" w:hAnsi="DejaVu Serif Condensed" w:eastAsia="DejaVu Serif Condensed"/>
                <w:spacing w:val="1"/>
                <w:w w:val="95"/>
                <w:sz w:val="14"/>
              </w:rPr>
              <w:t>=</w:t>
            </w:r>
            <w:r>
              <w:rPr>
                <w:rFonts w:ascii="DejaVu Serif Condensed" w:hAnsi="DejaVu Serif Condensed" w:eastAsia="DejaVu Serif Condensed"/>
                <w:w w:val="100"/>
                <w:sz w:val="14"/>
              </w:rPr>
              <w:t>1</w:t>
            </w:r>
            <w:r>
              <w:rPr>
                <w:rFonts w:ascii="DejaVu Serif Condensed" w:hAnsi="DejaVu Serif Condensed" w:eastAsia="DejaVu Serif Condensed"/>
                <w:spacing w:val="-8"/>
                <w:sz w:val="14"/>
              </w:rPr>
              <w:t> </w:t>
            </w:r>
            <w:r>
              <w:rPr>
                <w:rFonts w:ascii="DejaVu Serif Condensed" w:hAnsi="DejaVu Serif Condensed" w:eastAsia="DejaVu Serif Condensed"/>
                <w:spacing w:val="-19"/>
                <w:w w:val="96"/>
                <w:position w:val="4"/>
                <w:sz w:val="20"/>
              </w:rPr>
              <w:t>𝛾</w:t>
            </w:r>
            <w:r>
              <w:rPr>
                <w:rFonts w:ascii="DejaVu Serif Condensed" w:hAnsi="DejaVu Serif Condensed" w:eastAsia="DejaVu Serif Condensed"/>
                <w:spacing w:val="12"/>
                <w:w w:val="119"/>
                <w:sz w:val="14"/>
              </w:rPr>
              <w:t>𝑛</w:t>
            </w:r>
            <w:r>
              <w:rPr>
                <w:rFonts w:ascii="DejaVu Serif Condensed" w:hAnsi="DejaVu Serif Condensed" w:eastAsia="DejaVu Serif Condensed"/>
                <w:spacing w:val="-9"/>
                <w:w w:val="97"/>
                <w:position w:val="4"/>
                <w:sz w:val="20"/>
              </w:rPr>
              <w:t>𝑆</w:t>
            </w:r>
            <w:r>
              <w:rPr>
                <w:rFonts w:ascii="DejaVu Serif Condensed" w:hAnsi="DejaVu Serif Condensed" w:eastAsia="DejaVu Serif Condensed"/>
                <w:spacing w:val="4"/>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spacing w:val="5"/>
                <w:w w:val="81"/>
                <w:sz w:val="14"/>
              </w:rPr>
              <w:t>𝑡</w:t>
            </w:r>
            <w:r>
              <w:rPr>
                <w:rFonts w:ascii="DejaVu Serif Condensed" w:hAnsi="DejaVu Serif Condensed" w:eastAsia="DejaVu Serif Condensed"/>
                <w:spacing w:val="-1"/>
                <w:w w:val="95"/>
                <w:sz w:val="14"/>
              </w:rPr>
              <w:t>−</w:t>
            </w:r>
            <w:r>
              <w:rPr>
                <w:rFonts w:ascii="DejaVu Serif Condensed" w:hAnsi="DejaVu Serif Condensed" w:eastAsia="DejaVu Serif Condensed"/>
                <w:w w:val="119"/>
                <w:sz w:val="14"/>
              </w:rPr>
              <w:t>𝑛</w:t>
            </w:r>
            <w:r>
              <w:rPr>
                <w:rFonts w:ascii="DejaVu Serif Condensed" w:hAnsi="DejaVu Serif Condensed" w:eastAsia="DejaVu Serif Condensed"/>
                <w:spacing w:val="16"/>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2"/>
                <w:position w:val="4"/>
                <w:sz w:val="20"/>
              </w:rPr>
              <w:t> </w:t>
            </w:r>
            <w:r>
              <w:rPr>
                <w:rFonts w:ascii="DejaVu Serif Condensed" w:hAnsi="DejaVu Serif Condensed" w:eastAsia="DejaVu Serif Condensed"/>
                <w:spacing w:val="8"/>
                <w:w w:val="99"/>
                <w:position w:val="4"/>
                <w:sz w:val="20"/>
              </w:rPr>
              <w:t>𝛿</w:t>
            </w:r>
            <w:r>
              <w:rPr>
                <w:rFonts w:ascii="DejaVu Serif Condensed" w:hAnsi="DejaVu Serif Condensed" w:eastAsia="DejaVu Serif Condensed"/>
                <w:spacing w:val="-14"/>
                <w:w w:val="134"/>
                <w:position w:val="4"/>
                <w:sz w:val="20"/>
              </w:rPr>
              <w:t>𝐻</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pacing w:val="16"/>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2"/>
                <w:position w:val="4"/>
                <w:sz w:val="20"/>
              </w:rPr>
              <w:t> </w:t>
            </w:r>
            <w:r>
              <w:rPr>
                <w:rFonts w:ascii="DejaVu Serif Condensed" w:hAnsi="DejaVu Serif Condensed" w:eastAsia="DejaVu Serif Condensed"/>
                <w:spacing w:val="-24"/>
                <w:w w:val="103"/>
                <w:position w:val="4"/>
                <w:sz w:val="20"/>
              </w:rPr>
              <w:t>𝜃</w:t>
            </w:r>
            <w:r>
              <w:rPr>
                <w:rFonts w:ascii="DejaVu Serif Condensed" w:hAnsi="DejaVu Serif Condensed" w:eastAsia="DejaVu Serif Condensed"/>
                <w:w w:val="86"/>
                <w:sz w:val="14"/>
              </w:rPr>
              <w:t>𝑗</w:t>
            </w:r>
            <w:r>
              <w:rPr>
                <w:rFonts w:ascii="DejaVu Serif Condensed" w:hAnsi="DejaVu Serif Condensed" w:eastAsia="DejaVu Serif Condensed"/>
                <w:spacing w:val="-27"/>
                <w:sz w:val="14"/>
              </w:rPr>
              <w:t> </w:t>
            </w:r>
            <w:r>
              <w:rPr>
                <w:rFonts w:ascii="DejaVu Serif Condensed" w:hAnsi="DejaVu Serif Condensed" w:eastAsia="DejaVu Serif Condensed"/>
                <w:spacing w:val="-14"/>
                <w:w w:val="127"/>
                <w:position w:val="4"/>
                <w:sz w:val="20"/>
              </w:rPr>
              <w:t>𝐷</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pacing w:val="16"/>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2"/>
                <w:position w:val="4"/>
                <w:sz w:val="20"/>
              </w:rPr>
              <w:t> </w:t>
            </w:r>
            <w:r>
              <w:rPr>
                <w:rFonts w:ascii="DejaVu Serif Condensed" w:hAnsi="DejaVu Serif Condensed" w:eastAsia="DejaVu Serif Condensed"/>
                <w:spacing w:val="-7"/>
                <w:w w:val="108"/>
                <w:position w:val="4"/>
                <w:sz w:val="20"/>
              </w:rPr>
              <w:t>𝜗</w:t>
            </w:r>
            <w:r>
              <w:rPr>
                <w:rFonts w:ascii="DejaVu Serif Condensed" w:hAnsi="DejaVu Serif Condensed" w:eastAsia="DejaVu Serif Condensed"/>
                <w:spacing w:val="11"/>
                <w:w w:val="111"/>
                <w:sz w:val="14"/>
              </w:rPr>
              <w:t>𝑘</w:t>
            </w:r>
            <w:r>
              <w:rPr>
                <w:rFonts w:ascii="DejaVu Serif Condensed" w:hAnsi="DejaVu Serif Condensed" w:eastAsia="DejaVu Serif Condensed"/>
                <w:spacing w:val="-17"/>
                <w:w w:val="128"/>
                <w:position w:val="4"/>
                <w:sz w:val="20"/>
              </w:rPr>
              <w:t>𝐾</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pacing w:val="16"/>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2"/>
                <w:position w:val="4"/>
                <w:sz w:val="20"/>
              </w:rPr>
              <w:t> </w:t>
            </w:r>
            <w:r>
              <w:rPr>
                <w:rFonts w:ascii="DejaVu Serif Condensed" w:hAnsi="DejaVu Serif Condensed" w:eastAsia="DejaVu Serif Condensed"/>
                <w:w w:val="110"/>
                <w:position w:val="4"/>
                <w:sz w:val="20"/>
              </w:rPr>
              <w:t>𝛼</w:t>
            </w:r>
            <w:r>
              <w:rPr>
                <w:rFonts w:ascii="DejaVu Serif Condensed" w:hAnsi="DejaVu Serif Condensed" w:eastAsia="DejaVu Serif Condensed"/>
                <w:w w:val="64"/>
                <w:sz w:val="14"/>
              </w:rPr>
              <w:t>𝑖</w:t>
            </w:r>
            <w:r>
              <w:rPr>
                <w:rFonts w:ascii="DejaVu Serif Condensed" w:hAnsi="DejaVu Serif Condensed" w:eastAsia="DejaVu Serif Condensed"/>
                <w:spacing w:val="19"/>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4"/>
                <w:position w:val="4"/>
                <w:sz w:val="20"/>
              </w:rPr>
              <w:t> </w:t>
            </w:r>
            <w:r>
              <w:rPr>
                <w:rFonts w:ascii="DejaVu Serif Condensed" w:hAnsi="DejaVu Serif Condensed" w:eastAsia="DejaVu Serif Condensed"/>
                <w:w w:val="105"/>
                <w:position w:val="4"/>
                <w:sz w:val="20"/>
              </w:rPr>
              <w:t>𝑢</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p>
          <w:p>
            <w:pPr>
              <w:pStyle w:val="TableParagraph"/>
              <w:spacing w:line="83" w:lineRule="exact"/>
              <w:ind w:left="1220"/>
              <w:rPr>
                <w:rFonts w:ascii="DejaVu Serif Condensed" w:eastAsia="DejaVu Serif Condensed"/>
                <w:sz w:val="14"/>
              </w:rPr>
            </w:pPr>
            <w:r>
              <w:rPr>
                <w:rFonts w:ascii="DejaVu Serif Condensed" w:eastAsia="DejaVu Serif Condensed"/>
                <w:w w:val="120"/>
                <w:sz w:val="14"/>
              </w:rPr>
              <w:t>𝑛</w:t>
            </w:r>
          </w:p>
        </w:tc>
        <w:tc>
          <w:tcPr>
            <w:tcW w:w="1031" w:type="dxa"/>
          </w:tcPr>
          <w:p>
            <w:pPr>
              <w:pStyle w:val="TableParagraph"/>
              <w:spacing w:line="266" w:lineRule="exact"/>
              <w:ind w:left="0" w:right="197"/>
              <w:jc w:val="right"/>
              <w:rPr>
                <w:sz w:val="24"/>
              </w:rPr>
            </w:pPr>
            <w:r>
              <w:rPr>
                <w:sz w:val="24"/>
              </w:rPr>
              <w:t>(3)</w:t>
            </w:r>
          </w:p>
        </w:tc>
      </w:tr>
      <w:tr>
        <w:trPr>
          <w:trHeight w:val="906" w:hRule="atLeast"/>
        </w:trPr>
        <w:tc>
          <w:tcPr>
            <w:tcW w:w="7990" w:type="dxa"/>
          </w:tcPr>
          <w:p>
            <w:pPr>
              <w:pStyle w:val="TableParagraph"/>
              <w:spacing w:before="4"/>
              <w:ind w:left="0"/>
              <w:rPr>
                <w:sz w:val="25"/>
              </w:rPr>
            </w:pPr>
          </w:p>
          <w:p>
            <w:pPr>
              <w:pStyle w:val="TableParagraph"/>
              <w:spacing w:line="200" w:lineRule="exact"/>
              <w:ind w:left="221"/>
              <w:rPr>
                <w:rFonts w:ascii="DejaVu Serif Condensed" w:hAnsi="DejaVu Serif Condensed" w:eastAsia="DejaVu Serif Condensed"/>
                <w:sz w:val="14"/>
              </w:rPr>
            </w:pPr>
            <w:r>
              <w:rPr>
                <w:rFonts w:ascii="DejaVu Serif Condensed" w:hAnsi="DejaVu Serif Condensed" w:eastAsia="DejaVu Serif Condensed"/>
                <w:spacing w:val="1"/>
                <w:w w:val="94"/>
                <w:position w:val="4"/>
                <w:sz w:val="20"/>
              </w:rPr>
              <w:t>∆</w:t>
            </w:r>
            <w:r>
              <w:rPr>
                <w:rFonts w:ascii="DejaVu Serif Condensed" w:hAnsi="DejaVu Serif Condensed" w:eastAsia="DejaVu Serif Condensed"/>
                <w:spacing w:val="-10"/>
                <w:w w:val="97"/>
                <w:position w:val="4"/>
                <w:sz w:val="20"/>
              </w:rPr>
              <w:t>𝑆</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z w:val="14"/>
              </w:rPr>
              <w:t> </w:t>
            </w:r>
            <w:r>
              <w:rPr>
                <w:rFonts w:ascii="DejaVu Serif Condensed" w:hAnsi="DejaVu Serif Condensed" w:eastAsia="DejaVu Serif Condensed"/>
                <w:spacing w:val="-12"/>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2"/>
                <w:position w:val="4"/>
                <w:sz w:val="20"/>
              </w:rPr>
              <w:t> </w:t>
            </w:r>
            <w:r>
              <w:rPr>
                <w:rFonts w:ascii="DejaVu Serif Condensed" w:hAnsi="DejaVu Serif Condensed" w:eastAsia="DejaVu Serif Condensed"/>
                <w:w w:val="109"/>
                <w:position w:val="5"/>
                <w:sz w:val="20"/>
              </w:rPr>
              <w:t>∑</w:t>
            </w:r>
            <w:r>
              <w:rPr>
                <w:rFonts w:ascii="DejaVu Serif Condensed" w:hAnsi="DejaVu Serif Condensed" w:eastAsia="DejaVu Serif Condensed"/>
                <w:w w:val="100"/>
                <w:position w:val="12"/>
                <w:sz w:val="14"/>
              </w:rPr>
              <w:t>3</w:t>
            </w:r>
            <w:r>
              <w:rPr>
                <w:rFonts w:ascii="DejaVu Serif Condensed" w:hAnsi="DejaVu Serif Condensed" w:eastAsia="DejaVu Serif Condensed"/>
                <w:spacing w:val="-27"/>
                <w:position w:val="12"/>
                <w:sz w:val="14"/>
              </w:rPr>
              <w:t> </w:t>
            </w:r>
            <w:r>
              <w:rPr>
                <w:rFonts w:ascii="DejaVu Serif Condensed" w:hAnsi="DejaVu Serif Condensed" w:eastAsia="DejaVu Serif Condensed"/>
                <w:spacing w:val="-1"/>
                <w:w w:val="95"/>
                <w:sz w:val="14"/>
              </w:rPr>
              <w:t>=</w:t>
            </w:r>
            <w:r>
              <w:rPr>
                <w:rFonts w:ascii="DejaVu Serif Condensed" w:hAnsi="DejaVu Serif Condensed" w:eastAsia="DejaVu Serif Condensed"/>
                <w:w w:val="100"/>
                <w:sz w:val="14"/>
              </w:rPr>
              <w:t>1</w:t>
            </w:r>
            <w:r>
              <w:rPr>
                <w:rFonts w:ascii="DejaVu Serif Condensed" w:hAnsi="DejaVu Serif Condensed" w:eastAsia="DejaVu Serif Condensed"/>
                <w:spacing w:val="-6"/>
                <w:sz w:val="14"/>
              </w:rPr>
              <w:t> </w:t>
            </w:r>
            <w:r>
              <w:rPr>
                <w:rFonts w:ascii="DejaVu Serif Condensed" w:hAnsi="DejaVu Serif Condensed" w:eastAsia="DejaVu Serif Condensed"/>
                <w:spacing w:val="-19"/>
                <w:w w:val="96"/>
                <w:position w:val="4"/>
                <w:sz w:val="20"/>
              </w:rPr>
              <w:t>𝛾</w:t>
            </w:r>
            <w:r>
              <w:rPr>
                <w:rFonts w:ascii="DejaVu Serif Condensed" w:hAnsi="DejaVu Serif Condensed" w:eastAsia="DejaVu Serif Condensed"/>
                <w:spacing w:val="10"/>
                <w:w w:val="119"/>
                <w:sz w:val="14"/>
              </w:rPr>
              <w:t>𝑛</w:t>
            </w:r>
            <w:r>
              <w:rPr>
                <w:rFonts w:ascii="DejaVu Serif Condensed" w:hAnsi="DejaVu Serif Condensed" w:eastAsia="DejaVu Serif Condensed"/>
                <w:spacing w:val="1"/>
                <w:w w:val="94"/>
                <w:position w:val="4"/>
                <w:sz w:val="20"/>
              </w:rPr>
              <w:t>∆</w:t>
            </w:r>
            <w:r>
              <w:rPr>
                <w:rFonts w:ascii="DejaVu Serif Condensed" w:hAnsi="DejaVu Serif Condensed" w:eastAsia="DejaVu Serif Condensed"/>
                <w:spacing w:val="-10"/>
                <w:w w:val="97"/>
                <w:position w:val="4"/>
                <w:sz w:val="20"/>
              </w:rPr>
              <w:t>𝑆</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spacing w:val="4"/>
                <w:w w:val="81"/>
                <w:sz w:val="14"/>
              </w:rPr>
              <w:t>𝑡</w:t>
            </w:r>
            <w:r>
              <w:rPr>
                <w:rFonts w:ascii="DejaVu Serif Condensed" w:hAnsi="DejaVu Serif Condensed" w:eastAsia="DejaVu Serif Condensed"/>
                <w:spacing w:val="-1"/>
                <w:w w:val="95"/>
                <w:sz w:val="14"/>
              </w:rPr>
              <w:t>−</w:t>
            </w:r>
            <w:r>
              <w:rPr>
                <w:rFonts w:ascii="DejaVu Serif Condensed" w:hAnsi="DejaVu Serif Condensed" w:eastAsia="DejaVu Serif Condensed"/>
                <w:w w:val="119"/>
                <w:sz w:val="14"/>
              </w:rPr>
              <w:t>𝑛</w:t>
            </w:r>
            <w:r>
              <w:rPr>
                <w:rFonts w:ascii="DejaVu Serif Condensed" w:hAnsi="DejaVu Serif Condensed" w:eastAsia="DejaVu Serif Condensed"/>
                <w:spacing w:val="16"/>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2"/>
                <w:position w:val="4"/>
                <w:sz w:val="20"/>
              </w:rPr>
              <w:t> </w:t>
            </w:r>
            <w:r>
              <w:rPr>
                <w:rFonts w:ascii="DejaVu Serif Condensed" w:hAnsi="DejaVu Serif Condensed" w:eastAsia="DejaVu Serif Condensed"/>
                <w:spacing w:val="8"/>
                <w:w w:val="99"/>
                <w:position w:val="4"/>
                <w:sz w:val="20"/>
              </w:rPr>
              <w:t>𝛿</w:t>
            </w:r>
            <w:r>
              <w:rPr>
                <w:rFonts w:ascii="DejaVu Serif Condensed" w:hAnsi="DejaVu Serif Condensed" w:eastAsia="DejaVu Serif Condensed"/>
                <w:spacing w:val="1"/>
                <w:w w:val="94"/>
                <w:position w:val="4"/>
                <w:sz w:val="20"/>
              </w:rPr>
              <w:t>∆</w:t>
            </w:r>
            <w:r>
              <w:rPr>
                <w:rFonts w:ascii="DejaVu Serif Condensed" w:hAnsi="DejaVu Serif Condensed" w:eastAsia="DejaVu Serif Condensed"/>
                <w:spacing w:val="-14"/>
                <w:w w:val="134"/>
                <w:position w:val="4"/>
                <w:sz w:val="20"/>
              </w:rPr>
              <w:t>𝐻</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pacing w:val="16"/>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2"/>
                <w:position w:val="4"/>
                <w:sz w:val="20"/>
              </w:rPr>
              <w:t> </w:t>
            </w:r>
            <w:r>
              <w:rPr>
                <w:rFonts w:ascii="DejaVu Serif Condensed" w:hAnsi="DejaVu Serif Condensed" w:eastAsia="DejaVu Serif Condensed"/>
                <w:spacing w:val="-24"/>
                <w:w w:val="103"/>
                <w:position w:val="4"/>
                <w:sz w:val="20"/>
              </w:rPr>
              <w:t>𝜃</w:t>
            </w:r>
            <w:r>
              <w:rPr>
                <w:rFonts w:ascii="DejaVu Serif Condensed" w:hAnsi="DejaVu Serif Condensed" w:eastAsia="DejaVu Serif Condensed"/>
                <w:spacing w:val="11"/>
                <w:w w:val="86"/>
                <w:sz w:val="14"/>
              </w:rPr>
              <w:t>𝑗</w:t>
            </w:r>
            <w:r>
              <w:rPr>
                <w:rFonts w:ascii="DejaVu Serif Condensed" w:hAnsi="DejaVu Serif Condensed" w:eastAsia="DejaVu Serif Condensed"/>
                <w:spacing w:val="1"/>
                <w:w w:val="94"/>
                <w:position w:val="4"/>
                <w:sz w:val="20"/>
              </w:rPr>
              <w:t>∆</w:t>
            </w:r>
            <w:r>
              <w:rPr>
                <w:rFonts w:ascii="DejaVu Serif Condensed" w:hAnsi="DejaVu Serif Condensed" w:eastAsia="DejaVu Serif Condensed"/>
                <w:spacing w:val="-14"/>
                <w:w w:val="127"/>
                <w:position w:val="4"/>
                <w:sz w:val="20"/>
              </w:rPr>
              <w:t>𝐷</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pacing w:val="18"/>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4"/>
                <w:position w:val="4"/>
                <w:sz w:val="20"/>
              </w:rPr>
              <w:t> </w:t>
            </w:r>
            <w:r>
              <w:rPr>
                <w:rFonts w:ascii="DejaVu Serif Condensed" w:hAnsi="DejaVu Serif Condensed" w:eastAsia="DejaVu Serif Condensed"/>
                <w:spacing w:val="-7"/>
                <w:w w:val="108"/>
                <w:position w:val="4"/>
                <w:sz w:val="20"/>
              </w:rPr>
              <w:t>𝜗</w:t>
            </w:r>
            <w:r>
              <w:rPr>
                <w:rFonts w:ascii="DejaVu Serif Condensed" w:hAnsi="DejaVu Serif Condensed" w:eastAsia="DejaVu Serif Condensed"/>
                <w:spacing w:val="14"/>
                <w:w w:val="111"/>
                <w:sz w:val="14"/>
              </w:rPr>
              <w:t>𝑘</w:t>
            </w:r>
            <w:r>
              <w:rPr>
                <w:rFonts w:ascii="DejaVu Serif Condensed" w:hAnsi="DejaVu Serif Condensed" w:eastAsia="DejaVu Serif Condensed"/>
                <w:spacing w:val="-2"/>
                <w:w w:val="94"/>
                <w:position w:val="4"/>
                <w:sz w:val="20"/>
              </w:rPr>
              <w:t>∆</w:t>
            </w:r>
            <w:r>
              <w:rPr>
                <w:rFonts w:ascii="DejaVu Serif Condensed" w:hAnsi="DejaVu Serif Condensed" w:eastAsia="DejaVu Serif Condensed"/>
                <w:spacing w:val="-17"/>
                <w:w w:val="128"/>
                <w:position w:val="4"/>
                <w:sz w:val="20"/>
              </w:rPr>
              <w:t>𝐾</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pacing w:val="19"/>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4"/>
                <w:position w:val="4"/>
                <w:sz w:val="20"/>
              </w:rPr>
              <w:t> </w:t>
            </w:r>
            <w:r>
              <w:rPr>
                <w:rFonts w:ascii="DejaVu Serif Condensed" w:hAnsi="DejaVu Serif Condensed" w:eastAsia="DejaVu Serif Condensed"/>
                <w:spacing w:val="1"/>
                <w:w w:val="94"/>
                <w:position w:val="4"/>
                <w:sz w:val="20"/>
              </w:rPr>
              <w:t>∆</w:t>
            </w:r>
            <w:r>
              <w:rPr>
                <w:rFonts w:ascii="DejaVu Serif Condensed" w:hAnsi="DejaVu Serif Condensed" w:eastAsia="DejaVu Serif Condensed"/>
                <w:w w:val="105"/>
                <w:position w:val="4"/>
                <w:sz w:val="20"/>
              </w:rPr>
              <w:t>𝑢</w:t>
            </w:r>
            <w:r>
              <w:rPr>
                <w:rFonts w:ascii="DejaVu Serif Condensed" w:hAnsi="DejaVu Serif Condensed" w:eastAsia="DejaVu Serif Condensed"/>
                <w:spacing w:val="4"/>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p>
          <w:p>
            <w:pPr>
              <w:pStyle w:val="TableParagraph"/>
              <w:spacing w:line="83" w:lineRule="exact"/>
              <w:ind w:left="996"/>
              <w:rPr>
                <w:rFonts w:ascii="DejaVu Serif Condensed" w:eastAsia="DejaVu Serif Condensed"/>
                <w:sz w:val="14"/>
              </w:rPr>
            </w:pPr>
            <w:r>
              <w:rPr>
                <w:rFonts w:ascii="DejaVu Serif Condensed" w:eastAsia="DejaVu Serif Condensed"/>
                <w:w w:val="120"/>
                <w:sz w:val="14"/>
              </w:rPr>
              <w:t>𝑛</w:t>
            </w:r>
          </w:p>
        </w:tc>
        <w:tc>
          <w:tcPr>
            <w:tcW w:w="1031" w:type="dxa"/>
          </w:tcPr>
          <w:p>
            <w:pPr>
              <w:pStyle w:val="TableParagraph"/>
              <w:spacing w:before="4"/>
              <w:ind w:left="0"/>
              <w:rPr>
                <w:sz w:val="26"/>
              </w:rPr>
            </w:pPr>
          </w:p>
          <w:p>
            <w:pPr>
              <w:pStyle w:val="TableParagraph"/>
              <w:ind w:left="0" w:right="197"/>
              <w:jc w:val="right"/>
              <w:rPr>
                <w:sz w:val="24"/>
              </w:rPr>
            </w:pPr>
            <w:r>
              <w:rPr>
                <w:sz w:val="24"/>
              </w:rPr>
              <w:t>(4)</w:t>
            </w:r>
          </w:p>
        </w:tc>
      </w:tr>
      <w:tr>
        <w:trPr>
          <w:trHeight w:val="2082" w:hRule="atLeast"/>
        </w:trPr>
        <w:tc>
          <w:tcPr>
            <w:tcW w:w="7990" w:type="dxa"/>
          </w:tcPr>
          <w:p>
            <w:pPr>
              <w:pStyle w:val="TableParagraph"/>
              <w:spacing w:before="9"/>
              <w:ind w:left="0"/>
              <w:rPr>
                <w:sz w:val="25"/>
              </w:rPr>
            </w:pPr>
          </w:p>
          <w:p>
            <w:pPr>
              <w:pStyle w:val="TableParagraph"/>
              <w:ind w:left="221"/>
              <w:rPr>
                <w:rFonts w:ascii="DejaVu Serif Condensed" w:hAnsi="DejaVu Serif Condensed" w:eastAsia="DejaVu Serif Condensed"/>
                <w:sz w:val="20"/>
              </w:rPr>
            </w:pPr>
            <w:r>
              <w:rPr>
                <w:rFonts w:ascii="DejaVu Serif Condensed" w:hAnsi="DejaVu Serif Condensed" w:eastAsia="DejaVu Serif Condensed"/>
                <w:sz w:val="20"/>
              </w:rPr>
              <w:t>∆ln (𝑆𝚤𝑟𝑎𝑙𝑎𝑚𝑎</w:t>
            </w:r>
            <w:r>
              <w:rPr>
                <w:rFonts w:ascii="DejaVu Serif Condensed" w:hAnsi="DejaVu Serif Condensed" w:eastAsia="DejaVu Serif Condensed"/>
                <w:position w:val="-3"/>
                <w:sz w:val="14"/>
              </w:rPr>
              <w:t>𝑖,𝑡 </w:t>
            </w:r>
            <w:r>
              <w:rPr>
                <w:rFonts w:ascii="DejaVu Serif Condensed" w:hAnsi="DejaVu Serif Condensed" w:eastAsia="DejaVu Serif Condensed"/>
                <w:sz w:val="20"/>
              </w:rPr>
              <w:t>)</w:t>
            </w:r>
          </w:p>
          <w:p>
            <w:pPr>
              <w:pStyle w:val="TableParagraph"/>
              <w:spacing w:before="92"/>
              <w:ind w:left="1964"/>
              <w:rPr>
                <w:rFonts w:ascii="DejaVu Serif Condensed"/>
                <w:sz w:val="14"/>
              </w:rPr>
            </w:pPr>
            <w:r>
              <w:rPr>
                <w:rFonts w:ascii="DejaVu Serif Condensed"/>
                <w:w w:val="100"/>
                <w:sz w:val="14"/>
              </w:rPr>
              <w:t>3</w:t>
            </w:r>
          </w:p>
          <w:p>
            <w:pPr>
              <w:pStyle w:val="TableParagraph"/>
              <w:spacing w:before="79"/>
              <w:ind w:left="1661"/>
              <w:rPr>
                <w:rFonts w:ascii="DejaVu Serif Condensed" w:hAnsi="DejaVu Serif Condensed" w:eastAsia="DejaVu Serif Condensed"/>
                <w:sz w:val="20"/>
              </w:rPr>
            </w:pPr>
            <w:r>
              <w:rPr>
                <w:rFonts w:ascii="DejaVu Serif Condensed" w:hAnsi="DejaVu Serif Condensed" w:eastAsia="DejaVu Serif Condensed"/>
                <w:w w:val="98"/>
                <w:sz w:val="20"/>
              </w:rPr>
              <w:t>=</w:t>
            </w:r>
            <w:r>
              <w:rPr>
                <w:rFonts w:ascii="DejaVu Serif Condensed" w:hAnsi="DejaVu Serif Condensed" w:eastAsia="DejaVu Serif Condensed"/>
                <w:spacing w:val="5"/>
                <w:sz w:val="20"/>
              </w:rPr>
              <w:t> </w:t>
            </w:r>
            <w:r>
              <w:rPr>
                <w:rFonts w:ascii="DejaVu Serif Condensed" w:hAnsi="DejaVu Serif Condensed" w:eastAsia="DejaVu Serif Condensed"/>
                <w:w w:val="205"/>
                <w:sz w:val="20"/>
              </w:rPr>
              <w:t>∑</w:t>
            </w:r>
            <w:r>
              <w:rPr>
                <w:rFonts w:ascii="DejaVu Serif Condensed" w:hAnsi="DejaVu Serif Condensed" w:eastAsia="DejaVu Serif Condensed"/>
                <w:spacing w:val="-17"/>
                <w:sz w:val="20"/>
              </w:rPr>
              <w:t> </w:t>
            </w:r>
            <w:r>
              <w:rPr>
                <w:rFonts w:ascii="DejaVu Serif Condensed" w:hAnsi="DejaVu Serif Condensed" w:eastAsia="DejaVu Serif Condensed"/>
                <w:spacing w:val="-19"/>
                <w:w w:val="96"/>
                <w:sz w:val="20"/>
              </w:rPr>
              <w:t>𝛾</w:t>
            </w:r>
            <w:r>
              <w:rPr>
                <w:rFonts w:ascii="DejaVu Serif Condensed" w:hAnsi="DejaVu Serif Condensed" w:eastAsia="DejaVu Serif Condensed"/>
                <w:spacing w:val="10"/>
                <w:w w:val="119"/>
                <w:position w:val="-3"/>
                <w:sz w:val="14"/>
              </w:rPr>
              <w:t>𝑛</w:t>
            </w:r>
            <w:r>
              <w:rPr>
                <w:rFonts w:ascii="DejaVu Serif Condensed" w:hAnsi="DejaVu Serif Condensed" w:eastAsia="DejaVu Serif Condensed"/>
                <w:spacing w:val="-2"/>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81"/>
                <w:sz w:val="20"/>
              </w:rPr>
              <w:t>𝑆𝚤</w:t>
            </w:r>
            <w:r>
              <w:rPr>
                <w:rFonts w:ascii="DejaVu Serif Condensed" w:hAnsi="DejaVu Serif Condensed" w:eastAsia="DejaVu Serif Condensed"/>
                <w:w w:val="81"/>
                <w:sz w:val="20"/>
              </w:rPr>
              <w:t>𝑟</w:t>
            </w:r>
            <w:r>
              <w:rPr>
                <w:rFonts w:ascii="DejaVu Serif Condensed" w:hAnsi="DejaVu Serif Condensed" w:eastAsia="DejaVu Serif Condensed"/>
                <w:spacing w:val="-1"/>
                <w:w w:val="80"/>
                <w:sz w:val="20"/>
              </w:rPr>
              <w:t>𝑎</w:t>
            </w:r>
            <w:r>
              <w:rPr>
                <w:rFonts w:ascii="DejaVu Serif Condensed" w:hAnsi="DejaVu Serif Condensed" w:eastAsia="DejaVu Serif Condensed"/>
                <w:spacing w:val="-2"/>
                <w:w w:val="80"/>
                <w:sz w:val="20"/>
              </w:rPr>
              <w:t>𝑙</w:t>
            </w:r>
            <w:r>
              <w:rPr>
                <w:rFonts w:ascii="DejaVu Serif Condensed" w:hAnsi="DejaVu Serif Condensed" w:eastAsia="DejaVu Serif Condensed"/>
                <w:spacing w:val="1"/>
                <w:w w:val="102"/>
                <w:sz w:val="20"/>
              </w:rPr>
              <w:t>𝑎</w:t>
            </w:r>
            <w:r>
              <w:rPr>
                <w:rFonts w:ascii="DejaVu Serif Condensed" w:hAnsi="DejaVu Serif Condensed" w:eastAsia="DejaVu Serif Condensed"/>
                <w:w w:val="154"/>
                <w:sz w:val="20"/>
              </w:rPr>
              <w:t>𝑚</w:t>
            </w:r>
            <w:r>
              <w:rPr>
                <w:rFonts w:ascii="DejaVu Serif Condensed" w:hAnsi="DejaVu Serif Condensed" w:eastAsia="DejaVu Serif Condensed"/>
                <w:w w:val="102"/>
                <w:sz w:val="20"/>
              </w:rPr>
              <w:t>𝑎</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5"/>
                <w:w w:val="81"/>
                <w:position w:val="-3"/>
                <w:sz w:val="14"/>
              </w:rPr>
              <w:t>𝑡</w:t>
            </w:r>
            <w:r>
              <w:rPr>
                <w:rFonts w:ascii="DejaVu Serif Condensed" w:hAnsi="DejaVu Serif Condensed" w:eastAsia="DejaVu Serif Condensed"/>
                <w:spacing w:val="-1"/>
                <w:w w:val="95"/>
                <w:position w:val="-3"/>
                <w:sz w:val="14"/>
              </w:rPr>
              <w:t>−</w:t>
            </w:r>
            <w:r>
              <w:rPr>
                <w:rFonts w:ascii="DejaVu Serif Condensed" w:hAnsi="DejaVu Serif Condensed" w:eastAsia="DejaVu Serif Condensed"/>
                <w:spacing w:val="10"/>
                <w:w w:val="119"/>
                <w:position w:val="-3"/>
                <w:sz w:val="14"/>
              </w:rPr>
              <w:t>𝑛</w:t>
            </w:r>
            <w:r>
              <w:rPr>
                <w:rFonts w:ascii="DejaVu Serif Condensed" w:hAnsi="DejaVu Serif Condensed" w:eastAsia="DejaVu Serif Condensed"/>
                <w:w w:val="117"/>
                <w:sz w:val="20"/>
              </w:rPr>
              <w:t>)</w:t>
            </w:r>
            <w:r>
              <w:rPr>
                <w:rFonts w:ascii="DejaVu Serif Condensed" w:hAnsi="DejaVu Serif Condensed" w:eastAsia="DejaVu Serif Condensed"/>
                <w:spacing w:val="-11"/>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4"/>
                <w:sz w:val="20"/>
              </w:rPr>
              <w:t> </w:t>
            </w:r>
            <w:r>
              <w:rPr>
                <w:rFonts w:ascii="DejaVu Serif Condensed" w:hAnsi="DejaVu Serif Condensed" w:eastAsia="DejaVu Serif Condensed"/>
                <w:spacing w:val="8"/>
                <w:w w:val="99"/>
                <w:sz w:val="20"/>
              </w:rPr>
              <w:t>𝛿</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2"/>
                <w:w w:val="109"/>
                <w:sz w:val="20"/>
              </w:rPr>
              <w:t>𝑇</w:t>
            </w:r>
            <w:r>
              <w:rPr>
                <w:rFonts w:ascii="DejaVu Serif Condensed" w:hAnsi="DejaVu Serif Condensed" w:eastAsia="DejaVu Serif Condensed"/>
                <w:w w:val="100"/>
                <w:sz w:val="20"/>
              </w:rPr>
              <w:t>𝑜𝑝</w:t>
            </w:r>
            <w:r>
              <w:rPr>
                <w:rFonts w:ascii="DejaVu Serif Condensed" w:hAnsi="DejaVu Serif Condensed" w:eastAsia="DejaVu Serif Condensed"/>
                <w:w w:val="80"/>
                <w:sz w:val="20"/>
              </w:rPr>
              <w:t>𝑙</w:t>
            </w:r>
            <w:r>
              <w:rPr>
                <w:rFonts w:ascii="DejaVu Serif Condensed" w:hAnsi="DejaVu Serif Condensed" w:eastAsia="DejaVu Serif Condensed"/>
                <w:spacing w:val="-2"/>
                <w:w w:val="80"/>
                <w:sz w:val="20"/>
              </w:rPr>
              <w:t>𝑎</w:t>
            </w:r>
            <w:r>
              <w:rPr>
                <w:rFonts w:ascii="DejaVu Serif Condensed" w:hAnsi="DejaVu Serif Condensed" w:eastAsia="DejaVu Serif Condensed"/>
                <w:w w:val="154"/>
                <w:sz w:val="20"/>
              </w:rPr>
              <w:t>𝑚</w:t>
            </w:r>
            <w:r>
              <w:rPr>
                <w:rFonts w:ascii="DejaVu Serif Condensed" w:hAnsi="DejaVu Serif Condensed" w:eastAsia="DejaVu Serif Condensed"/>
                <w:w w:val="104"/>
                <w:sz w:val="20"/>
              </w:rPr>
              <w:t>𝑌</w:t>
            </w:r>
            <w:r>
              <w:rPr>
                <w:rFonts w:ascii="DejaVu Serif Condensed" w:hAnsi="DejaVu Serif Condensed" w:eastAsia="DejaVu Serif Condensed"/>
                <w:spacing w:val="1"/>
                <w:w w:val="104"/>
                <w:sz w:val="20"/>
              </w:rPr>
              <w:t>𝑜</w:t>
            </w:r>
            <w:r>
              <w:rPr>
                <w:rFonts w:ascii="DejaVu Serif Condensed" w:hAnsi="DejaVu Serif Condensed" w:eastAsia="DejaVu Serif Condensed"/>
                <w:spacing w:val="-2"/>
                <w:w w:val="87"/>
                <w:sz w:val="20"/>
              </w:rPr>
              <w:t>𝑟</w:t>
            </w:r>
            <w:r>
              <w:rPr>
                <w:rFonts w:ascii="DejaVu Serif Condensed" w:hAnsi="DejaVu Serif Condensed" w:eastAsia="DejaVu Serif Condensed"/>
                <w:w w:val="105"/>
                <w:sz w:val="20"/>
              </w:rPr>
              <w:t>𝑢</w:t>
            </w:r>
            <w:r>
              <w:rPr>
                <w:rFonts w:ascii="DejaVu Serif Condensed" w:hAnsi="DejaVu Serif Condensed" w:eastAsia="DejaVu Serif Condensed"/>
                <w:spacing w:val="2"/>
                <w:w w:val="154"/>
                <w:sz w:val="20"/>
              </w:rPr>
              <w:t>𝑚</w:t>
            </w:r>
            <w:r>
              <w:rPr>
                <w:rFonts w:ascii="DejaVu Serif Condensed" w:hAnsi="DejaVu Serif Condensed" w:eastAsia="DejaVu Serif Condensed"/>
                <w:spacing w:val="8"/>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13"/>
                <w:w w:val="81"/>
                <w:position w:val="-3"/>
                <w:sz w:val="14"/>
              </w:rPr>
              <w:t>𝑡</w:t>
            </w:r>
            <w:r>
              <w:rPr>
                <w:rFonts w:ascii="DejaVu Serif Condensed" w:hAnsi="DejaVu Serif Condensed" w:eastAsia="DejaVu Serif Condensed"/>
                <w:w w:val="117"/>
                <w:sz w:val="20"/>
              </w:rPr>
              <w:t>)</w:t>
            </w:r>
          </w:p>
          <w:p>
            <w:pPr>
              <w:pStyle w:val="TableParagraph"/>
              <w:spacing w:before="52"/>
              <w:ind w:left="1868"/>
              <w:rPr>
                <w:rFonts w:ascii="DejaVu Serif Condensed" w:eastAsia="DejaVu Serif Condensed"/>
                <w:sz w:val="14"/>
              </w:rPr>
            </w:pPr>
            <w:r>
              <w:rPr>
                <w:rFonts w:ascii="DejaVu Serif Condensed" w:eastAsia="DejaVu Serif Condensed"/>
                <w:w w:val="105"/>
                <w:sz w:val="14"/>
              </w:rPr>
              <w:t>𝑛=1</w:t>
            </w:r>
          </w:p>
          <w:p>
            <w:pPr>
              <w:pStyle w:val="TableParagraph"/>
              <w:spacing w:before="91"/>
              <w:ind w:left="1661"/>
              <w:rPr>
                <w:rFonts w:ascii="DejaVu Serif Condensed" w:hAnsi="DejaVu Serif Condensed" w:eastAsia="DejaVu Serif Condensed"/>
                <w:sz w:val="20"/>
              </w:rPr>
            </w:pPr>
            <w:r>
              <w:rPr>
                <w:rFonts w:ascii="DejaVu Serif Condensed" w:hAnsi="DejaVu Serif Condensed" w:eastAsia="DejaVu Serif Condensed"/>
                <w:w w:val="98"/>
                <w:sz w:val="20"/>
              </w:rPr>
              <w:t>+</w:t>
            </w:r>
            <w:r>
              <w:rPr>
                <w:rFonts w:ascii="DejaVu Serif Condensed" w:hAnsi="DejaVu Serif Condensed" w:eastAsia="DejaVu Serif Condensed"/>
                <w:spacing w:val="-11"/>
                <w:sz w:val="20"/>
              </w:rPr>
              <w:t> </w:t>
            </w:r>
            <w:r>
              <w:rPr>
                <w:rFonts w:ascii="DejaVu Serif Condensed" w:hAnsi="DejaVu Serif Condensed" w:eastAsia="DejaVu Serif Condensed"/>
                <w:spacing w:val="-12"/>
                <w:w w:val="103"/>
                <w:sz w:val="20"/>
              </w:rPr>
              <w:t>𝜃</w:t>
            </w:r>
            <w:r>
              <w:rPr>
                <w:rFonts w:ascii="DejaVu Serif Condensed" w:hAnsi="DejaVu Serif Condensed" w:eastAsia="DejaVu Serif Condensed"/>
                <w:spacing w:val="8"/>
                <w:w w:val="100"/>
                <w:position w:val="-3"/>
                <w:sz w:val="14"/>
              </w:rPr>
              <w:t>1</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spacing w:val="-1"/>
                <w:w w:val="106"/>
                <w:sz w:val="20"/>
              </w:rPr>
              <w:t>𝑂</w:t>
            </w:r>
            <w:r>
              <w:rPr>
                <w:rFonts w:ascii="DejaVu Serif Condensed" w:hAnsi="DejaVu Serif Condensed" w:eastAsia="DejaVu Serif Condensed"/>
                <w:spacing w:val="-2"/>
                <w:w w:val="106"/>
                <w:sz w:val="20"/>
              </w:rPr>
              <w:t>𝑟</w:t>
            </w:r>
            <w:r>
              <w:rPr>
                <w:rFonts w:ascii="DejaVu Serif Condensed" w:hAnsi="DejaVu Serif Condensed" w:eastAsia="DejaVu Serif Condensed"/>
                <w:spacing w:val="7"/>
                <w:w w:val="72"/>
                <w:sz w:val="20"/>
              </w:rPr>
              <w:t>𝑡</w:t>
            </w:r>
            <w:r>
              <w:rPr>
                <w:rFonts w:ascii="DejaVu Serif Condensed" w:hAnsi="DejaVu Serif Condensed" w:eastAsia="DejaVu Serif Condensed"/>
                <w:w w:val="71"/>
                <w:sz w:val="20"/>
              </w:rPr>
              <w:t>.</w:t>
            </w:r>
            <w:r>
              <w:rPr>
                <w:rFonts w:ascii="DejaVu Serif Condensed" w:hAnsi="DejaVu Serif Condensed" w:eastAsia="DejaVu Serif Condensed"/>
                <w:spacing w:val="-24"/>
                <w:sz w:val="20"/>
              </w:rPr>
              <w:t> </w:t>
            </w:r>
            <w:r>
              <w:rPr>
                <w:rFonts w:ascii="DejaVu Serif Condensed" w:hAnsi="DejaVu Serif Condensed" w:eastAsia="DejaVu Serif Condensed"/>
                <w:spacing w:val="-2"/>
                <w:w w:val="114"/>
                <w:sz w:val="20"/>
              </w:rPr>
              <w:t>𝑃</w:t>
            </w:r>
            <w:r>
              <w:rPr>
                <w:rFonts w:ascii="DejaVu Serif Condensed" w:hAnsi="DejaVu Serif Condensed" w:eastAsia="DejaVu Serif Condensed"/>
                <w:w w:val="105"/>
                <w:sz w:val="20"/>
              </w:rPr>
              <w:t>𝑢</w:t>
            </w:r>
            <w:r>
              <w:rPr>
                <w:rFonts w:ascii="DejaVu Serif Condensed" w:hAnsi="DejaVu Serif Condensed" w:eastAsia="DejaVu Serif Condensed"/>
                <w:spacing w:val="-1"/>
                <w:w w:val="104"/>
                <w:sz w:val="20"/>
              </w:rPr>
              <w:t>𝑎</w:t>
            </w:r>
            <w:r>
              <w:rPr>
                <w:rFonts w:ascii="DejaVu Serif Condensed" w:hAnsi="DejaVu Serif Condensed" w:eastAsia="DejaVu Serif Condensed"/>
                <w:w w:val="104"/>
                <w:sz w:val="20"/>
              </w:rPr>
              <w:t>𝑛</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7"/>
                <w:w w:val="103"/>
                <w:sz w:val="20"/>
              </w:rPr>
              <w:t>𝜃</w:t>
            </w:r>
            <w:r>
              <w:rPr>
                <w:rFonts w:ascii="DejaVu Serif Condensed" w:hAnsi="DejaVu Serif Condensed" w:eastAsia="DejaVu Serif Condensed"/>
                <w:spacing w:val="8"/>
                <w:w w:val="100"/>
                <w:position w:val="-3"/>
                <w:sz w:val="14"/>
              </w:rPr>
              <w:t>2</w:t>
            </w:r>
            <w:r>
              <w:rPr>
                <w:rFonts w:ascii="DejaVu Serif Condensed" w:hAnsi="DejaVu Serif Condensed" w:eastAsia="DejaVu Serif Condensed"/>
                <w:spacing w:val="-2"/>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91"/>
                <w:sz w:val="20"/>
              </w:rPr>
              <w:t>𝑂𝑙</w:t>
            </w:r>
            <w:r>
              <w:rPr>
                <w:rFonts w:ascii="DejaVu Serif Condensed" w:hAnsi="DejaVu Serif Condensed" w:eastAsia="DejaVu Serif Condensed"/>
                <w:w w:val="105"/>
                <w:sz w:val="20"/>
              </w:rPr>
              <w:t>𝑢</w:t>
            </w:r>
            <w:r>
              <w:rPr>
                <w:rFonts w:ascii="DejaVu Serif Condensed" w:hAnsi="DejaVu Serif Condensed" w:eastAsia="DejaVu Serif Condensed"/>
                <w:w w:val="154"/>
                <w:sz w:val="20"/>
              </w:rPr>
              <w:t>𝑚</w:t>
            </w:r>
            <w:r>
              <w:rPr>
                <w:rFonts w:ascii="DejaVu Serif Condensed" w:hAnsi="DejaVu Serif Condensed" w:eastAsia="DejaVu Serif Condensed"/>
                <w:w w:val="82"/>
                <w:sz w:val="20"/>
              </w:rPr>
              <w:t>𝑙</w:t>
            </w:r>
            <w:r>
              <w:rPr>
                <w:rFonts w:ascii="DejaVu Serif Condensed" w:hAnsi="DejaVu Serif Condensed" w:eastAsia="DejaVu Serif Condensed"/>
                <w:spacing w:val="1"/>
                <w:w w:val="82"/>
                <w:sz w:val="20"/>
              </w:rPr>
              <w:t>𝑢</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7"/>
                <w:w w:val="103"/>
                <w:sz w:val="20"/>
              </w:rPr>
              <w:t>𝜃</w:t>
            </w:r>
            <w:r>
              <w:rPr>
                <w:rFonts w:ascii="DejaVu Serif Condensed" w:hAnsi="DejaVu Serif Condensed" w:eastAsia="DejaVu Serif Condensed"/>
                <w:spacing w:val="8"/>
                <w:w w:val="100"/>
                <w:position w:val="-3"/>
                <w:sz w:val="14"/>
              </w:rPr>
              <w:t>3</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w w:val="135"/>
                <w:sz w:val="20"/>
              </w:rPr>
              <w:t>𝑁</w:t>
            </w:r>
            <w:r>
              <w:rPr>
                <w:rFonts w:ascii="DejaVu Serif Condensed" w:hAnsi="DejaVu Serif Condensed" w:eastAsia="DejaVu Serif Condensed"/>
                <w:spacing w:val="-1"/>
                <w:w w:val="97"/>
                <w:sz w:val="20"/>
              </w:rPr>
              <w:t>ö</w:t>
            </w:r>
            <w:r>
              <w:rPr>
                <w:rFonts w:ascii="DejaVu Serif Condensed" w:hAnsi="DejaVu Serif Condensed" w:eastAsia="DejaVu Serif Condensed"/>
                <w:w w:val="72"/>
                <w:sz w:val="20"/>
              </w:rPr>
              <w:t>𝑡</w:t>
            </w:r>
            <w:r>
              <w:rPr>
                <w:rFonts w:ascii="DejaVu Serif Condensed" w:hAnsi="DejaVu Serif Condensed" w:eastAsia="DejaVu Serif Condensed"/>
                <w:spacing w:val="-23"/>
                <w:w w:val="87"/>
                <w:sz w:val="20"/>
              </w:rPr>
              <w:t>𝑟</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p>
          <w:p>
            <w:pPr>
              <w:pStyle w:val="TableParagraph"/>
              <w:spacing w:line="237" w:lineRule="exact" w:before="113"/>
              <w:ind w:left="1661"/>
              <w:rPr>
                <w:rFonts w:ascii="DejaVu Serif Condensed" w:hAnsi="DejaVu Serif Condensed" w:eastAsia="DejaVu Serif Condensed"/>
                <w:sz w:val="14"/>
              </w:rPr>
            </w:pPr>
            <w:r>
              <w:rPr>
                <w:rFonts w:ascii="DejaVu Serif Condensed" w:hAnsi="DejaVu Serif Condensed" w:eastAsia="DejaVu Serif Condensed"/>
                <w:w w:val="98"/>
                <w:sz w:val="20"/>
              </w:rPr>
              <w:t>+</w:t>
            </w:r>
            <w:r>
              <w:rPr>
                <w:rFonts w:ascii="DejaVu Serif Condensed" w:hAnsi="DejaVu Serif Condensed" w:eastAsia="DejaVu Serif Condensed"/>
                <w:spacing w:val="-11"/>
                <w:sz w:val="20"/>
              </w:rPr>
              <w:t> </w:t>
            </w:r>
            <w:r>
              <w:rPr>
                <w:rFonts w:ascii="DejaVu Serif Condensed" w:hAnsi="DejaVu Serif Condensed" w:eastAsia="DejaVu Serif Condensed"/>
                <w:spacing w:val="-12"/>
                <w:w w:val="103"/>
                <w:sz w:val="20"/>
              </w:rPr>
              <w:t>𝜃</w:t>
            </w:r>
            <w:r>
              <w:rPr>
                <w:rFonts w:ascii="DejaVu Serif Condensed" w:hAnsi="DejaVu Serif Condensed" w:eastAsia="DejaVu Serif Condensed"/>
                <w:spacing w:val="8"/>
                <w:w w:val="100"/>
                <w:position w:val="-3"/>
                <w:sz w:val="14"/>
              </w:rPr>
              <w:t>4</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spacing w:val="-1"/>
                <w:w w:val="91"/>
                <w:sz w:val="20"/>
              </w:rPr>
              <w:t>𝑂𝑙</w:t>
            </w:r>
            <w:r>
              <w:rPr>
                <w:rFonts w:ascii="DejaVu Serif Condensed" w:hAnsi="DejaVu Serif Condensed" w:eastAsia="DejaVu Serif Condensed"/>
                <w:w w:val="105"/>
                <w:sz w:val="20"/>
              </w:rPr>
              <w:t>𝑢</w:t>
            </w:r>
            <w:r>
              <w:rPr>
                <w:rFonts w:ascii="DejaVu Serif Condensed" w:hAnsi="DejaVu Serif Condensed" w:eastAsia="DejaVu Serif Condensed"/>
                <w:w w:val="154"/>
                <w:sz w:val="20"/>
              </w:rPr>
              <w:t>𝑚</w:t>
            </w:r>
            <w:r>
              <w:rPr>
                <w:rFonts w:ascii="DejaVu Serif Condensed" w:hAnsi="DejaVu Serif Condensed" w:eastAsia="DejaVu Serif Condensed"/>
                <w:spacing w:val="-1"/>
                <w:w w:val="85"/>
                <w:sz w:val="20"/>
              </w:rPr>
              <w:t>𝑠</w:t>
            </w:r>
            <w:r>
              <w:rPr>
                <w:rFonts w:ascii="DejaVu Serif Condensed" w:hAnsi="DejaVu Serif Condensed" w:eastAsia="DejaVu Serif Condensed"/>
                <w:w w:val="105"/>
                <w:sz w:val="20"/>
              </w:rPr>
              <w:t>𝑢</w:t>
            </w:r>
            <w:r>
              <w:rPr>
                <w:rFonts w:ascii="DejaVu Serif Condensed" w:hAnsi="DejaVu Serif Condensed" w:eastAsia="DejaVu Serif Condensed"/>
                <w:spacing w:val="-5"/>
                <w:w w:val="89"/>
                <w:sz w:val="20"/>
              </w:rPr>
              <w:t>𝑧</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2"/>
                <w:w w:val="108"/>
                <w:sz w:val="20"/>
              </w:rPr>
              <w:t>𝜗</w:t>
            </w:r>
            <w:r>
              <w:rPr>
                <w:rFonts w:ascii="DejaVu Serif Condensed" w:hAnsi="DejaVu Serif Condensed" w:eastAsia="DejaVu Serif Condensed"/>
                <w:spacing w:val="8"/>
                <w:w w:val="100"/>
                <w:position w:val="-3"/>
                <w:sz w:val="14"/>
              </w:rPr>
              <w:t>1</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w w:val="112"/>
                <w:sz w:val="20"/>
              </w:rPr>
              <w:t>𝐹</w:t>
            </w:r>
            <w:r>
              <w:rPr>
                <w:rFonts w:ascii="DejaVu Serif Condensed" w:hAnsi="DejaVu Serif Condensed" w:eastAsia="DejaVu Serif Condensed"/>
                <w:spacing w:val="-1"/>
                <w:w w:val="58"/>
                <w:sz w:val="20"/>
              </w:rPr>
              <w:t>𝑖</w:t>
            </w:r>
            <w:r>
              <w:rPr>
                <w:rFonts w:ascii="DejaVu Serif Condensed" w:hAnsi="DejaVu Serif Condensed" w:eastAsia="DejaVu Serif Condensed"/>
                <w:spacing w:val="-2"/>
                <w:w w:val="103"/>
                <w:sz w:val="20"/>
              </w:rPr>
              <w:t>𝑦</w:t>
            </w:r>
            <w:r>
              <w:rPr>
                <w:rFonts w:ascii="DejaVu Serif Condensed" w:hAnsi="DejaVu Serif Condensed" w:eastAsia="DejaVu Serif Condensed"/>
                <w:spacing w:val="-1"/>
                <w:w w:val="87"/>
                <w:sz w:val="20"/>
              </w:rPr>
              <w:t>𝑎</w:t>
            </w:r>
            <w:r>
              <w:rPr>
                <w:rFonts w:ascii="DejaVu Serif Condensed" w:hAnsi="DejaVu Serif Condensed" w:eastAsia="DejaVu Serif Condensed"/>
                <w:spacing w:val="-2"/>
                <w:w w:val="87"/>
                <w:sz w:val="20"/>
              </w:rPr>
              <w:t>𝑡</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7"/>
                <w:w w:val="108"/>
                <w:sz w:val="20"/>
              </w:rPr>
              <w:t>𝜗</w:t>
            </w:r>
            <w:r>
              <w:rPr>
                <w:rFonts w:ascii="DejaVu Serif Condensed" w:hAnsi="DejaVu Serif Condensed" w:eastAsia="DejaVu Serif Condensed"/>
                <w:spacing w:val="8"/>
                <w:w w:val="100"/>
                <w:position w:val="-3"/>
                <w:sz w:val="14"/>
              </w:rPr>
              <w:t>2</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w w:val="90"/>
                <w:sz w:val="20"/>
              </w:rPr>
              <w:t>İ</w:t>
            </w:r>
            <w:r>
              <w:rPr>
                <w:rFonts w:ascii="DejaVu Serif Condensed" w:hAnsi="DejaVu Serif Condensed" w:eastAsia="DejaVu Serif Condensed"/>
                <w:w w:val="105"/>
                <w:sz w:val="20"/>
              </w:rPr>
              <w:t>𝑛</w:t>
            </w:r>
            <w:r>
              <w:rPr>
                <w:rFonts w:ascii="DejaVu Serif Condensed" w:hAnsi="DejaVu Serif Condensed" w:eastAsia="DejaVu Serif Condensed"/>
                <w:w w:val="82"/>
                <w:sz w:val="20"/>
              </w:rPr>
              <w:t>𝑑</w:t>
            </w:r>
            <w:r>
              <w:rPr>
                <w:rFonts w:ascii="DejaVu Serif Condensed" w:hAnsi="DejaVu Serif Condensed" w:eastAsia="DejaVu Serif Condensed"/>
                <w:spacing w:val="-1"/>
                <w:w w:val="82"/>
                <w:sz w:val="20"/>
              </w:rPr>
              <w:t>𝑖</w:t>
            </w:r>
            <w:r>
              <w:rPr>
                <w:rFonts w:ascii="DejaVu Serif Condensed" w:hAnsi="DejaVu Serif Condensed" w:eastAsia="DejaVu Serif Condensed"/>
                <w:spacing w:val="-2"/>
                <w:w w:val="87"/>
                <w:sz w:val="20"/>
              </w:rPr>
              <w:t>𝑟</w:t>
            </w:r>
            <w:r>
              <w:rPr>
                <w:rFonts w:ascii="DejaVu Serif Condensed" w:hAnsi="DejaVu Serif Condensed" w:eastAsia="DejaVu Serif Condensed"/>
                <w:spacing w:val="-1"/>
                <w:w w:val="58"/>
                <w:sz w:val="20"/>
              </w:rPr>
              <w:t>𝑖</w:t>
            </w:r>
            <w:r>
              <w:rPr>
                <w:rFonts w:ascii="DejaVu Serif Condensed" w:hAnsi="DejaVu Serif Condensed" w:eastAsia="DejaVu Serif Condensed"/>
                <w:spacing w:val="1"/>
                <w:w w:val="154"/>
                <w:sz w:val="20"/>
              </w:rPr>
              <w:t>𝑚</w:t>
            </w:r>
            <w:r>
              <w:rPr>
                <w:rFonts w:ascii="DejaVu Serif Condensed" w:hAnsi="DejaVu Serif Condensed" w:eastAsia="DejaVu Serif Condensed"/>
                <w:spacing w:val="8"/>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13"/>
                <w:w w:val="81"/>
                <w:position w:val="-3"/>
                <w:sz w:val="14"/>
              </w:rPr>
              <w:t>𝑡</w:t>
            </w:r>
            <w:r>
              <w:rPr>
                <w:rFonts w:ascii="DejaVu Serif Condensed" w:hAnsi="DejaVu Serif Condensed" w:eastAsia="DejaVu Serif Condensed"/>
                <w:w w:val="117"/>
                <w:sz w:val="20"/>
              </w:rPr>
              <w:t>)</w:t>
            </w:r>
            <w:r>
              <w:rPr>
                <w:rFonts w:ascii="DejaVu Serif Condensed" w:hAnsi="DejaVu Serif Condensed" w:eastAsia="DejaVu Serif Condensed"/>
                <w:spacing w:val="-15"/>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
                <w:w w:val="94"/>
                <w:sz w:val="20"/>
              </w:rPr>
              <w:t>∆</w:t>
            </w:r>
            <w:r>
              <w:rPr>
                <w:rFonts w:ascii="DejaVu Serif Condensed" w:hAnsi="DejaVu Serif Condensed" w:eastAsia="DejaVu Serif Condensed"/>
                <w:w w:val="105"/>
                <w:sz w:val="20"/>
              </w:rPr>
              <w:t>𝑢</w:t>
            </w:r>
            <w:r>
              <w:rPr>
                <w:rFonts w:ascii="DejaVu Serif Condensed" w:hAnsi="DejaVu Serif Condensed" w:eastAsia="DejaVu Serif Condensed"/>
                <w:spacing w:val="4"/>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p>
        </w:tc>
        <w:tc>
          <w:tcPr>
            <w:tcW w:w="1031" w:type="dxa"/>
          </w:tcPr>
          <w:p>
            <w:pPr>
              <w:pStyle w:val="TableParagraph"/>
              <w:ind w:left="0"/>
              <w:rPr>
                <w:sz w:val="26"/>
              </w:rPr>
            </w:pPr>
          </w:p>
          <w:p>
            <w:pPr>
              <w:pStyle w:val="TableParagraph"/>
              <w:ind w:left="0"/>
              <w:rPr>
                <w:sz w:val="26"/>
              </w:rPr>
            </w:pPr>
          </w:p>
          <w:p>
            <w:pPr>
              <w:pStyle w:val="TableParagraph"/>
              <w:spacing w:before="10"/>
              <w:ind w:left="0"/>
              <w:rPr>
                <w:sz w:val="37"/>
              </w:rPr>
            </w:pPr>
          </w:p>
          <w:p>
            <w:pPr>
              <w:pStyle w:val="TableParagraph"/>
              <w:ind w:left="0" w:right="197"/>
              <w:jc w:val="right"/>
              <w:rPr>
                <w:sz w:val="24"/>
              </w:rPr>
            </w:pPr>
            <w:r>
              <w:rPr>
                <w:sz w:val="24"/>
              </w:rPr>
              <w:t>(5)</w:t>
            </w:r>
          </w:p>
        </w:tc>
      </w:tr>
    </w:tbl>
    <w:p>
      <w:pPr>
        <w:pStyle w:val="BodyText"/>
        <w:spacing w:before="11"/>
        <w:ind w:left="0"/>
        <w:jc w:val="left"/>
        <w:rPr>
          <w:sz w:val="29"/>
        </w:rPr>
      </w:pPr>
    </w:p>
    <w:p>
      <w:pPr>
        <w:spacing w:line="357" w:lineRule="auto" w:before="0"/>
        <w:ind w:left="548" w:right="308" w:firstLine="708"/>
        <w:jc w:val="both"/>
        <w:rPr>
          <w:sz w:val="24"/>
        </w:rPr>
      </w:pPr>
      <w:r>
        <w:rPr>
          <w:position w:val="2"/>
          <w:sz w:val="24"/>
        </w:rPr>
        <w:t>Ancak,</w:t>
      </w:r>
      <w:r>
        <w:rPr>
          <w:spacing w:val="-17"/>
          <w:position w:val="2"/>
          <w:sz w:val="24"/>
        </w:rPr>
        <w:t> </w:t>
      </w:r>
      <w:r>
        <w:rPr>
          <w:i/>
          <w:position w:val="2"/>
          <w:sz w:val="24"/>
        </w:rPr>
        <w:t>ln(Olumlu</w:t>
      </w:r>
      <w:r>
        <w:rPr>
          <w:i/>
          <w:sz w:val="16"/>
        </w:rPr>
        <w:t>i,t</w:t>
      </w:r>
      <w:r>
        <w:rPr>
          <w:i/>
          <w:position w:val="2"/>
          <w:sz w:val="24"/>
        </w:rPr>
        <w:t>)</w:t>
      </w:r>
      <w:r>
        <w:rPr>
          <w:position w:val="2"/>
          <w:sz w:val="24"/>
        </w:rPr>
        <w:t>,</w:t>
      </w:r>
      <w:r>
        <w:rPr>
          <w:spacing w:val="-17"/>
          <w:position w:val="2"/>
          <w:sz w:val="24"/>
        </w:rPr>
        <w:t> </w:t>
      </w:r>
      <w:r>
        <w:rPr>
          <w:i/>
          <w:position w:val="2"/>
          <w:sz w:val="24"/>
        </w:rPr>
        <w:t>ln(Olumsuz</w:t>
      </w:r>
      <w:r>
        <w:rPr>
          <w:i/>
          <w:sz w:val="16"/>
        </w:rPr>
        <w:t>i,t</w:t>
      </w:r>
      <w:r>
        <w:rPr>
          <w:i/>
          <w:position w:val="2"/>
          <w:sz w:val="24"/>
        </w:rPr>
        <w:t>)</w:t>
      </w:r>
      <w:r>
        <w:rPr>
          <w:i/>
          <w:spacing w:val="-18"/>
          <w:position w:val="2"/>
          <w:sz w:val="24"/>
        </w:rPr>
        <w:t> </w:t>
      </w:r>
      <w:r>
        <w:rPr>
          <w:position w:val="2"/>
          <w:sz w:val="24"/>
        </w:rPr>
        <w:t>ve</w:t>
      </w:r>
      <w:r>
        <w:rPr>
          <w:spacing w:val="-16"/>
          <w:position w:val="2"/>
          <w:sz w:val="24"/>
        </w:rPr>
        <w:t> </w:t>
      </w:r>
      <w:r>
        <w:rPr>
          <w:i/>
          <w:position w:val="2"/>
          <w:sz w:val="24"/>
        </w:rPr>
        <w:t>ln(Nötr</w:t>
      </w:r>
      <w:r>
        <w:rPr>
          <w:i/>
          <w:sz w:val="16"/>
        </w:rPr>
        <w:t>i,t</w:t>
      </w:r>
      <w:r>
        <w:rPr>
          <w:i/>
          <w:position w:val="2"/>
          <w:sz w:val="24"/>
        </w:rPr>
        <w:t>)</w:t>
      </w:r>
      <w:r>
        <w:rPr>
          <w:i/>
          <w:spacing w:val="-31"/>
          <w:position w:val="2"/>
          <w:sz w:val="24"/>
        </w:rPr>
        <w:t> </w:t>
      </w:r>
      <w:r>
        <w:rPr>
          <w:position w:val="2"/>
          <w:sz w:val="24"/>
        </w:rPr>
        <w:t>değişkenleri</w:t>
      </w:r>
      <w:r>
        <w:rPr>
          <w:spacing w:val="-17"/>
          <w:position w:val="2"/>
          <w:sz w:val="24"/>
        </w:rPr>
        <w:t> </w:t>
      </w:r>
      <w:r>
        <w:rPr>
          <w:position w:val="2"/>
          <w:sz w:val="24"/>
        </w:rPr>
        <w:t>olumlu,</w:t>
      </w:r>
      <w:r>
        <w:rPr>
          <w:spacing w:val="-16"/>
          <w:position w:val="2"/>
          <w:sz w:val="24"/>
        </w:rPr>
        <w:t> </w:t>
      </w:r>
      <w:r>
        <w:rPr>
          <w:position w:val="2"/>
          <w:sz w:val="24"/>
        </w:rPr>
        <w:t>olumsuz</w:t>
      </w:r>
      <w:r>
        <w:rPr>
          <w:spacing w:val="-17"/>
          <w:position w:val="2"/>
          <w:sz w:val="24"/>
        </w:rPr>
        <w:t> </w:t>
      </w:r>
      <w:r>
        <w:rPr>
          <w:position w:val="2"/>
          <w:sz w:val="24"/>
        </w:rPr>
        <w:t>ve</w:t>
      </w:r>
      <w:r>
        <w:rPr>
          <w:spacing w:val="-18"/>
          <w:position w:val="2"/>
          <w:sz w:val="24"/>
        </w:rPr>
        <w:t> </w:t>
      </w:r>
      <w:r>
        <w:rPr>
          <w:position w:val="2"/>
          <w:sz w:val="24"/>
        </w:rPr>
        <w:t>nötr yorum yüzdelerinin </w:t>
      </w:r>
      <w:r>
        <w:rPr>
          <w:i/>
          <w:position w:val="2"/>
          <w:sz w:val="24"/>
        </w:rPr>
        <w:t>ToplamYorum</w:t>
      </w:r>
      <w:r>
        <w:rPr>
          <w:i/>
          <w:sz w:val="16"/>
        </w:rPr>
        <w:t>i,t </w:t>
      </w:r>
      <w:r>
        <w:rPr>
          <w:position w:val="2"/>
          <w:sz w:val="24"/>
        </w:rPr>
        <w:t>ile çarpılarak elde edildiğinden, </w:t>
      </w:r>
      <w:r>
        <w:rPr>
          <w:i/>
          <w:position w:val="2"/>
          <w:sz w:val="24"/>
        </w:rPr>
        <w:t>ln(ToplamYorum</w:t>
      </w:r>
      <w:r>
        <w:rPr>
          <w:i/>
          <w:sz w:val="16"/>
        </w:rPr>
        <w:t>i,t</w:t>
      </w:r>
      <w:r>
        <w:rPr>
          <w:i/>
          <w:position w:val="2"/>
          <w:sz w:val="24"/>
        </w:rPr>
        <w:t>) </w:t>
      </w:r>
      <w:r>
        <w:rPr>
          <w:sz w:val="24"/>
        </w:rPr>
        <w:t>değişkeni ile kolerasyon göstereceklerdir. Bu sebeple çoklu doğrusallık sorunu olacaktır.</w:t>
      </w:r>
      <w:r>
        <w:rPr>
          <w:spacing w:val="-44"/>
          <w:sz w:val="24"/>
        </w:rPr>
        <w:t> </w:t>
      </w:r>
      <w:r>
        <w:rPr>
          <w:sz w:val="24"/>
        </w:rPr>
        <w:t>Bu </w:t>
      </w:r>
      <w:r>
        <w:rPr>
          <w:position w:val="2"/>
          <w:sz w:val="24"/>
        </w:rPr>
        <w:t>nedenle</w:t>
      </w:r>
      <w:r>
        <w:rPr>
          <w:spacing w:val="-12"/>
          <w:position w:val="2"/>
          <w:sz w:val="24"/>
        </w:rPr>
        <w:t> </w:t>
      </w:r>
      <w:r>
        <w:rPr>
          <w:position w:val="2"/>
          <w:sz w:val="24"/>
        </w:rPr>
        <w:t>model</w:t>
      </w:r>
      <w:r>
        <w:rPr>
          <w:spacing w:val="-10"/>
          <w:position w:val="2"/>
          <w:sz w:val="24"/>
        </w:rPr>
        <w:t> </w:t>
      </w:r>
      <w:r>
        <w:rPr>
          <w:position w:val="2"/>
          <w:sz w:val="24"/>
        </w:rPr>
        <w:t>iki</w:t>
      </w:r>
      <w:r>
        <w:rPr>
          <w:spacing w:val="-9"/>
          <w:position w:val="2"/>
          <w:sz w:val="24"/>
        </w:rPr>
        <w:t> </w:t>
      </w:r>
      <w:r>
        <w:rPr>
          <w:position w:val="2"/>
          <w:sz w:val="24"/>
        </w:rPr>
        <w:t>parçaya</w:t>
      </w:r>
      <w:r>
        <w:rPr>
          <w:spacing w:val="-12"/>
          <w:position w:val="2"/>
          <w:sz w:val="24"/>
        </w:rPr>
        <w:t> </w:t>
      </w:r>
      <w:r>
        <w:rPr>
          <w:position w:val="2"/>
          <w:sz w:val="24"/>
        </w:rPr>
        <w:t>ayrılmıştır.</w:t>
      </w:r>
      <w:r>
        <w:rPr>
          <w:spacing w:val="-8"/>
          <w:position w:val="2"/>
          <w:sz w:val="24"/>
        </w:rPr>
        <w:t> </w:t>
      </w:r>
      <w:r>
        <w:rPr>
          <w:position w:val="2"/>
          <w:sz w:val="24"/>
        </w:rPr>
        <w:t>İlk</w:t>
      </w:r>
      <w:r>
        <w:rPr>
          <w:spacing w:val="-7"/>
          <w:position w:val="2"/>
          <w:sz w:val="24"/>
        </w:rPr>
        <w:t> </w:t>
      </w:r>
      <w:r>
        <w:rPr>
          <w:position w:val="2"/>
          <w:sz w:val="24"/>
        </w:rPr>
        <w:t>modelde,</w:t>
      </w:r>
      <w:r>
        <w:rPr>
          <w:spacing w:val="40"/>
          <w:position w:val="2"/>
          <w:sz w:val="24"/>
        </w:rPr>
        <w:t> </w:t>
      </w:r>
      <w:r>
        <w:rPr>
          <w:i/>
          <w:position w:val="2"/>
          <w:sz w:val="24"/>
        </w:rPr>
        <w:t>ln(Olumlu</w:t>
      </w:r>
      <w:r>
        <w:rPr>
          <w:i/>
          <w:sz w:val="16"/>
        </w:rPr>
        <w:t>i,t</w:t>
      </w:r>
      <w:r>
        <w:rPr>
          <w:i/>
          <w:position w:val="2"/>
          <w:sz w:val="24"/>
        </w:rPr>
        <w:t>)</w:t>
      </w:r>
      <w:r>
        <w:rPr>
          <w:position w:val="2"/>
          <w:sz w:val="24"/>
        </w:rPr>
        <w:t>,</w:t>
      </w:r>
      <w:r>
        <w:rPr>
          <w:spacing w:val="-10"/>
          <w:position w:val="2"/>
          <w:sz w:val="24"/>
        </w:rPr>
        <w:t> </w:t>
      </w:r>
      <w:r>
        <w:rPr>
          <w:i/>
          <w:position w:val="2"/>
          <w:sz w:val="24"/>
        </w:rPr>
        <w:t>ln(Olumsuz</w:t>
      </w:r>
      <w:r>
        <w:rPr>
          <w:i/>
          <w:sz w:val="16"/>
        </w:rPr>
        <w:t>i,t</w:t>
      </w:r>
      <w:r>
        <w:rPr>
          <w:i/>
          <w:position w:val="2"/>
          <w:sz w:val="24"/>
        </w:rPr>
        <w:t>)</w:t>
      </w:r>
      <w:r>
        <w:rPr>
          <w:i/>
          <w:spacing w:val="-11"/>
          <w:position w:val="2"/>
          <w:sz w:val="24"/>
        </w:rPr>
        <w:t> </w:t>
      </w:r>
      <w:r>
        <w:rPr>
          <w:position w:val="2"/>
          <w:sz w:val="24"/>
        </w:rPr>
        <w:t>ve</w:t>
      </w:r>
      <w:r>
        <w:rPr>
          <w:spacing w:val="-12"/>
          <w:position w:val="2"/>
          <w:sz w:val="24"/>
        </w:rPr>
        <w:t> </w:t>
      </w:r>
      <w:r>
        <w:rPr>
          <w:i/>
          <w:position w:val="2"/>
          <w:sz w:val="24"/>
        </w:rPr>
        <w:t>ln(Nötr</w:t>
      </w:r>
      <w:r>
        <w:rPr>
          <w:i/>
          <w:sz w:val="16"/>
        </w:rPr>
        <w:t>i,t</w:t>
      </w:r>
      <w:r>
        <w:rPr>
          <w:i/>
          <w:position w:val="2"/>
          <w:sz w:val="24"/>
        </w:rPr>
        <w:t>) </w:t>
      </w:r>
      <w:r>
        <w:rPr>
          <w:position w:val="2"/>
          <w:sz w:val="24"/>
        </w:rPr>
        <w:t>modele dahil edilmemiştir (bk. Denklem 6). İkinci modelde ise, </w:t>
      </w:r>
      <w:r>
        <w:rPr>
          <w:i/>
          <w:position w:val="2"/>
          <w:sz w:val="24"/>
        </w:rPr>
        <w:t>ln(ToplamYorum</w:t>
      </w:r>
      <w:r>
        <w:rPr>
          <w:i/>
          <w:sz w:val="16"/>
        </w:rPr>
        <w:t>i,t</w:t>
      </w:r>
      <w:r>
        <w:rPr>
          <w:i/>
          <w:position w:val="2"/>
          <w:sz w:val="24"/>
        </w:rPr>
        <w:t>) </w:t>
      </w:r>
      <w:r>
        <w:rPr>
          <w:position w:val="2"/>
          <w:sz w:val="24"/>
        </w:rPr>
        <w:t>modelden</w:t>
      </w:r>
      <w:r>
        <w:rPr>
          <w:spacing w:val="-15"/>
          <w:position w:val="2"/>
          <w:sz w:val="24"/>
        </w:rPr>
        <w:t> </w:t>
      </w:r>
      <w:r>
        <w:rPr>
          <w:position w:val="2"/>
          <w:sz w:val="24"/>
        </w:rPr>
        <w:t>çıkarılmış</w:t>
      </w:r>
      <w:r>
        <w:rPr>
          <w:spacing w:val="-14"/>
          <w:position w:val="2"/>
          <w:sz w:val="24"/>
        </w:rPr>
        <w:t> </w:t>
      </w:r>
      <w:r>
        <w:rPr>
          <w:position w:val="2"/>
          <w:sz w:val="24"/>
        </w:rPr>
        <w:t>ve</w:t>
      </w:r>
      <w:r>
        <w:rPr>
          <w:spacing w:val="-15"/>
          <w:position w:val="2"/>
          <w:sz w:val="24"/>
        </w:rPr>
        <w:t> </w:t>
      </w:r>
      <w:r>
        <w:rPr>
          <w:i/>
          <w:position w:val="2"/>
          <w:sz w:val="24"/>
        </w:rPr>
        <w:t>ln(Olumlu</w:t>
      </w:r>
      <w:r>
        <w:rPr>
          <w:i/>
          <w:sz w:val="16"/>
        </w:rPr>
        <w:t>i,t</w:t>
      </w:r>
      <w:r>
        <w:rPr>
          <w:i/>
          <w:position w:val="2"/>
          <w:sz w:val="24"/>
        </w:rPr>
        <w:t>)</w:t>
      </w:r>
      <w:r>
        <w:rPr>
          <w:position w:val="2"/>
          <w:sz w:val="24"/>
        </w:rPr>
        <w:t>,</w:t>
      </w:r>
      <w:r>
        <w:rPr>
          <w:spacing w:val="-14"/>
          <w:position w:val="2"/>
          <w:sz w:val="24"/>
        </w:rPr>
        <w:t> </w:t>
      </w:r>
      <w:r>
        <w:rPr>
          <w:i/>
          <w:position w:val="2"/>
          <w:sz w:val="24"/>
        </w:rPr>
        <w:t>ln(Olumsuz</w:t>
      </w:r>
      <w:r>
        <w:rPr>
          <w:i/>
          <w:sz w:val="16"/>
        </w:rPr>
        <w:t>i,t</w:t>
      </w:r>
      <w:r>
        <w:rPr>
          <w:i/>
          <w:position w:val="2"/>
          <w:sz w:val="24"/>
        </w:rPr>
        <w:t>)</w:t>
      </w:r>
      <w:r>
        <w:rPr>
          <w:i/>
          <w:spacing w:val="-16"/>
          <w:position w:val="2"/>
          <w:sz w:val="24"/>
        </w:rPr>
        <w:t> </w:t>
      </w:r>
      <w:r>
        <w:rPr>
          <w:position w:val="2"/>
          <w:sz w:val="24"/>
        </w:rPr>
        <w:t>ve</w:t>
      </w:r>
      <w:r>
        <w:rPr>
          <w:spacing w:val="-15"/>
          <w:position w:val="2"/>
          <w:sz w:val="24"/>
        </w:rPr>
        <w:t> </w:t>
      </w:r>
      <w:r>
        <w:rPr>
          <w:i/>
          <w:position w:val="2"/>
          <w:sz w:val="24"/>
        </w:rPr>
        <w:t>ln(Nötr</w:t>
      </w:r>
      <w:r>
        <w:rPr>
          <w:i/>
          <w:sz w:val="16"/>
        </w:rPr>
        <w:t>i,t</w:t>
      </w:r>
      <w:r>
        <w:rPr>
          <w:i/>
          <w:position w:val="2"/>
          <w:sz w:val="24"/>
        </w:rPr>
        <w:t>)</w:t>
      </w:r>
      <w:r>
        <w:rPr>
          <w:i/>
          <w:spacing w:val="-31"/>
          <w:position w:val="2"/>
          <w:sz w:val="24"/>
        </w:rPr>
        <w:t> </w:t>
      </w:r>
      <w:r>
        <w:rPr>
          <w:position w:val="2"/>
          <w:sz w:val="24"/>
        </w:rPr>
        <w:t>modele</w:t>
      </w:r>
      <w:r>
        <w:rPr>
          <w:spacing w:val="-15"/>
          <w:position w:val="2"/>
          <w:sz w:val="24"/>
        </w:rPr>
        <w:t> </w:t>
      </w:r>
      <w:r>
        <w:rPr>
          <w:position w:val="2"/>
          <w:sz w:val="24"/>
        </w:rPr>
        <w:t>dahil</w:t>
      </w:r>
      <w:r>
        <w:rPr>
          <w:spacing w:val="-15"/>
          <w:position w:val="2"/>
          <w:sz w:val="24"/>
        </w:rPr>
        <w:t> </w:t>
      </w:r>
      <w:r>
        <w:rPr>
          <w:position w:val="2"/>
          <w:sz w:val="24"/>
        </w:rPr>
        <w:t>edilmiştir.</w:t>
      </w:r>
      <w:r>
        <w:rPr>
          <w:spacing w:val="-14"/>
          <w:position w:val="2"/>
          <w:sz w:val="24"/>
        </w:rPr>
        <w:t> </w:t>
      </w:r>
      <w:r>
        <w:rPr>
          <w:position w:val="2"/>
          <w:sz w:val="24"/>
        </w:rPr>
        <w:t>Son </w:t>
      </w:r>
      <w:r>
        <w:rPr>
          <w:sz w:val="24"/>
        </w:rPr>
        <w:t>olarak, ürün kategorisine göre hacim ve değerlik değişkenlerinin etkisinin değişip değişmediğini test etmek için Denklem (6)’daki ve Denklem (7)’deki hacim ve değerlik </w:t>
      </w:r>
      <w:r>
        <w:rPr>
          <w:position w:val="2"/>
          <w:sz w:val="24"/>
        </w:rPr>
        <w:t>değişkenleri</w:t>
      </w:r>
      <w:r>
        <w:rPr>
          <w:spacing w:val="-10"/>
          <w:position w:val="2"/>
          <w:sz w:val="24"/>
        </w:rPr>
        <w:t> </w:t>
      </w:r>
      <w:r>
        <w:rPr>
          <w:i/>
          <w:position w:val="2"/>
          <w:sz w:val="24"/>
        </w:rPr>
        <w:t>Kategori</w:t>
      </w:r>
      <w:r>
        <w:rPr>
          <w:i/>
          <w:sz w:val="16"/>
        </w:rPr>
        <w:t>J</w:t>
      </w:r>
      <w:r>
        <w:rPr>
          <w:i/>
          <w:spacing w:val="12"/>
          <w:sz w:val="16"/>
        </w:rPr>
        <w:t> </w:t>
      </w:r>
      <w:r>
        <w:rPr>
          <w:position w:val="2"/>
          <w:sz w:val="24"/>
        </w:rPr>
        <w:t>kukla</w:t>
      </w:r>
      <w:r>
        <w:rPr>
          <w:spacing w:val="-10"/>
          <w:position w:val="2"/>
          <w:sz w:val="24"/>
        </w:rPr>
        <w:t> </w:t>
      </w:r>
      <w:r>
        <w:rPr>
          <w:position w:val="2"/>
          <w:sz w:val="24"/>
        </w:rPr>
        <w:t>değişkeni</w:t>
      </w:r>
      <w:r>
        <w:rPr>
          <w:spacing w:val="-8"/>
          <w:position w:val="2"/>
          <w:sz w:val="24"/>
        </w:rPr>
        <w:t> </w:t>
      </w:r>
      <w:r>
        <w:rPr>
          <w:position w:val="2"/>
          <w:sz w:val="24"/>
        </w:rPr>
        <w:t>ile</w:t>
      </w:r>
      <w:r>
        <w:rPr>
          <w:spacing w:val="-11"/>
          <w:position w:val="2"/>
          <w:sz w:val="24"/>
        </w:rPr>
        <w:t> </w:t>
      </w:r>
      <w:r>
        <w:rPr>
          <w:position w:val="2"/>
          <w:sz w:val="24"/>
        </w:rPr>
        <w:t>çarpılmış</w:t>
      </w:r>
      <w:r>
        <w:rPr>
          <w:spacing w:val="-9"/>
          <w:position w:val="2"/>
          <w:sz w:val="24"/>
        </w:rPr>
        <w:t> </w:t>
      </w:r>
      <w:r>
        <w:rPr>
          <w:position w:val="2"/>
          <w:sz w:val="24"/>
        </w:rPr>
        <w:t>ve</w:t>
      </w:r>
      <w:r>
        <w:rPr>
          <w:spacing w:val="-11"/>
          <w:position w:val="2"/>
          <w:sz w:val="24"/>
        </w:rPr>
        <w:t> </w:t>
      </w:r>
      <w:r>
        <w:rPr>
          <w:position w:val="2"/>
          <w:sz w:val="24"/>
        </w:rPr>
        <w:t>model</w:t>
      </w:r>
      <w:r>
        <w:rPr>
          <w:spacing w:val="-9"/>
          <w:position w:val="2"/>
          <w:sz w:val="24"/>
        </w:rPr>
        <w:t> </w:t>
      </w:r>
      <w:r>
        <w:rPr>
          <w:position w:val="2"/>
          <w:sz w:val="24"/>
        </w:rPr>
        <w:t>Denklem</w:t>
      </w:r>
      <w:r>
        <w:rPr>
          <w:spacing w:val="-10"/>
          <w:position w:val="2"/>
          <w:sz w:val="24"/>
        </w:rPr>
        <w:t> </w:t>
      </w:r>
      <w:r>
        <w:rPr>
          <w:position w:val="2"/>
          <w:sz w:val="24"/>
        </w:rPr>
        <w:t>(8)’deki</w:t>
      </w:r>
      <w:r>
        <w:rPr>
          <w:spacing w:val="-8"/>
          <w:position w:val="2"/>
          <w:sz w:val="24"/>
        </w:rPr>
        <w:t> </w:t>
      </w:r>
      <w:r>
        <w:rPr>
          <w:position w:val="2"/>
          <w:sz w:val="24"/>
        </w:rPr>
        <w:t>ve</w:t>
      </w:r>
      <w:r>
        <w:rPr>
          <w:spacing w:val="-11"/>
          <w:position w:val="2"/>
          <w:sz w:val="24"/>
        </w:rPr>
        <w:t> </w:t>
      </w:r>
      <w:r>
        <w:rPr>
          <w:position w:val="2"/>
          <w:sz w:val="24"/>
        </w:rPr>
        <w:t>Denklem </w:t>
      </w:r>
      <w:r>
        <w:rPr>
          <w:sz w:val="24"/>
        </w:rPr>
        <w:t>(9)’daki halini</w:t>
      </w:r>
      <w:r>
        <w:rPr>
          <w:spacing w:val="-1"/>
          <w:sz w:val="24"/>
        </w:rPr>
        <w:t> </w:t>
      </w:r>
      <w:r>
        <w:rPr>
          <w:sz w:val="24"/>
        </w:rPr>
        <w:t>almıştır.</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27"/>
        </w:rPr>
      </w:pPr>
      <w:r>
        <w:rPr/>
        <w:pict>
          <v:rect style="position:absolute;margin-left:113.419998pt;margin-top:17.811954pt;width:144.020pt;height:.71997pt;mso-position-horizontal-relative:page;mso-position-vertical-relative:paragraph;z-index:-15708672;mso-wrap-distance-left:0;mso-wrap-distance-right:0" filled="true" fillcolor="#000000" stroked="false">
            <v:fill type="solid"/>
            <w10:wrap type="topAndBottom"/>
          </v:rect>
        </w:pict>
      </w:r>
    </w:p>
    <w:p>
      <w:pPr>
        <w:spacing w:before="72"/>
        <w:ind w:left="548" w:right="363" w:firstLine="0"/>
        <w:jc w:val="left"/>
        <w:rPr>
          <w:sz w:val="20"/>
        </w:rPr>
      </w:pPr>
      <w:r>
        <w:rPr>
          <w:sz w:val="20"/>
          <w:vertAlign w:val="superscript"/>
        </w:rPr>
        <w:t>3</w:t>
      </w:r>
      <w:r>
        <w:rPr>
          <w:sz w:val="20"/>
          <w:vertAlign w:val="baseline"/>
        </w:rPr>
        <w:t> Modellerin ilk versiyonlarında bağımlı değişkenin iki gecikmelisi kullanılmıştır. Ancak, otokorelasyon testleri sonucu ikinci dereceden otokorelasyon tespit edilmiştir. Otokorelasyonu ortadan kaldırmak </w:t>
      </w:r>
      <w:r>
        <w:rPr>
          <w:position w:val="2"/>
          <w:sz w:val="20"/>
          <w:vertAlign w:val="baseline"/>
        </w:rPr>
        <w:t>maksadıyla bağımlı değişkenin üç gecikmelisi de (ln(Sıralama</w:t>
      </w:r>
      <w:r>
        <w:rPr>
          <w:sz w:val="13"/>
          <w:vertAlign w:val="baseline"/>
        </w:rPr>
        <w:t>i,t-3</w:t>
      </w:r>
      <w:r>
        <w:rPr>
          <w:position w:val="2"/>
          <w:sz w:val="20"/>
          <w:vertAlign w:val="baseline"/>
        </w:rPr>
        <w:t>)) modellere eklenmiştir.</w:t>
      </w:r>
    </w:p>
    <w:p>
      <w:pPr>
        <w:spacing w:after="0"/>
        <w:jc w:val="left"/>
        <w:rPr>
          <w:sz w:val="20"/>
        </w:rPr>
        <w:sectPr>
          <w:pgSz w:w="12240" w:h="15840"/>
          <w:pgMar w:header="718" w:footer="0" w:top="1300" w:bottom="280" w:left="1720" w:right="820"/>
        </w:sectPr>
      </w:pPr>
    </w:p>
    <w:p>
      <w:pPr>
        <w:pStyle w:val="BodyText"/>
        <w:ind w:left="0"/>
        <w:jc w:val="left"/>
        <w:rPr>
          <w:sz w:val="20"/>
        </w:rPr>
      </w:pPr>
    </w:p>
    <w:p>
      <w:pPr>
        <w:pStyle w:val="BodyText"/>
        <w:spacing w:before="4"/>
        <w:ind w:left="0"/>
        <w:jc w:val="left"/>
        <w:rPr>
          <w:sz w:val="29"/>
        </w:rPr>
      </w:pPr>
    </w:p>
    <w:tbl>
      <w:tblPr>
        <w:tblW w:w="0" w:type="auto"/>
        <w:jc w:val="left"/>
        <w:tblInd w:w="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27"/>
        <w:gridCol w:w="595"/>
      </w:tblGrid>
      <w:tr>
        <w:trPr>
          <w:trHeight w:val="1698" w:hRule="atLeast"/>
        </w:trPr>
        <w:tc>
          <w:tcPr>
            <w:tcW w:w="8427" w:type="dxa"/>
          </w:tcPr>
          <w:p>
            <w:pPr>
              <w:pStyle w:val="TableParagraph"/>
              <w:spacing w:line="228" w:lineRule="exact"/>
              <w:ind w:left="221"/>
              <w:rPr>
                <w:rFonts w:ascii="DejaVu Serif Condensed" w:hAnsi="DejaVu Serif Condensed" w:eastAsia="DejaVu Serif Condensed"/>
                <w:sz w:val="20"/>
              </w:rPr>
            </w:pPr>
            <w:r>
              <w:rPr>
                <w:rFonts w:ascii="DejaVu Serif Condensed" w:hAnsi="DejaVu Serif Condensed" w:eastAsia="DejaVu Serif Condensed"/>
                <w:sz w:val="20"/>
              </w:rPr>
              <w:t>∆ln (𝑆𝚤𝑟𝑎𝑙𝑎𝑚𝑎</w:t>
            </w:r>
            <w:r>
              <w:rPr>
                <w:rFonts w:ascii="DejaVu Serif Condensed" w:hAnsi="DejaVu Serif Condensed" w:eastAsia="DejaVu Serif Condensed"/>
                <w:position w:val="-3"/>
                <w:sz w:val="14"/>
              </w:rPr>
              <w:t>𝑖,𝑡 </w:t>
            </w:r>
            <w:r>
              <w:rPr>
                <w:rFonts w:ascii="DejaVu Serif Condensed" w:hAnsi="DejaVu Serif Condensed" w:eastAsia="DejaVu Serif Condensed"/>
                <w:sz w:val="20"/>
              </w:rPr>
              <w:t>)</w:t>
            </w:r>
          </w:p>
          <w:p>
            <w:pPr>
              <w:pStyle w:val="TableParagraph"/>
              <w:spacing w:before="92"/>
              <w:ind w:left="1964"/>
              <w:rPr>
                <w:rFonts w:ascii="DejaVu Serif Condensed"/>
                <w:sz w:val="14"/>
              </w:rPr>
            </w:pPr>
            <w:r>
              <w:rPr>
                <w:rFonts w:ascii="DejaVu Serif Condensed"/>
                <w:w w:val="100"/>
                <w:sz w:val="14"/>
              </w:rPr>
              <w:t>3</w:t>
            </w:r>
          </w:p>
          <w:p>
            <w:pPr>
              <w:pStyle w:val="TableParagraph"/>
              <w:spacing w:before="79"/>
              <w:ind w:left="1661"/>
              <w:rPr>
                <w:rFonts w:ascii="DejaVu Serif Condensed" w:hAnsi="DejaVu Serif Condensed" w:eastAsia="DejaVu Serif Condensed"/>
                <w:sz w:val="20"/>
              </w:rPr>
            </w:pPr>
            <w:r>
              <w:rPr>
                <w:rFonts w:ascii="DejaVu Serif Condensed" w:hAnsi="DejaVu Serif Condensed" w:eastAsia="DejaVu Serif Condensed"/>
                <w:w w:val="98"/>
                <w:sz w:val="20"/>
              </w:rPr>
              <w:t>=</w:t>
            </w:r>
            <w:r>
              <w:rPr>
                <w:rFonts w:ascii="DejaVu Serif Condensed" w:hAnsi="DejaVu Serif Condensed" w:eastAsia="DejaVu Serif Condensed"/>
                <w:spacing w:val="5"/>
                <w:sz w:val="20"/>
              </w:rPr>
              <w:t> </w:t>
            </w:r>
            <w:r>
              <w:rPr>
                <w:rFonts w:ascii="DejaVu Serif Condensed" w:hAnsi="DejaVu Serif Condensed" w:eastAsia="DejaVu Serif Condensed"/>
                <w:w w:val="205"/>
                <w:sz w:val="20"/>
              </w:rPr>
              <w:t>∑</w:t>
            </w:r>
            <w:r>
              <w:rPr>
                <w:rFonts w:ascii="DejaVu Serif Condensed" w:hAnsi="DejaVu Serif Condensed" w:eastAsia="DejaVu Serif Condensed"/>
                <w:spacing w:val="-17"/>
                <w:sz w:val="20"/>
              </w:rPr>
              <w:t> </w:t>
            </w:r>
            <w:r>
              <w:rPr>
                <w:rFonts w:ascii="DejaVu Serif Condensed" w:hAnsi="DejaVu Serif Condensed" w:eastAsia="DejaVu Serif Condensed"/>
                <w:spacing w:val="-19"/>
                <w:w w:val="96"/>
                <w:sz w:val="20"/>
              </w:rPr>
              <w:t>𝛾</w:t>
            </w:r>
            <w:r>
              <w:rPr>
                <w:rFonts w:ascii="DejaVu Serif Condensed" w:hAnsi="DejaVu Serif Condensed" w:eastAsia="DejaVu Serif Condensed"/>
                <w:spacing w:val="10"/>
                <w:w w:val="119"/>
                <w:position w:val="-3"/>
                <w:sz w:val="14"/>
              </w:rPr>
              <w:t>𝑛</w:t>
            </w:r>
            <w:r>
              <w:rPr>
                <w:rFonts w:ascii="DejaVu Serif Condensed" w:hAnsi="DejaVu Serif Condensed" w:eastAsia="DejaVu Serif Condensed"/>
                <w:spacing w:val="-2"/>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81"/>
                <w:sz w:val="20"/>
              </w:rPr>
              <w:t>𝑆𝚤</w:t>
            </w:r>
            <w:r>
              <w:rPr>
                <w:rFonts w:ascii="DejaVu Serif Condensed" w:hAnsi="DejaVu Serif Condensed" w:eastAsia="DejaVu Serif Condensed"/>
                <w:w w:val="81"/>
                <w:sz w:val="20"/>
              </w:rPr>
              <w:t>𝑟</w:t>
            </w:r>
            <w:r>
              <w:rPr>
                <w:rFonts w:ascii="DejaVu Serif Condensed" w:hAnsi="DejaVu Serif Condensed" w:eastAsia="DejaVu Serif Condensed"/>
                <w:spacing w:val="-1"/>
                <w:w w:val="80"/>
                <w:sz w:val="20"/>
              </w:rPr>
              <w:t>𝑎</w:t>
            </w:r>
            <w:r>
              <w:rPr>
                <w:rFonts w:ascii="DejaVu Serif Condensed" w:hAnsi="DejaVu Serif Condensed" w:eastAsia="DejaVu Serif Condensed"/>
                <w:spacing w:val="-2"/>
                <w:w w:val="80"/>
                <w:sz w:val="20"/>
              </w:rPr>
              <w:t>𝑙</w:t>
            </w:r>
            <w:r>
              <w:rPr>
                <w:rFonts w:ascii="DejaVu Serif Condensed" w:hAnsi="DejaVu Serif Condensed" w:eastAsia="DejaVu Serif Condensed"/>
                <w:spacing w:val="1"/>
                <w:w w:val="102"/>
                <w:sz w:val="20"/>
              </w:rPr>
              <w:t>𝑎</w:t>
            </w:r>
            <w:r>
              <w:rPr>
                <w:rFonts w:ascii="DejaVu Serif Condensed" w:hAnsi="DejaVu Serif Condensed" w:eastAsia="DejaVu Serif Condensed"/>
                <w:w w:val="154"/>
                <w:sz w:val="20"/>
              </w:rPr>
              <w:t>𝑚</w:t>
            </w:r>
            <w:r>
              <w:rPr>
                <w:rFonts w:ascii="DejaVu Serif Condensed" w:hAnsi="DejaVu Serif Condensed" w:eastAsia="DejaVu Serif Condensed"/>
                <w:w w:val="102"/>
                <w:sz w:val="20"/>
              </w:rPr>
              <w:t>𝑎</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5"/>
                <w:w w:val="81"/>
                <w:position w:val="-3"/>
                <w:sz w:val="14"/>
              </w:rPr>
              <w:t>𝑡</w:t>
            </w:r>
            <w:r>
              <w:rPr>
                <w:rFonts w:ascii="DejaVu Serif Condensed" w:hAnsi="DejaVu Serif Condensed" w:eastAsia="DejaVu Serif Condensed"/>
                <w:spacing w:val="-1"/>
                <w:w w:val="95"/>
                <w:position w:val="-3"/>
                <w:sz w:val="14"/>
              </w:rPr>
              <w:t>−</w:t>
            </w:r>
            <w:r>
              <w:rPr>
                <w:rFonts w:ascii="DejaVu Serif Condensed" w:hAnsi="DejaVu Serif Condensed" w:eastAsia="DejaVu Serif Condensed"/>
                <w:spacing w:val="10"/>
                <w:w w:val="119"/>
                <w:position w:val="-3"/>
                <w:sz w:val="14"/>
              </w:rPr>
              <w:t>𝑛</w:t>
            </w:r>
            <w:r>
              <w:rPr>
                <w:rFonts w:ascii="DejaVu Serif Condensed" w:hAnsi="DejaVu Serif Condensed" w:eastAsia="DejaVu Serif Condensed"/>
                <w:w w:val="117"/>
                <w:sz w:val="20"/>
              </w:rPr>
              <w:t>)</w:t>
            </w:r>
            <w:r>
              <w:rPr>
                <w:rFonts w:ascii="DejaVu Serif Condensed" w:hAnsi="DejaVu Serif Condensed" w:eastAsia="DejaVu Serif Condensed"/>
                <w:spacing w:val="-11"/>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4"/>
                <w:sz w:val="20"/>
              </w:rPr>
              <w:t> </w:t>
            </w:r>
            <w:r>
              <w:rPr>
                <w:rFonts w:ascii="DejaVu Serif Condensed" w:hAnsi="DejaVu Serif Condensed" w:eastAsia="DejaVu Serif Condensed"/>
                <w:spacing w:val="8"/>
                <w:w w:val="99"/>
                <w:sz w:val="20"/>
              </w:rPr>
              <w:t>𝛿</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2"/>
                <w:w w:val="109"/>
                <w:sz w:val="20"/>
              </w:rPr>
              <w:t>𝑇</w:t>
            </w:r>
            <w:r>
              <w:rPr>
                <w:rFonts w:ascii="DejaVu Serif Condensed" w:hAnsi="DejaVu Serif Condensed" w:eastAsia="DejaVu Serif Condensed"/>
                <w:w w:val="100"/>
                <w:sz w:val="20"/>
              </w:rPr>
              <w:t>𝑜𝑝</w:t>
            </w:r>
            <w:r>
              <w:rPr>
                <w:rFonts w:ascii="DejaVu Serif Condensed" w:hAnsi="DejaVu Serif Condensed" w:eastAsia="DejaVu Serif Condensed"/>
                <w:w w:val="80"/>
                <w:sz w:val="20"/>
              </w:rPr>
              <w:t>𝑙</w:t>
            </w:r>
            <w:r>
              <w:rPr>
                <w:rFonts w:ascii="DejaVu Serif Condensed" w:hAnsi="DejaVu Serif Condensed" w:eastAsia="DejaVu Serif Condensed"/>
                <w:spacing w:val="-2"/>
                <w:w w:val="80"/>
                <w:sz w:val="20"/>
              </w:rPr>
              <w:t>𝑎</w:t>
            </w:r>
            <w:r>
              <w:rPr>
                <w:rFonts w:ascii="DejaVu Serif Condensed" w:hAnsi="DejaVu Serif Condensed" w:eastAsia="DejaVu Serif Condensed"/>
                <w:w w:val="154"/>
                <w:sz w:val="20"/>
              </w:rPr>
              <w:t>𝑚</w:t>
            </w:r>
            <w:r>
              <w:rPr>
                <w:rFonts w:ascii="DejaVu Serif Condensed" w:hAnsi="DejaVu Serif Condensed" w:eastAsia="DejaVu Serif Condensed"/>
                <w:w w:val="104"/>
                <w:sz w:val="20"/>
              </w:rPr>
              <w:t>𝑌</w:t>
            </w:r>
            <w:r>
              <w:rPr>
                <w:rFonts w:ascii="DejaVu Serif Condensed" w:hAnsi="DejaVu Serif Condensed" w:eastAsia="DejaVu Serif Condensed"/>
                <w:spacing w:val="1"/>
                <w:w w:val="104"/>
                <w:sz w:val="20"/>
              </w:rPr>
              <w:t>𝑜</w:t>
            </w:r>
            <w:r>
              <w:rPr>
                <w:rFonts w:ascii="DejaVu Serif Condensed" w:hAnsi="DejaVu Serif Condensed" w:eastAsia="DejaVu Serif Condensed"/>
                <w:spacing w:val="-2"/>
                <w:w w:val="87"/>
                <w:sz w:val="20"/>
              </w:rPr>
              <w:t>𝑟</w:t>
            </w:r>
            <w:r>
              <w:rPr>
                <w:rFonts w:ascii="DejaVu Serif Condensed" w:hAnsi="DejaVu Serif Condensed" w:eastAsia="DejaVu Serif Condensed"/>
                <w:w w:val="105"/>
                <w:sz w:val="20"/>
              </w:rPr>
              <w:t>𝑢</w:t>
            </w:r>
            <w:r>
              <w:rPr>
                <w:rFonts w:ascii="DejaVu Serif Condensed" w:hAnsi="DejaVu Serif Condensed" w:eastAsia="DejaVu Serif Condensed"/>
                <w:spacing w:val="2"/>
                <w:w w:val="154"/>
                <w:sz w:val="20"/>
              </w:rPr>
              <w:t>𝑚</w:t>
            </w:r>
            <w:r>
              <w:rPr>
                <w:rFonts w:ascii="DejaVu Serif Condensed" w:hAnsi="DejaVu Serif Condensed" w:eastAsia="DejaVu Serif Condensed"/>
                <w:spacing w:val="8"/>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13"/>
                <w:w w:val="81"/>
                <w:position w:val="-3"/>
                <w:sz w:val="14"/>
              </w:rPr>
              <w:t>𝑡</w:t>
            </w:r>
            <w:r>
              <w:rPr>
                <w:rFonts w:ascii="DejaVu Serif Condensed" w:hAnsi="DejaVu Serif Condensed" w:eastAsia="DejaVu Serif Condensed"/>
                <w:w w:val="117"/>
                <w:sz w:val="20"/>
              </w:rPr>
              <w:t>)</w:t>
            </w:r>
          </w:p>
          <w:p>
            <w:pPr>
              <w:pStyle w:val="TableParagraph"/>
              <w:spacing w:before="51"/>
              <w:ind w:left="1868"/>
              <w:rPr>
                <w:rFonts w:ascii="DejaVu Serif Condensed" w:eastAsia="DejaVu Serif Condensed"/>
                <w:sz w:val="14"/>
              </w:rPr>
            </w:pPr>
            <w:r>
              <w:rPr>
                <w:rFonts w:ascii="DejaVu Serif Condensed" w:eastAsia="DejaVu Serif Condensed"/>
                <w:w w:val="105"/>
                <w:sz w:val="14"/>
              </w:rPr>
              <w:t>𝑛=1</w:t>
            </w:r>
          </w:p>
          <w:p>
            <w:pPr>
              <w:pStyle w:val="TableParagraph"/>
              <w:spacing w:before="96"/>
              <w:ind w:left="1661"/>
              <w:rPr>
                <w:rFonts w:ascii="DejaVu Serif Condensed" w:hAnsi="DejaVu Serif Condensed" w:eastAsia="DejaVu Serif Condensed"/>
                <w:sz w:val="14"/>
              </w:rPr>
            </w:pPr>
            <w:r>
              <w:rPr>
                <w:rFonts w:ascii="DejaVu Serif Condensed" w:hAnsi="DejaVu Serif Condensed" w:eastAsia="DejaVu Serif Condensed"/>
                <w:w w:val="98"/>
                <w:sz w:val="20"/>
              </w:rPr>
              <w:t>+</w:t>
            </w:r>
            <w:r>
              <w:rPr>
                <w:rFonts w:ascii="DejaVu Serif Condensed" w:hAnsi="DejaVu Serif Condensed" w:eastAsia="DejaVu Serif Condensed"/>
                <w:spacing w:val="-11"/>
                <w:sz w:val="20"/>
              </w:rPr>
              <w:t> </w:t>
            </w:r>
            <w:r>
              <w:rPr>
                <w:rFonts w:ascii="DejaVu Serif Condensed" w:hAnsi="DejaVu Serif Condensed" w:eastAsia="DejaVu Serif Condensed"/>
                <w:spacing w:val="-12"/>
                <w:w w:val="103"/>
                <w:sz w:val="20"/>
              </w:rPr>
              <w:t>𝜃</w:t>
            </w:r>
            <w:r>
              <w:rPr>
                <w:rFonts w:ascii="DejaVu Serif Condensed" w:hAnsi="DejaVu Serif Condensed" w:eastAsia="DejaVu Serif Condensed"/>
                <w:spacing w:val="8"/>
                <w:w w:val="100"/>
                <w:position w:val="-3"/>
                <w:sz w:val="14"/>
              </w:rPr>
              <w:t>1</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spacing w:val="-1"/>
                <w:w w:val="106"/>
                <w:sz w:val="20"/>
              </w:rPr>
              <w:t>𝑂</w:t>
            </w:r>
            <w:r>
              <w:rPr>
                <w:rFonts w:ascii="DejaVu Serif Condensed" w:hAnsi="DejaVu Serif Condensed" w:eastAsia="DejaVu Serif Condensed"/>
                <w:spacing w:val="-2"/>
                <w:w w:val="106"/>
                <w:sz w:val="20"/>
              </w:rPr>
              <w:t>𝑟</w:t>
            </w:r>
            <w:r>
              <w:rPr>
                <w:rFonts w:ascii="DejaVu Serif Condensed" w:hAnsi="DejaVu Serif Condensed" w:eastAsia="DejaVu Serif Condensed"/>
                <w:spacing w:val="7"/>
                <w:w w:val="72"/>
                <w:sz w:val="20"/>
              </w:rPr>
              <w:t>𝑡</w:t>
            </w:r>
            <w:r>
              <w:rPr>
                <w:rFonts w:ascii="DejaVu Serif Condensed" w:hAnsi="DejaVu Serif Condensed" w:eastAsia="DejaVu Serif Condensed"/>
                <w:w w:val="71"/>
                <w:sz w:val="20"/>
              </w:rPr>
              <w:t>.</w:t>
            </w:r>
            <w:r>
              <w:rPr>
                <w:rFonts w:ascii="DejaVu Serif Condensed" w:hAnsi="DejaVu Serif Condensed" w:eastAsia="DejaVu Serif Condensed"/>
                <w:spacing w:val="-24"/>
                <w:sz w:val="20"/>
              </w:rPr>
              <w:t> </w:t>
            </w:r>
            <w:r>
              <w:rPr>
                <w:rFonts w:ascii="DejaVu Serif Condensed" w:hAnsi="DejaVu Serif Condensed" w:eastAsia="DejaVu Serif Condensed"/>
                <w:spacing w:val="-2"/>
                <w:w w:val="114"/>
                <w:sz w:val="20"/>
              </w:rPr>
              <w:t>𝑃</w:t>
            </w:r>
            <w:r>
              <w:rPr>
                <w:rFonts w:ascii="DejaVu Serif Condensed" w:hAnsi="DejaVu Serif Condensed" w:eastAsia="DejaVu Serif Condensed"/>
                <w:w w:val="105"/>
                <w:sz w:val="20"/>
              </w:rPr>
              <w:t>𝑢</w:t>
            </w:r>
            <w:r>
              <w:rPr>
                <w:rFonts w:ascii="DejaVu Serif Condensed" w:hAnsi="DejaVu Serif Condensed" w:eastAsia="DejaVu Serif Condensed"/>
                <w:spacing w:val="-1"/>
                <w:w w:val="104"/>
                <w:sz w:val="20"/>
              </w:rPr>
              <w:t>𝑎</w:t>
            </w:r>
            <w:r>
              <w:rPr>
                <w:rFonts w:ascii="DejaVu Serif Condensed" w:hAnsi="DejaVu Serif Condensed" w:eastAsia="DejaVu Serif Condensed"/>
                <w:w w:val="104"/>
                <w:sz w:val="20"/>
              </w:rPr>
              <w:t>𝑛</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2"/>
                <w:w w:val="108"/>
                <w:sz w:val="20"/>
              </w:rPr>
              <w:t>𝜗</w:t>
            </w:r>
            <w:r>
              <w:rPr>
                <w:rFonts w:ascii="DejaVu Serif Condensed" w:hAnsi="DejaVu Serif Condensed" w:eastAsia="DejaVu Serif Condensed"/>
                <w:spacing w:val="8"/>
                <w:w w:val="100"/>
                <w:position w:val="-3"/>
                <w:sz w:val="14"/>
              </w:rPr>
              <w:t>1</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w w:val="112"/>
                <w:sz w:val="20"/>
              </w:rPr>
              <w:t>𝐹</w:t>
            </w:r>
            <w:r>
              <w:rPr>
                <w:rFonts w:ascii="DejaVu Serif Condensed" w:hAnsi="DejaVu Serif Condensed" w:eastAsia="DejaVu Serif Condensed"/>
                <w:spacing w:val="-1"/>
                <w:w w:val="58"/>
                <w:sz w:val="20"/>
              </w:rPr>
              <w:t>𝑖</w:t>
            </w:r>
            <w:r>
              <w:rPr>
                <w:rFonts w:ascii="DejaVu Serif Condensed" w:hAnsi="DejaVu Serif Condensed" w:eastAsia="DejaVu Serif Condensed"/>
                <w:spacing w:val="-2"/>
                <w:w w:val="103"/>
                <w:sz w:val="20"/>
              </w:rPr>
              <w:t>𝑦</w:t>
            </w:r>
            <w:r>
              <w:rPr>
                <w:rFonts w:ascii="DejaVu Serif Condensed" w:hAnsi="DejaVu Serif Condensed" w:eastAsia="DejaVu Serif Condensed"/>
                <w:spacing w:val="-1"/>
                <w:w w:val="87"/>
                <w:sz w:val="20"/>
              </w:rPr>
              <w:t>𝑎</w:t>
            </w:r>
            <w:r>
              <w:rPr>
                <w:rFonts w:ascii="DejaVu Serif Condensed" w:hAnsi="DejaVu Serif Condensed" w:eastAsia="DejaVu Serif Condensed"/>
                <w:spacing w:val="-2"/>
                <w:w w:val="87"/>
                <w:sz w:val="20"/>
              </w:rPr>
              <w:t>𝑡</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7"/>
                <w:w w:val="108"/>
                <w:sz w:val="20"/>
              </w:rPr>
              <w:t>𝜗</w:t>
            </w:r>
            <w:r>
              <w:rPr>
                <w:rFonts w:ascii="DejaVu Serif Condensed" w:hAnsi="DejaVu Serif Condensed" w:eastAsia="DejaVu Serif Condensed"/>
                <w:spacing w:val="8"/>
                <w:w w:val="100"/>
                <w:position w:val="-3"/>
                <w:sz w:val="14"/>
              </w:rPr>
              <w:t>2</w:t>
            </w:r>
            <w:r>
              <w:rPr>
                <w:rFonts w:ascii="DejaVu Serif Condensed" w:hAnsi="DejaVu Serif Condensed" w:eastAsia="DejaVu Serif Condensed"/>
                <w:spacing w:val="-2"/>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w w:val="90"/>
                <w:sz w:val="20"/>
              </w:rPr>
              <w:t>İ</w:t>
            </w:r>
            <w:r>
              <w:rPr>
                <w:rFonts w:ascii="DejaVu Serif Condensed" w:hAnsi="DejaVu Serif Condensed" w:eastAsia="DejaVu Serif Condensed"/>
                <w:w w:val="105"/>
                <w:sz w:val="20"/>
              </w:rPr>
              <w:t>𝑛</w:t>
            </w:r>
            <w:r>
              <w:rPr>
                <w:rFonts w:ascii="DejaVu Serif Condensed" w:hAnsi="DejaVu Serif Condensed" w:eastAsia="DejaVu Serif Condensed"/>
                <w:w w:val="82"/>
                <w:sz w:val="20"/>
              </w:rPr>
              <w:t>𝑑</w:t>
            </w:r>
            <w:r>
              <w:rPr>
                <w:rFonts w:ascii="DejaVu Serif Condensed" w:hAnsi="DejaVu Serif Condensed" w:eastAsia="DejaVu Serif Condensed"/>
                <w:spacing w:val="-1"/>
                <w:w w:val="82"/>
                <w:sz w:val="20"/>
              </w:rPr>
              <w:t>𝑖</w:t>
            </w:r>
            <w:r>
              <w:rPr>
                <w:rFonts w:ascii="DejaVu Serif Condensed" w:hAnsi="DejaVu Serif Condensed" w:eastAsia="DejaVu Serif Condensed"/>
                <w:spacing w:val="1"/>
                <w:w w:val="87"/>
                <w:sz w:val="20"/>
              </w:rPr>
              <w:t>𝑟</w:t>
            </w:r>
            <w:r>
              <w:rPr>
                <w:rFonts w:ascii="DejaVu Serif Condensed" w:hAnsi="DejaVu Serif Condensed" w:eastAsia="DejaVu Serif Condensed"/>
                <w:spacing w:val="-1"/>
                <w:w w:val="58"/>
                <w:sz w:val="20"/>
              </w:rPr>
              <w:t>𝑖</w:t>
            </w:r>
            <w:r>
              <w:rPr>
                <w:rFonts w:ascii="DejaVu Serif Condensed" w:hAnsi="DejaVu Serif Condensed" w:eastAsia="DejaVu Serif Condensed"/>
                <w:spacing w:val="1"/>
                <w:w w:val="154"/>
                <w:sz w:val="20"/>
              </w:rPr>
              <w:t>𝑚</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13"/>
                <w:w w:val="81"/>
                <w:position w:val="-3"/>
                <w:sz w:val="14"/>
              </w:rPr>
              <w:t>𝑡</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1"/>
                <w:sz w:val="20"/>
              </w:rPr>
              <w:t> </w:t>
            </w:r>
            <w:r>
              <w:rPr>
                <w:rFonts w:ascii="DejaVu Serif Condensed" w:hAnsi="DejaVu Serif Condensed" w:eastAsia="DejaVu Serif Condensed"/>
                <w:spacing w:val="1"/>
                <w:w w:val="94"/>
                <w:sz w:val="20"/>
              </w:rPr>
              <w:t>∆</w:t>
            </w:r>
            <w:r>
              <w:rPr>
                <w:rFonts w:ascii="DejaVu Serif Condensed" w:hAnsi="DejaVu Serif Condensed" w:eastAsia="DejaVu Serif Condensed"/>
                <w:w w:val="105"/>
                <w:sz w:val="20"/>
              </w:rPr>
              <w:t>𝑢</w:t>
            </w:r>
            <w:r>
              <w:rPr>
                <w:rFonts w:ascii="DejaVu Serif Condensed" w:hAnsi="DejaVu Serif Condensed" w:eastAsia="DejaVu Serif Condensed"/>
                <w:spacing w:val="4"/>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p>
        </w:tc>
        <w:tc>
          <w:tcPr>
            <w:tcW w:w="595" w:type="dxa"/>
          </w:tcPr>
          <w:p>
            <w:pPr>
              <w:pStyle w:val="TableParagraph"/>
              <w:ind w:left="0"/>
              <w:rPr>
                <w:sz w:val="26"/>
              </w:rPr>
            </w:pPr>
          </w:p>
          <w:p>
            <w:pPr>
              <w:pStyle w:val="TableParagraph"/>
              <w:spacing w:before="222"/>
              <w:ind w:left="114"/>
              <w:rPr>
                <w:sz w:val="24"/>
              </w:rPr>
            </w:pPr>
            <w:r>
              <w:rPr>
                <w:sz w:val="24"/>
              </w:rPr>
              <w:t>(6)</w:t>
            </w:r>
          </w:p>
        </w:tc>
      </w:tr>
      <w:tr>
        <w:trPr>
          <w:trHeight w:val="2376" w:hRule="atLeast"/>
        </w:trPr>
        <w:tc>
          <w:tcPr>
            <w:tcW w:w="8427" w:type="dxa"/>
          </w:tcPr>
          <w:p>
            <w:pPr>
              <w:pStyle w:val="TableParagraph"/>
              <w:spacing w:before="3"/>
              <w:ind w:left="0"/>
              <w:rPr>
                <w:sz w:val="24"/>
              </w:rPr>
            </w:pPr>
          </w:p>
          <w:p>
            <w:pPr>
              <w:pStyle w:val="TableParagraph"/>
              <w:ind w:left="221"/>
              <w:rPr>
                <w:rFonts w:ascii="DejaVu Serif Condensed" w:hAnsi="DejaVu Serif Condensed" w:eastAsia="DejaVu Serif Condensed"/>
                <w:sz w:val="20"/>
              </w:rPr>
            </w:pPr>
            <w:r>
              <w:rPr>
                <w:rFonts w:ascii="DejaVu Serif Condensed" w:hAnsi="DejaVu Serif Condensed" w:eastAsia="DejaVu Serif Condensed"/>
                <w:sz w:val="20"/>
              </w:rPr>
              <w:t>∆ln (𝑆𝚤𝑟𝑎𝑙𝑎𝑚𝑎</w:t>
            </w:r>
            <w:r>
              <w:rPr>
                <w:rFonts w:ascii="DejaVu Serif Condensed" w:hAnsi="DejaVu Serif Condensed" w:eastAsia="DejaVu Serif Condensed"/>
                <w:position w:val="-3"/>
                <w:sz w:val="14"/>
              </w:rPr>
              <w:t>𝑖,𝑡 </w:t>
            </w:r>
            <w:r>
              <w:rPr>
                <w:rFonts w:ascii="DejaVu Serif Condensed" w:hAnsi="DejaVu Serif Condensed" w:eastAsia="DejaVu Serif Condensed"/>
                <w:sz w:val="20"/>
              </w:rPr>
              <w:t>)</w:t>
            </w:r>
          </w:p>
          <w:p>
            <w:pPr>
              <w:pStyle w:val="TableParagraph"/>
              <w:spacing w:before="93"/>
              <w:ind w:left="1964"/>
              <w:rPr>
                <w:rFonts w:ascii="DejaVu Serif Condensed"/>
                <w:sz w:val="14"/>
              </w:rPr>
            </w:pPr>
            <w:r>
              <w:rPr>
                <w:rFonts w:ascii="DejaVu Serif Condensed"/>
                <w:w w:val="100"/>
                <w:sz w:val="14"/>
              </w:rPr>
              <w:t>3</w:t>
            </w:r>
          </w:p>
          <w:p>
            <w:pPr>
              <w:pStyle w:val="TableParagraph"/>
              <w:spacing w:before="79"/>
              <w:ind w:left="1661"/>
              <w:rPr>
                <w:rFonts w:ascii="DejaVu Serif Condensed" w:hAnsi="DejaVu Serif Condensed" w:eastAsia="DejaVu Serif Condensed"/>
                <w:sz w:val="20"/>
              </w:rPr>
            </w:pPr>
            <w:r>
              <w:rPr>
                <w:rFonts w:ascii="DejaVu Serif Condensed" w:hAnsi="DejaVu Serif Condensed" w:eastAsia="DejaVu Serif Condensed"/>
                <w:w w:val="98"/>
                <w:sz w:val="20"/>
              </w:rPr>
              <w:t>=</w:t>
            </w:r>
            <w:r>
              <w:rPr>
                <w:rFonts w:ascii="DejaVu Serif Condensed" w:hAnsi="DejaVu Serif Condensed" w:eastAsia="DejaVu Serif Condensed"/>
                <w:spacing w:val="5"/>
                <w:sz w:val="20"/>
              </w:rPr>
              <w:t> </w:t>
            </w:r>
            <w:r>
              <w:rPr>
                <w:rFonts w:ascii="DejaVu Serif Condensed" w:hAnsi="DejaVu Serif Condensed" w:eastAsia="DejaVu Serif Condensed"/>
                <w:w w:val="205"/>
                <w:sz w:val="20"/>
              </w:rPr>
              <w:t>∑</w:t>
            </w:r>
            <w:r>
              <w:rPr>
                <w:rFonts w:ascii="DejaVu Serif Condensed" w:hAnsi="DejaVu Serif Condensed" w:eastAsia="DejaVu Serif Condensed"/>
                <w:spacing w:val="-17"/>
                <w:sz w:val="20"/>
              </w:rPr>
              <w:t> </w:t>
            </w:r>
            <w:r>
              <w:rPr>
                <w:rFonts w:ascii="DejaVu Serif Condensed" w:hAnsi="DejaVu Serif Condensed" w:eastAsia="DejaVu Serif Condensed"/>
                <w:spacing w:val="-19"/>
                <w:w w:val="96"/>
                <w:sz w:val="20"/>
              </w:rPr>
              <w:t>𝛾</w:t>
            </w:r>
            <w:r>
              <w:rPr>
                <w:rFonts w:ascii="DejaVu Serif Condensed" w:hAnsi="DejaVu Serif Condensed" w:eastAsia="DejaVu Serif Condensed"/>
                <w:spacing w:val="10"/>
                <w:w w:val="119"/>
                <w:position w:val="-3"/>
                <w:sz w:val="14"/>
              </w:rPr>
              <w:t>𝑛</w:t>
            </w:r>
            <w:r>
              <w:rPr>
                <w:rFonts w:ascii="DejaVu Serif Condensed" w:hAnsi="DejaVu Serif Condensed" w:eastAsia="DejaVu Serif Condensed"/>
                <w:spacing w:val="-2"/>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81"/>
                <w:sz w:val="20"/>
              </w:rPr>
              <w:t>𝑆𝚤</w:t>
            </w:r>
            <w:r>
              <w:rPr>
                <w:rFonts w:ascii="DejaVu Serif Condensed" w:hAnsi="DejaVu Serif Condensed" w:eastAsia="DejaVu Serif Condensed"/>
                <w:w w:val="81"/>
                <w:sz w:val="20"/>
              </w:rPr>
              <w:t>𝑟</w:t>
            </w:r>
            <w:r>
              <w:rPr>
                <w:rFonts w:ascii="DejaVu Serif Condensed" w:hAnsi="DejaVu Serif Condensed" w:eastAsia="DejaVu Serif Condensed"/>
                <w:spacing w:val="-1"/>
                <w:w w:val="80"/>
                <w:sz w:val="20"/>
              </w:rPr>
              <w:t>𝑎</w:t>
            </w:r>
            <w:r>
              <w:rPr>
                <w:rFonts w:ascii="DejaVu Serif Condensed" w:hAnsi="DejaVu Serif Condensed" w:eastAsia="DejaVu Serif Condensed"/>
                <w:spacing w:val="-2"/>
                <w:w w:val="80"/>
                <w:sz w:val="20"/>
              </w:rPr>
              <w:t>𝑙</w:t>
            </w:r>
            <w:r>
              <w:rPr>
                <w:rFonts w:ascii="DejaVu Serif Condensed" w:hAnsi="DejaVu Serif Condensed" w:eastAsia="DejaVu Serif Condensed"/>
                <w:spacing w:val="1"/>
                <w:w w:val="102"/>
                <w:sz w:val="20"/>
              </w:rPr>
              <w:t>𝑎</w:t>
            </w:r>
            <w:r>
              <w:rPr>
                <w:rFonts w:ascii="DejaVu Serif Condensed" w:hAnsi="DejaVu Serif Condensed" w:eastAsia="DejaVu Serif Condensed"/>
                <w:w w:val="154"/>
                <w:sz w:val="20"/>
              </w:rPr>
              <w:t>𝑚</w:t>
            </w:r>
            <w:r>
              <w:rPr>
                <w:rFonts w:ascii="DejaVu Serif Condensed" w:hAnsi="DejaVu Serif Condensed" w:eastAsia="DejaVu Serif Condensed"/>
                <w:w w:val="102"/>
                <w:sz w:val="20"/>
              </w:rPr>
              <w:t>𝑎</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5"/>
                <w:w w:val="81"/>
                <w:position w:val="-3"/>
                <w:sz w:val="14"/>
              </w:rPr>
              <w:t>𝑡</w:t>
            </w:r>
            <w:r>
              <w:rPr>
                <w:rFonts w:ascii="DejaVu Serif Condensed" w:hAnsi="DejaVu Serif Condensed" w:eastAsia="DejaVu Serif Condensed"/>
                <w:spacing w:val="-1"/>
                <w:w w:val="95"/>
                <w:position w:val="-3"/>
                <w:sz w:val="14"/>
              </w:rPr>
              <w:t>−</w:t>
            </w:r>
            <w:r>
              <w:rPr>
                <w:rFonts w:ascii="DejaVu Serif Condensed" w:hAnsi="DejaVu Serif Condensed" w:eastAsia="DejaVu Serif Condensed"/>
                <w:spacing w:val="10"/>
                <w:w w:val="119"/>
                <w:position w:val="-3"/>
                <w:sz w:val="14"/>
              </w:rPr>
              <w:t>𝑛</w:t>
            </w:r>
            <w:r>
              <w:rPr>
                <w:rFonts w:ascii="DejaVu Serif Condensed" w:hAnsi="DejaVu Serif Condensed" w:eastAsia="DejaVu Serif Condensed"/>
                <w:w w:val="117"/>
                <w:sz w:val="20"/>
              </w:rPr>
              <w:t>)</w:t>
            </w:r>
            <w:r>
              <w:rPr>
                <w:rFonts w:ascii="DejaVu Serif Condensed" w:hAnsi="DejaVu Serif Condensed" w:eastAsia="DejaVu Serif Condensed"/>
                <w:spacing w:val="-11"/>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4"/>
                <w:sz w:val="20"/>
              </w:rPr>
              <w:t> </w:t>
            </w:r>
            <w:r>
              <w:rPr>
                <w:rFonts w:ascii="DejaVu Serif Condensed" w:hAnsi="DejaVu Serif Condensed" w:eastAsia="DejaVu Serif Condensed"/>
                <w:spacing w:val="-12"/>
                <w:w w:val="103"/>
                <w:sz w:val="20"/>
              </w:rPr>
              <w:t>𝜃</w:t>
            </w:r>
            <w:r>
              <w:rPr>
                <w:rFonts w:ascii="DejaVu Serif Condensed" w:hAnsi="DejaVu Serif Condensed" w:eastAsia="DejaVu Serif Condensed"/>
                <w:spacing w:val="11"/>
                <w:w w:val="100"/>
                <w:position w:val="-3"/>
                <w:sz w:val="14"/>
              </w:rPr>
              <w:t>1</w:t>
            </w:r>
            <w:r>
              <w:rPr>
                <w:rFonts w:ascii="DejaVu Serif Condensed" w:hAnsi="DejaVu Serif Condensed" w:eastAsia="DejaVu Serif Condensed"/>
                <w:spacing w:val="-2"/>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106"/>
                <w:sz w:val="20"/>
              </w:rPr>
              <w:t>𝑂</w:t>
            </w:r>
            <w:r>
              <w:rPr>
                <w:rFonts w:ascii="DejaVu Serif Condensed" w:hAnsi="DejaVu Serif Condensed" w:eastAsia="DejaVu Serif Condensed"/>
                <w:spacing w:val="-2"/>
                <w:w w:val="106"/>
                <w:sz w:val="20"/>
              </w:rPr>
              <w:t>𝑟</w:t>
            </w:r>
            <w:r>
              <w:rPr>
                <w:rFonts w:ascii="DejaVu Serif Condensed" w:hAnsi="DejaVu Serif Condensed" w:eastAsia="DejaVu Serif Condensed"/>
                <w:spacing w:val="7"/>
                <w:w w:val="72"/>
                <w:sz w:val="20"/>
              </w:rPr>
              <w:t>𝑡</w:t>
            </w:r>
            <w:r>
              <w:rPr>
                <w:rFonts w:ascii="DejaVu Serif Condensed" w:hAnsi="DejaVu Serif Condensed" w:eastAsia="DejaVu Serif Condensed"/>
                <w:w w:val="71"/>
                <w:sz w:val="20"/>
              </w:rPr>
              <w:t>.</w:t>
            </w:r>
            <w:r>
              <w:rPr>
                <w:rFonts w:ascii="DejaVu Serif Condensed" w:hAnsi="DejaVu Serif Condensed" w:eastAsia="DejaVu Serif Condensed"/>
                <w:spacing w:val="-24"/>
                <w:sz w:val="20"/>
              </w:rPr>
              <w:t> </w:t>
            </w:r>
            <w:r>
              <w:rPr>
                <w:rFonts w:ascii="DejaVu Serif Condensed" w:hAnsi="DejaVu Serif Condensed" w:eastAsia="DejaVu Serif Condensed"/>
                <w:spacing w:val="-2"/>
                <w:w w:val="114"/>
                <w:sz w:val="20"/>
              </w:rPr>
              <w:t>𝑃</w:t>
            </w:r>
            <w:r>
              <w:rPr>
                <w:rFonts w:ascii="DejaVu Serif Condensed" w:hAnsi="DejaVu Serif Condensed" w:eastAsia="DejaVu Serif Condensed"/>
                <w:w w:val="105"/>
                <w:sz w:val="20"/>
              </w:rPr>
              <w:t>𝑢</w:t>
            </w:r>
            <w:r>
              <w:rPr>
                <w:rFonts w:ascii="DejaVu Serif Condensed" w:hAnsi="DejaVu Serif Condensed" w:eastAsia="DejaVu Serif Condensed"/>
                <w:spacing w:val="-1"/>
                <w:w w:val="104"/>
                <w:sz w:val="20"/>
              </w:rPr>
              <w:t>𝑎</w:t>
            </w:r>
            <w:r>
              <w:rPr>
                <w:rFonts w:ascii="DejaVu Serif Condensed" w:hAnsi="DejaVu Serif Condensed" w:eastAsia="DejaVu Serif Condensed"/>
                <w:w w:val="104"/>
                <w:sz w:val="20"/>
              </w:rPr>
              <w:t>𝑛</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7"/>
                <w:w w:val="103"/>
                <w:sz w:val="20"/>
              </w:rPr>
              <w:t>𝜃</w:t>
            </w:r>
            <w:r>
              <w:rPr>
                <w:rFonts w:ascii="DejaVu Serif Condensed" w:hAnsi="DejaVu Serif Condensed" w:eastAsia="DejaVu Serif Condensed"/>
                <w:spacing w:val="8"/>
                <w:w w:val="100"/>
                <w:position w:val="-3"/>
                <w:sz w:val="14"/>
              </w:rPr>
              <w:t>2</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spacing w:val="-1"/>
                <w:w w:val="91"/>
                <w:sz w:val="20"/>
              </w:rPr>
              <w:t>𝑂𝑙</w:t>
            </w:r>
            <w:r>
              <w:rPr>
                <w:rFonts w:ascii="DejaVu Serif Condensed" w:hAnsi="DejaVu Serif Condensed" w:eastAsia="DejaVu Serif Condensed"/>
                <w:w w:val="105"/>
                <w:sz w:val="20"/>
              </w:rPr>
              <w:t>𝑢</w:t>
            </w:r>
            <w:r>
              <w:rPr>
                <w:rFonts w:ascii="DejaVu Serif Condensed" w:hAnsi="DejaVu Serif Condensed" w:eastAsia="DejaVu Serif Condensed"/>
                <w:w w:val="154"/>
                <w:sz w:val="20"/>
              </w:rPr>
              <w:t>𝑚</w:t>
            </w:r>
            <w:r>
              <w:rPr>
                <w:rFonts w:ascii="DejaVu Serif Condensed" w:hAnsi="DejaVu Serif Condensed" w:eastAsia="DejaVu Serif Condensed"/>
                <w:w w:val="82"/>
                <w:sz w:val="20"/>
              </w:rPr>
              <w:t>𝑙</w:t>
            </w:r>
            <w:r>
              <w:rPr>
                <w:rFonts w:ascii="DejaVu Serif Condensed" w:hAnsi="DejaVu Serif Condensed" w:eastAsia="DejaVu Serif Condensed"/>
                <w:spacing w:val="1"/>
                <w:w w:val="82"/>
                <w:sz w:val="20"/>
              </w:rPr>
              <w:t>𝑢</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p>
          <w:p>
            <w:pPr>
              <w:pStyle w:val="TableParagraph"/>
              <w:spacing w:before="51"/>
              <w:ind w:left="1868"/>
              <w:rPr>
                <w:rFonts w:ascii="DejaVu Serif Condensed" w:eastAsia="DejaVu Serif Condensed"/>
                <w:sz w:val="14"/>
              </w:rPr>
            </w:pPr>
            <w:r>
              <w:rPr>
                <w:rFonts w:ascii="DejaVu Serif Condensed" w:eastAsia="DejaVu Serif Condensed"/>
                <w:w w:val="105"/>
                <w:sz w:val="14"/>
              </w:rPr>
              <w:t>𝑛=1</w:t>
            </w:r>
          </w:p>
          <w:p>
            <w:pPr>
              <w:pStyle w:val="TableParagraph"/>
              <w:spacing w:before="96"/>
              <w:ind w:left="1661"/>
              <w:rPr>
                <w:rFonts w:ascii="DejaVu Serif Condensed" w:hAnsi="DejaVu Serif Condensed" w:eastAsia="DejaVu Serif Condensed"/>
                <w:sz w:val="20"/>
              </w:rPr>
            </w:pPr>
            <w:r>
              <w:rPr>
                <w:rFonts w:ascii="DejaVu Serif Condensed" w:hAnsi="DejaVu Serif Condensed" w:eastAsia="DejaVu Serif Condensed"/>
                <w:w w:val="98"/>
                <w:sz w:val="20"/>
              </w:rPr>
              <w:t>+</w:t>
            </w:r>
            <w:r>
              <w:rPr>
                <w:rFonts w:ascii="DejaVu Serif Condensed" w:hAnsi="DejaVu Serif Condensed" w:eastAsia="DejaVu Serif Condensed"/>
                <w:spacing w:val="-11"/>
                <w:sz w:val="20"/>
              </w:rPr>
              <w:t> </w:t>
            </w:r>
            <w:r>
              <w:rPr>
                <w:rFonts w:ascii="DejaVu Serif Condensed" w:hAnsi="DejaVu Serif Condensed" w:eastAsia="DejaVu Serif Condensed"/>
                <w:spacing w:val="-7"/>
                <w:w w:val="103"/>
                <w:sz w:val="20"/>
              </w:rPr>
              <w:t>𝜃</w:t>
            </w:r>
            <w:r>
              <w:rPr>
                <w:rFonts w:ascii="DejaVu Serif Condensed" w:hAnsi="DejaVu Serif Condensed" w:eastAsia="DejaVu Serif Condensed"/>
                <w:spacing w:val="8"/>
                <w:w w:val="100"/>
                <w:position w:val="-3"/>
                <w:sz w:val="14"/>
              </w:rPr>
              <w:t>3</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w w:val="135"/>
                <w:sz w:val="20"/>
              </w:rPr>
              <w:t>𝑁</w:t>
            </w:r>
            <w:r>
              <w:rPr>
                <w:rFonts w:ascii="DejaVu Serif Condensed" w:hAnsi="DejaVu Serif Condensed" w:eastAsia="DejaVu Serif Condensed"/>
                <w:spacing w:val="-1"/>
                <w:w w:val="97"/>
                <w:sz w:val="20"/>
              </w:rPr>
              <w:t>ö</w:t>
            </w:r>
            <w:r>
              <w:rPr>
                <w:rFonts w:ascii="DejaVu Serif Condensed" w:hAnsi="DejaVu Serif Condensed" w:eastAsia="DejaVu Serif Condensed"/>
                <w:w w:val="72"/>
                <w:sz w:val="20"/>
              </w:rPr>
              <w:t>𝑡</w:t>
            </w:r>
            <w:r>
              <w:rPr>
                <w:rFonts w:ascii="DejaVu Serif Condensed" w:hAnsi="DejaVu Serif Condensed" w:eastAsia="DejaVu Serif Condensed"/>
                <w:spacing w:val="-23"/>
                <w:w w:val="87"/>
                <w:sz w:val="20"/>
              </w:rPr>
              <w:t>𝑟</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4"/>
                <w:sz w:val="20"/>
              </w:rPr>
              <w:t> </w:t>
            </w:r>
            <w:r>
              <w:rPr>
                <w:rFonts w:ascii="DejaVu Serif Condensed" w:hAnsi="DejaVu Serif Condensed" w:eastAsia="DejaVu Serif Condensed"/>
                <w:spacing w:val="-12"/>
                <w:w w:val="103"/>
                <w:sz w:val="20"/>
              </w:rPr>
              <w:t>𝜃</w:t>
            </w:r>
            <w:r>
              <w:rPr>
                <w:rFonts w:ascii="DejaVu Serif Condensed" w:hAnsi="DejaVu Serif Condensed" w:eastAsia="DejaVu Serif Condensed"/>
                <w:spacing w:val="10"/>
                <w:w w:val="100"/>
                <w:position w:val="-3"/>
                <w:sz w:val="14"/>
              </w:rPr>
              <w:t>4</w:t>
            </w:r>
            <w:r>
              <w:rPr>
                <w:rFonts w:ascii="DejaVu Serif Condensed" w:hAnsi="DejaVu Serif Condensed" w:eastAsia="DejaVu Serif Condensed"/>
                <w:spacing w:val="-2"/>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91"/>
                <w:sz w:val="20"/>
              </w:rPr>
              <w:t>𝑂𝑙</w:t>
            </w:r>
            <w:r>
              <w:rPr>
                <w:rFonts w:ascii="DejaVu Serif Condensed" w:hAnsi="DejaVu Serif Condensed" w:eastAsia="DejaVu Serif Condensed"/>
                <w:w w:val="105"/>
                <w:sz w:val="20"/>
              </w:rPr>
              <w:t>𝑢</w:t>
            </w:r>
            <w:r>
              <w:rPr>
                <w:rFonts w:ascii="DejaVu Serif Condensed" w:hAnsi="DejaVu Serif Condensed" w:eastAsia="DejaVu Serif Condensed"/>
                <w:w w:val="154"/>
                <w:sz w:val="20"/>
              </w:rPr>
              <w:t>𝑚</w:t>
            </w:r>
            <w:r>
              <w:rPr>
                <w:rFonts w:ascii="DejaVu Serif Condensed" w:hAnsi="DejaVu Serif Condensed" w:eastAsia="DejaVu Serif Condensed"/>
                <w:spacing w:val="-1"/>
                <w:w w:val="85"/>
                <w:sz w:val="20"/>
              </w:rPr>
              <w:t>𝑠</w:t>
            </w:r>
            <w:r>
              <w:rPr>
                <w:rFonts w:ascii="DejaVu Serif Condensed" w:hAnsi="DejaVu Serif Condensed" w:eastAsia="DejaVu Serif Condensed"/>
                <w:w w:val="105"/>
                <w:sz w:val="20"/>
              </w:rPr>
              <w:t>𝑢</w:t>
            </w:r>
            <w:r>
              <w:rPr>
                <w:rFonts w:ascii="DejaVu Serif Condensed" w:hAnsi="DejaVu Serif Condensed" w:eastAsia="DejaVu Serif Condensed"/>
                <w:spacing w:val="-4"/>
                <w:w w:val="89"/>
                <w:sz w:val="20"/>
              </w:rPr>
              <w:t>𝑧</w:t>
            </w:r>
            <w:r>
              <w:rPr>
                <w:rFonts w:ascii="DejaVu Serif Condensed" w:hAnsi="DejaVu Serif Condensed" w:eastAsia="DejaVu Serif Condensed"/>
                <w:spacing w:val="8"/>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5"/>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2"/>
                <w:w w:val="108"/>
                <w:sz w:val="20"/>
              </w:rPr>
              <w:t>𝜗</w:t>
            </w:r>
            <w:r>
              <w:rPr>
                <w:rFonts w:ascii="DejaVu Serif Condensed" w:hAnsi="DejaVu Serif Condensed" w:eastAsia="DejaVu Serif Condensed"/>
                <w:spacing w:val="10"/>
                <w:w w:val="100"/>
                <w:position w:val="-3"/>
                <w:sz w:val="14"/>
              </w:rPr>
              <w:t>1</w:t>
            </w:r>
            <w:r>
              <w:rPr>
                <w:rFonts w:ascii="DejaVu Serif Condensed" w:hAnsi="DejaVu Serif Condensed" w:eastAsia="DejaVu Serif Condensed"/>
                <w:spacing w:val="-2"/>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w w:val="112"/>
                <w:sz w:val="20"/>
              </w:rPr>
              <w:t>𝐹</w:t>
            </w:r>
            <w:r>
              <w:rPr>
                <w:rFonts w:ascii="DejaVu Serif Condensed" w:hAnsi="DejaVu Serif Condensed" w:eastAsia="DejaVu Serif Condensed"/>
                <w:spacing w:val="-1"/>
                <w:w w:val="58"/>
                <w:sz w:val="20"/>
              </w:rPr>
              <w:t>𝑖</w:t>
            </w:r>
            <w:r>
              <w:rPr>
                <w:rFonts w:ascii="DejaVu Serif Condensed" w:hAnsi="DejaVu Serif Condensed" w:eastAsia="DejaVu Serif Condensed"/>
                <w:spacing w:val="-2"/>
                <w:w w:val="103"/>
                <w:sz w:val="20"/>
              </w:rPr>
              <w:t>𝑦</w:t>
            </w:r>
            <w:r>
              <w:rPr>
                <w:rFonts w:ascii="DejaVu Serif Condensed" w:hAnsi="DejaVu Serif Condensed" w:eastAsia="DejaVu Serif Condensed"/>
                <w:spacing w:val="1"/>
                <w:w w:val="102"/>
                <w:sz w:val="20"/>
              </w:rPr>
              <w:t>𝑎</w:t>
            </w:r>
            <w:r>
              <w:rPr>
                <w:rFonts w:ascii="DejaVu Serif Condensed" w:hAnsi="DejaVu Serif Condensed" w:eastAsia="DejaVu Serif Condensed"/>
                <w:spacing w:val="-2"/>
                <w:w w:val="72"/>
                <w:sz w:val="20"/>
              </w:rPr>
              <w:t>𝑡</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13"/>
                <w:w w:val="81"/>
                <w:position w:val="-3"/>
                <w:sz w:val="14"/>
              </w:rPr>
              <w:t>𝑡</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4"/>
                <w:sz w:val="20"/>
              </w:rPr>
              <w:t> </w:t>
            </w:r>
            <w:r>
              <w:rPr>
                <w:rFonts w:ascii="DejaVu Serif Condensed" w:hAnsi="DejaVu Serif Condensed" w:eastAsia="DejaVu Serif Condensed"/>
                <w:spacing w:val="-7"/>
                <w:w w:val="108"/>
                <w:sz w:val="20"/>
              </w:rPr>
              <w:t>𝜗</w:t>
            </w:r>
            <w:r>
              <w:rPr>
                <w:rFonts w:ascii="DejaVu Serif Condensed" w:hAnsi="DejaVu Serif Condensed" w:eastAsia="DejaVu Serif Condensed"/>
                <w:spacing w:val="8"/>
                <w:w w:val="100"/>
                <w:position w:val="-3"/>
                <w:sz w:val="14"/>
              </w:rPr>
              <w:t>2</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2"/>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w w:val="90"/>
                <w:sz w:val="20"/>
              </w:rPr>
              <w:t>İ</w:t>
            </w:r>
            <w:r>
              <w:rPr>
                <w:rFonts w:ascii="DejaVu Serif Condensed" w:hAnsi="DejaVu Serif Condensed" w:eastAsia="DejaVu Serif Condensed"/>
                <w:w w:val="105"/>
                <w:sz w:val="20"/>
              </w:rPr>
              <w:t>𝑛</w:t>
            </w:r>
            <w:r>
              <w:rPr>
                <w:rFonts w:ascii="DejaVu Serif Condensed" w:hAnsi="DejaVu Serif Condensed" w:eastAsia="DejaVu Serif Condensed"/>
                <w:w w:val="82"/>
                <w:sz w:val="20"/>
              </w:rPr>
              <w:t>𝑑</w:t>
            </w:r>
            <w:r>
              <w:rPr>
                <w:rFonts w:ascii="DejaVu Serif Condensed" w:hAnsi="DejaVu Serif Condensed" w:eastAsia="DejaVu Serif Condensed"/>
                <w:spacing w:val="-1"/>
                <w:w w:val="82"/>
                <w:sz w:val="20"/>
              </w:rPr>
              <w:t>𝑖</w:t>
            </w:r>
            <w:r>
              <w:rPr>
                <w:rFonts w:ascii="DejaVu Serif Condensed" w:hAnsi="DejaVu Serif Condensed" w:eastAsia="DejaVu Serif Condensed"/>
                <w:spacing w:val="-2"/>
                <w:w w:val="87"/>
                <w:sz w:val="20"/>
              </w:rPr>
              <w:t>𝑟</w:t>
            </w:r>
            <w:r>
              <w:rPr>
                <w:rFonts w:ascii="DejaVu Serif Condensed" w:hAnsi="DejaVu Serif Condensed" w:eastAsia="DejaVu Serif Condensed"/>
                <w:spacing w:val="1"/>
                <w:w w:val="58"/>
                <w:sz w:val="20"/>
              </w:rPr>
              <w:t>𝑖</w:t>
            </w:r>
            <w:r>
              <w:rPr>
                <w:rFonts w:ascii="DejaVu Serif Condensed" w:hAnsi="DejaVu Serif Condensed" w:eastAsia="DejaVu Serif Condensed"/>
                <w:spacing w:val="1"/>
                <w:w w:val="154"/>
                <w:sz w:val="20"/>
              </w:rPr>
              <w:t>𝑚</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13"/>
                <w:w w:val="81"/>
                <w:position w:val="-3"/>
                <w:sz w:val="14"/>
              </w:rPr>
              <w:t>𝑡</w:t>
            </w:r>
            <w:r>
              <w:rPr>
                <w:rFonts w:ascii="DejaVu Serif Condensed" w:hAnsi="DejaVu Serif Condensed" w:eastAsia="DejaVu Serif Condensed"/>
                <w:w w:val="117"/>
                <w:sz w:val="20"/>
              </w:rPr>
              <w:t>)</w:t>
            </w:r>
          </w:p>
          <w:p>
            <w:pPr>
              <w:pStyle w:val="TableParagraph"/>
              <w:spacing w:before="109"/>
              <w:ind w:left="1661"/>
              <w:rPr>
                <w:rFonts w:ascii="DejaVu Serif Condensed" w:hAnsi="DejaVu Serif Condensed" w:eastAsia="DejaVu Serif Condensed"/>
                <w:sz w:val="14"/>
              </w:rPr>
            </w:pPr>
            <w:r>
              <w:rPr>
                <w:rFonts w:ascii="DejaVu Serif Condensed" w:hAnsi="DejaVu Serif Condensed" w:eastAsia="DejaVu Serif Condensed"/>
                <w:sz w:val="20"/>
              </w:rPr>
              <w:t>+ ∆𝑢</w:t>
            </w:r>
            <w:r>
              <w:rPr>
                <w:rFonts w:ascii="DejaVu Serif Condensed" w:hAnsi="DejaVu Serif Condensed" w:eastAsia="DejaVu Serif Condensed"/>
                <w:position w:val="-3"/>
                <w:sz w:val="14"/>
              </w:rPr>
              <w:t>𝑖,𝑡</w:t>
            </w:r>
          </w:p>
        </w:tc>
        <w:tc>
          <w:tcPr>
            <w:tcW w:w="595" w:type="dxa"/>
          </w:tcPr>
          <w:p>
            <w:pPr>
              <w:pStyle w:val="TableParagraph"/>
              <w:ind w:left="0"/>
              <w:rPr>
                <w:sz w:val="26"/>
              </w:rPr>
            </w:pPr>
          </w:p>
          <w:p>
            <w:pPr>
              <w:pStyle w:val="TableParagraph"/>
              <w:ind w:left="0"/>
              <w:rPr>
                <w:sz w:val="26"/>
              </w:rPr>
            </w:pPr>
          </w:p>
          <w:p>
            <w:pPr>
              <w:pStyle w:val="TableParagraph"/>
              <w:spacing w:before="4"/>
              <w:ind w:left="0"/>
              <w:rPr>
                <w:sz w:val="36"/>
              </w:rPr>
            </w:pPr>
          </w:p>
          <w:p>
            <w:pPr>
              <w:pStyle w:val="TableParagraph"/>
              <w:ind w:left="114"/>
              <w:rPr>
                <w:sz w:val="24"/>
              </w:rPr>
            </w:pPr>
            <w:r>
              <w:rPr>
                <w:sz w:val="24"/>
              </w:rPr>
              <w:t>(7)</w:t>
            </w:r>
          </w:p>
        </w:tc>
      </w:tr>
      <w:tr>
        <w:trPr>
          <w:trHeight w:val="2381" w:hRule="atLeast"/>
        </w:trPr>
        <w:tc>
          <w:tcPr>
            <w:tcW w:w="8427" w:type="dxa"/>
          </w:tcPr>
          <w:p>
            <w:pPr>
              <w:pStyle w:val="TableParagraph"/>
              <w:spacing w:before="3"/>
              <w:ind w:left="0"/>
              <w:rPr>
                <w:sz w:val="24"/>
              </w:rPr>
            </w:pPr>
          </w:p>
          <w:p>
            <w:pPr>
              <w:pStyle w:val="TableParagraph"/>
              <w:ind w:left="221"/>
              <w:rPr>
                <w:rFonts w:ascii="DejaVu Serif Condensed" w:hAnsi="DejaVu Serif Condensed" w:eastAsia="DejaVu Serif Condensed"/>
                <w:sz w:val="20"/>
              </w:rPr>
            </w:pP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spacing w:val="-1"/>
                <w:w w:val="81"/>
                <w:sz w:val="20"/>
              </w:rPr>
              <w:t>𝑆𝚤</w:t>
            </w:r>
            <w:r>
              <w:rPr>
                <w:rFonts w:ascii="DejaVu Serif Condensed" w:hAnsi="DejaVu Serif Condensed" w:eastAsia="DejaVu Serif Condensed"/>
                <w:spacing w:val="-2"/>
                <w:w w:val="81"/>
                <w:sz w:val="20"/>
              </w:rPr>
              <w:t>𝑟</w:t>
            </w:r>
            <w:r>
              <w:rPr>
                <w:rFonts w:ascii="DejaVu Serif Condensed" w:hAnsi="DejaVu Serif Condensed" w:eastAsia="DejaVu Serif Condensed"/>
                <w:spacing w:val="-1"/>
                <w:w w:val="80"/>
                <w:sz w:val="20"/>
              </w:rPr>
              <w:t>𝑎</w:t>
            </w:r>
            <w:r>
              <w:rPr>
                <w:rFonts w:ascii="DejaVu Serif Condensed" w:hAnsi="DejaVu Serif Condensed" w:eastAsia="DejaVu Serif Condensed"/>
                <w:spacing w:val="1"/>
                <w:w w:val="80"/>
                <w:sz w:val="20"/>
              </w:rPr>
              <w:t>𝑙</w:t>
            </w:r>
            <w:r>
              <w:rPr>
                <w:rFonts w:ascii="DejaVu Serif Condensed" w:hAnsi="DejaVu Serif Condensed" w:eastAsia="DejaVu Serif Condensed"/>
                <w:spacing w:val="-1"/>
                <w:w w:val="102"/>
                <w:sz w:val="20"/>
              </w:rPr>
              <w:t>𝑎</w:t>
            </w:r>
            <w:r>
              <w:rPr>
                <w:rFonts w:ascii="DejaVu Serif Condensed" w:hAnsi="DejaVu Serif Condensed" w:eastAsia="DejaVu Serif Condensed"/>
                <w:w w:val="154"/>
                <w:sz w:val="20"/>
              </w:rPr>
              <w:t>𝑚</w:t>
            </w:r>
            <w:r>
              <w:rPr>
                <w:rFonts w:ascii="DejaVu Serif Condensed" w:hAnsi="DejaVu Serif Condensed" w:eastAsia="DejaVu Serif Condensed"/>
                <w:spacing w:val="1"/>
                <w:w w:val="102"/>
                <w:sz w:val="20"/>
              </w:rPr>
              <w:t>𝑎</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p>
          <w:p>
            <w:pPr>
              <w:pStyle w:val="TableParagraph"/>
              <w:spacing w:before="93"/>
              <w:ind w:left="1964"/>
              <w:rPr>
                <w:rFonts w:ascii="DejaVu Serif Condensed"/>
                <w:sz w:val="14"/>
              </w:rPr>
            </w:pPr>
            <w:r>
              <w:rPr>
                <w:rFonts w:ascii="DejaVu Serif Condensed"/>
                <w:w w:val="100"/>
                <w:sz w:val="14"/>
              </w:rPr>
              <w:t>3</w:t>
            </w:r>
          </w:p>
          <w:p>
            <w:pPr>
              <w:pStyle w:val="TableParagraph"/>
              <w:spacing w:before="79"/>
              <w:ind w:left="1661"/>
              <w:rPr>
                <w:rFonts w:ascii="DejaVu Serif Condensed" w:hAnsi="DejaVu Serif Condensed" w:eastAsia="DejaVu Serif Condensed"/>
                <w:sz w:val="20"/>
              </w:rPr>
            </w:pPr>
            <w:r>
              <w:rPr>
                <w:rFonts w:ascii="DejaVu Serif Condensed" w:hAnsi="DejaVu Serif Condensed" w:eastAsia="DejaVu Serif Condensed"/>
                <w:w w:val="98"/>
                <w:sz w:val="20"/>
              </w:rPr>
              <w:t>=</w:t>
            </w:r>
            <w:r>
              <w:rPr>
                <w:rFonts w:ascii="DejaVu Serif Condensed" w:hAnsi="DejaVu Serif Condensed" w:eastAsia="DejaVu Serif Condensed"/>
                <w:spacing w:val="5"/>
                <w:sz w:val="20"/>
              </w:rPr>
              <w:t> </w:t>
            </w:r>
            <w:r>
              <w:rPr>
                <w:rFonts w:ascii="DejaVu Serif Condensed" w:hAnsi="DejaVu Serif Condensed" w:eastAsia="DejaVu Serif Condensed"/>
                <w:w w:val="205"/>
                <w:sz w:val="20"/>
              </w:rPr>
              <w:t>∑</w:t>
            </w:r>
            <w:r>
              <w:rPr>
                <w:rFonts w:ascii="DejaVu Serif Condensed" w:hAnsi="DejaVu Serif Condensed" w:eastAsia="DejaVu Serif Condensed"/>
                <w:spacing w:val="-17"/>
                <w:sz w:val="20"/>
              </w:rPr>
              <w:t> </w:t>
            </w:r>
            <w:r>
              <w:rPr>
                <w:rFonts w:ascii="DejaVu Serif Condensed" w:hAnsi="DejaVu Serif Condensed" w:eastAsia="DejaVu Serif Condensed"/>
                <w:spacing w:val="-19"/>
                <w:w w:val="96"/>
                <w:sz w:val="20"/>
              </w:rPr>
              <w:t>𝛾</w:t>
            </w:r>
            <w:r>
              <w:rPr>
                <w:rFonts w:ascii="DejaVu Serif Condensed" w:hAnsi="DejaVu Serif Condensed" w:eastAsia="DejaVu Serif Condensed"/>
                <w:spacing w:val="10"/>
                <w:w w:val="119"/>
                <w:position w:val="-3"/>
                <w:sz w:val="14"/>
              </w:rPr>
              <w:t>𝑛</w:t>
            </w:r>
            <w:r>
              <w:rPr>
                <w:rFonts w:ascii="DejaVu Serif Condensed" w:hAnsi="DejaVu Serif Condensed" w:eastAsia="DejaVu Serif Condensed"/>
                <w:spacing w:val="-2"/>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81"/>
                <w:sz w:val="20"/>
              </w:rPr>
              <w:t>𝑆𝚤</w:t>
            </w:r>
            <w:r>
              <w:rPr>
                <w:rFonts w:ascii="DejaVu Serif Condensed" w:hAnsi="DejaVu Serif Condensed" w:eastAsia="DejaVu Serif Condensed"/>
                <w:w w:val="81"/>
                <w:sz w:val="20"/>
              </w:rPr>
              <w:t>𝑟</w:t>
            </w:r>
            <w:r>
              <w:rPr>
                <w:rFonts w:ascii="DejaVu Serif Condensed" w:hAnsi="DejaVu Serif Condensed" w:eastAsia="DejaVu Serif Condensed"/>
                <w:spacing w:val="-1"/>
                <w:w w:val="80"/>
                <w:sz w:val="20"/>
              </w:rPr>
              <w:t>𝑎</w:t>
            </w:r>
            <w:r>
              <w:rPr>
                <w:rFonts w:ascii="DejaVu Serif Condensed" w:hAnsi="DejaVu Serif Condensed" w:eastAsia="DejaVu Serif Condensed"/>
                <w:spacing w:val="-2"/>
                <w:w w:val="80"/>
                <w:sz w:val="20"/>
              </w:rPr>
              <w:t>𝑙</w:t>
            </w:r>
            <w:r>
              <w:rPr>
                <w:rFonts w:ascii="DejaVu Serif Condensed" w:hAnsi="DejaVu Serif Condensed" w:eastAsia="DejaVu Serif Condensed"/>
                <w:spacing w:val="1"/>
                <w:w w:val="102"/>
                <w:sz w:val="20"/>
              </w:rPr>
              <w:t>𝑎</w:t>
            </w:r>
            <w:r>
              <w:rPr>
                <w:rFonts w:ascii="DejaVu Serif Condensed" w:hAnsi="DejaVu Serif Condensed" w:eastAsia="DejaVu Serif Condensed"/>
                <w:w w:val="154"/>
                <w:sz w:val="20"/>
              </w:rPr>
              <w:t>𝑚</w:t>
            </w:r>
            <w:r>
              <w:rPr>
                <w:rFonts w:ascii="DejaVu Serif Condensed" w:hAnsi="DejaVu Serif Condensed" w:eastAsia="DejaVu Serif Condensed"/>
                <w:w w:val="102"/>
                <w:sz w:val="20"/>
              </w:rPr>
              <w:t>𝑎</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5"/>
                <w:w w:val="81"/>
                <w:position w:val="-3"/>
                <w:sz w:val="14"/>
              </w:rPr>
              <w:t>𝑡</w:t>
            </w:r>
            <w:r>
              <w:rPr>
                <w:rFonts w:ascii="DejaVu Serif Condensed" w:hAnsi="DejaVu Serif Condensed" w:eastAsia="DejaVu Serif Condensed"/>
                <w:spacing w:val="-1"/>
                <w:w w:val="95"/>
                <w:position w:val="-3"/>
                <w:sz w:val="14"/>
              </w:rPr>
              <w:t>−</w:t>
            </w:r>
            <w:r>
              <w:rPr>
                <w:rFonts w:ascii="DejaVu Serif Condensed" w:hAnsi="DejaVu Serif Condensed" w:eastAsia="DejaVu Serif Condensed"/>
                <w:spacing w:val="10"/>
                <w:w w:val="119"/>
                <w:position w:val="-3"/>
                <w:sz w:val="14"/>
              </w:rPr>
              <w:t>𝑛</w:t>
            </w:r>
            <w:r>
              <w:rPr>
                <w:rFonts w:ascii="DejaVu Serif Condensed" w:hAnsi="DejaVu Serif Condensed" w:eastAsia="DejaVu Serif Condensed"/>
                <w:w w:val="117"/>
                <w:sz w:val="20"/>
              </w:rPr>
              <w:t>)</w:t>
            </w:r>
            <w:r>
              <w:rPr>
                <w:rFonts w:ascii="DejaVu Serif Condensed" w:hAnsi="DejaVu Serif Condensed" w:eastAsia="DejaVu Serif Condensed"/>
                <w:spacing w:val="-11"/>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4"/>
                <w:sz w:val="20"/>
              </w:rPr>
              <w:t> </w:t>
            </w:r>
            <w:r>
              <w:rPr>
                <w:rFonts w:ascii="DejaVu Serif Condensed" w:hAnsi="DejaVu Serif Condensed" w:eastAsia="DejaVu Serif Condensed"/>
                <w:spacing w:val="8"/>
                <w:w w:val="99"/>
                <w:sz w:val="20"/>
              </w:rPr>
              <w:t>𝛿</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117"/>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spacing w:val="-2"/>
                <w:w w:val="109"/>
                <w:sz w:val="20"/>
              </w:rPr>
              <w:t>𝑇</w:t>
            </w:r>
            <w:r>
              <w:rPr>
                <w:rFonts w:ascii="DejaVu Serif Condensed" w:hAnsi="DejaVu Serif Condensed" w:eastAsia="DejaVu Serif Condensed"/>
                <w:w w:val="100"/>
                <w:sz w:val="20"/>
              </w:rPr>
              <w:t>𝑜</w:t>
            </w:r>
            <w:r>
              <w:rPr>
                <w:rFonts w:ascii="DejaVu Serif Condensed" w:hAnsi="DejaVu Serif Condensed" w:eastAsia="DejaVu Serif Condensed"/>
                <w:spacing w:val="-2"/>
                <w:w w:val="100"/>
                <w:sz w:val="20"/>
              </w:rPr>
              <w:t>𝑝</w:t>
            </w:r>
            <w:r>
              <w:rPr>
                <w:rFonts w:ascii="DejaVu Serif Condensed" w:hAnsi="DejaVu Serif Condensed" w:eastAsia="DejaVu Serif Condensed"/>
                <w:w w:val="80"/>
                <w:sz w:val="20"/>
              </w:rPr>
              <w:t>𝑙</w:t>
            </w:r>
            <w:r>
              <w:rPr>
                <w:rFonts w:ascii="DejaVu Serif Condensed" w:hAnsi="DejaVu Serif Condensed" w:eastAsia="DejaVu Serif Condensed"/>
                <w:spacing w:val="1"/>
                <w:w w:val="80"/>
                <w:sz w:val="20"/>
              </w:rPr>
              <w:t>𝑎</w:t>
            </w:r>
            <w:r>
              <w:rPr>
                <w:rFonts w:ascii="DejaVu Serif Condensed" w:hAnsi="DejaVu Serif Condensed" w:eastAsia="DejaVu Serif Condensed"/>
                <w:w w:val="154"/>
                <w:sz w:val="20"/>
              </w:rPr>
              <w:t>𝑚</w:t>
            </w:r>
            <w:r>
              <w:rPr>
                <w:rFonts w:ascii="DejaVu Serif Condensed" w:hAnsi="DejaVu Serif Condensed" w:eastAsia="DejaVu Serif Condensed"/>
                <w:w w:val="104"/>
                <w:sz w:val="20"/>
              </w:rPr>
              <w:t>𝑌</w:t>
            </w:r>
            <w:r>
              <w:rPr>
                <w:rFonts w:ascii="DejaVu Serif Condensed" w:hAnsi="DejaVu Serif Condensed" w:eastAsia="DejaVu Serif Condensed"/>
                <w:spacing w:val="-1"/>
                <w:w w:val="104"/>
                <w:sz w:val="20"/>
              </w:rPr>
              <w:t>𝑜</w:t>
            </w:r>
            <w:r>
              <w:rPr>
                <w:rFonts w:ascii="DejaVu Serif Condensed" w:hAnsi="DejaVu Serif Condensed" w:eastAsia="DejaVu Serif Condensed"/>
                <w:spacing w:val="1"/>
                <w:w w:val="87"/>
                <w:sz w:val="20"/>
              </w:rPr>
              <w:t>𝑟</w:t>
            </w:r>
            <w:r>
              <w:rPr>
                <w:rFonts w:ascii="DejaVu Serif Condensed" w:hAnsi="DejaVu Serif Condensed" w:eastAsia="DejaVu Serif Condensed"/>
                <w:w w:val="105"/>
                <w:sz w:val="20"/>
              </w:rPr>
              <w:t>𝑢</w:t>
            </w:r>
            <w:r>
              <w:rPr>
                <w:rFonts w:ascii="DejaVu Serif Condensed" w:hAnsi="DejaVu Serif Condensed" w:eastAsia="DejaVu Serif Condensed"/>
                <w:spacing w:val="1"/>
                <w:w w:val="154"/>
                <w:sz w:val="20"/>
              </w:rPr>
              <w:t>𝑚</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13"/>
                <w:w w:val="81"/>
                <w:position w:val="-3"/>
                <w:sz w:val="14"/>
              </w:rPr>
              <w:t>𝑡</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7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
                <w:w w:val="99"/>
                <w:sz w:val="20"/>
              </w:rPr>
              <w:t>𝐾𝑎𝑡𝑒𝑔𝑜</w:t>
            </w:r>
            <w:r>
              <w:rPr>
                <w:rFonts w:ascii="DejaVu Serif Condensed" w:hAnsi="DejaVu Serif Condensed" w:eastAsia="DejaVu Serif Condensed"/>
                <w:w w:val="99"/>
                <w:sz w:val="20"/>
              </w:rPr>
              <w:t>𝑟</w:t>
            </w:r>
            <w:r>
              <w:rPr>
                <w:rFonts w:ascii="DejaVu Serif Condensed" w:hAnsi="DejaVu Serif Condensed" w:eastAsia="DejaVu Serif Condensed"/>
                <w:w w:val="58"/>
                <w:sz w:val="20"/>
              </w:rPr>
              <w:t>𝑖</w:t>
            </w:r>
            <w:r>
              <w:rPr>
                <w:rFonts w:ascii="DejaVu Serif Condensed" w:hAnsi="DejaVu Serif Condensed" w:eastAsia="DejaVu Serif Condensed"/>
                <w:w w:val="88"/>
                <w:position w:val="-3"/>
                <w:sz w:val="14"/>
              </w:rPr>
              <w:t>𝐽</w:t>
            </w:r>
            <w:r>
              <w:rPr>
                <w:rFonts w:ascii="DejaVu Serif Condensed" w:hAnsi="DejaVu Serif Condensed" w:eastAsia="DejaVu Serif Condensed"/>
                <w:spacing w:val="-26"/>
                <w:position w:val="-3"/>
                <w:sz w:val="14"/>
              </w:rPr>
              <w:t> </w:t>
            </w:r>
            <w:r>
              <w:rPr>
                <w:rFonts w:ascii="DejaVu Serif Condensed" w:hAnsi="DejaVu Serif Condensed" w:eastAsia="DejaVu Serif Condensed"/>
                <w:w w:val="117"/>
                <w:sz w:val="20"/>
              </w:rPr>
              <w:t>)</w:t>
            </w:r>
          </w:p>
          <w:p>
            <w:pPr>
              <w:pStyle w:val="TableParagraph"/>
              <w:spacing w:before="51"/>
              <w:ind w:left="1868"/>
              <w:rPr>
                <w:rFonts w:ascii="DejaVu Serif Condensed" w:eastAsia="DejaVu Serif Condensed"/>
                <w:sz w:val="14"/>
              </w:rPr>
            </w:pPr>
            <w:r>
              <w:rPr>
                <w:rFonts w:ascii="DejaVu Serif Condensed" w:eastAsia="DejaVu Serif Condensed"/>
                <w:w w:val="105"/>
                <w:sz w:val="14"/>
              </w:rPr>
              <w:t>𝑛=1</w:t>
            </w:r>
          </w:p>
          <w:p>
            <w:pPr>
              <w:pStyle w:val="TableParagraph"/>
              <w:spacing w:before="96"/>
              <w:ind w:left="1661"/>
              <w:rPr>
                <w:rFonts w:ascii="DejaVu Serif Condensed" w:hAnsi="DejaVu Serif Condensed" w:eastAsia="DejaVu Serif Condensed"/>
                <w:sz w:val="20"/>
              </w:rPr>
            </w:pPr>
            <w:r>
              <w:rPr>
                <w:rFonts w:ascii="DejaVu Serif Condensed" w:hAnsi="DejaVu Serif Condensed" w:eastAsia="DejaVu Serif Condensed"/>
                <w:w w:val="98"/>
                <w:sz w:val="20"/>
              </w:rPr>
              <w:t>+</w:t>
            </w:r>
            <w:r>
              <w:rPr>
                <w:rFonts w:ascii="DejaVu Serif Condensed" w:hAnsi="DejaVu Serif Condensed" w:eastAsia="DejaVu Serif Condensed"/>
                <w:spacing w:val="-11"/>
                <w:sz w:val="20"/>
              </w:rPr>
              <w:t> </w:t>
            </w:r>
            <w:r>
              <w:rPr>
                <w:rFonts w:ascii="DejaVu Serif Condensed" w:hAnsi="DejaVu Serif Condensed" w:eastAsia="DejaVu Serif Condensed"/>
                <w:spacing w:val="-12"/>
                <w:w w:val="103"/>
                <w:sz w:val="20"/>
              </w:rPr>
              <w:t>𝜃</w:t>
            </w:r>
            <w:r>
              <w:rPr>
                <w:rFonts w:ascii="DejaVu Serif Condensed" w:hAnsi="DejaVu Serif Condensed" w:eastAsia="DejaVu Serif Condensed"/>
                <w:spacing w:val="8"/>
                <w:w w:val="100"/>
                <w:position w:val="-3"/>
                <w:sz w:val="14"/>
              </w:rPr>
              <w:t>1</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spacing w:val="-1"/>
                <w:w w:val="106"/>
                <w:sz w:val="20"/>
              </w:rPr>
              <w:t>𝑂</w:t>
            </w:r>
            <w:r>
              <w:rPr>
                <w:rFonts w:ascii="DejaVu Serif Condensed" w:hAnsi="DejaVu Serif Condensed" w:eastAsia="DejaVu Serif Condensed"/>
                <w:spacing w:val="-2"/>
                <w:w w:val="106"/>
                <w:sz w:val="20"/>
              </w:rPr>
              <w:t>𝑟</w:t>
            </w:r>
            <w:r>
              <w:rPr>
                <w:rFonts w:ascii="DejaVu Serif Condensed" w:hAnsi="DejaVu Serif Condensed" w:eastAsia="DejaVu Serif Condensed"/>
                <w:spacing w:val="5"/>
                <w:w w:val="72"/>
                <w:sz w:val="20"/>
              </w:rPr>
              <w:t>𝑡</w:t>
            </w:r>
            <w:r>
              <w:rPr>
                <w:rFonts w:ascii="DejaVu Serif Condensed" w:hAnsi="DejaVu Serif Condensed" w:eastAsia="DejaVu Serif Condensed"/>
                <w:w w:val="71"/>
                <w:sz w:val="20"/>
              </w:rPr>
              <w:t>.</w:t>
            </w:r>
            <w:r>
              <w:rPr>
                <w:rFonts w:ascii="DejaVu Serif Condensed" w:hAnsi="DejaVu Serif Condensed" w:eastAsia="DejaVu Serif Condensed"/>
                <w:spacing w:val="-24"/>
                <w:sz w:val="20"/>
              </w:rPr>
              <w:t> </w:t>
            </w:r>
            <w:r>
              <w:rPr>
                <w:rFonts w:ascii="DejaVu Serif Condensed" w:hAnsi="DejaVu Serif Condensed" w:eastAsia="DejaVu Serif Condensed"/>
                <w:spacing w:val="-2"/>
                <w:w w:val="114"/>
                <w:sz w:val="20"/>
              </w:rPr>
              <w:t>𝑃</w:t>
            </w:r>
            <w:r>
              <w:rPr>
                <w:rFonts w:ascii="DejaVu Serif Condensed" w:hAnsi="DejaVu Serif Condensed" w:eastAsia="DejaVu Serif Condensed"/>
                <w:w w:val="105"/>
                <w:sz w:val="20"/>
              </w:rPr>
              <w:t>𝑢</w:t>
            </w:r>
            <w:r>
              <w:rPr>
                <w:rFonts w:ascii="DejaVu Serif Condensed" w:hAnsi="DejaVu Serif Condensed" w:eastAsia="DejaVu Serif Condensed"/>
                <w:spacing w:val="-1"/>
                <w:w w:val="104"/>
                <w:sz w:val="20"/>
              </w:rPr>
              <w:t>𝑎</w:t>
            </w:r>
            <w:r>
              <w:rPr>
                <w:rFonts w:ascii="DejaVu Serif Condensed" w:hAnsi="DejaVu Serif Condensed" w:eastAsia="DejaVu Serif Condensed"/>
                <w:w w:val="104"/>
                <w:sz w:val="20"/>
              </w:rPr>
              <w:t>𝑛</w:t>
            </w:r>
            <w:r>
              <w:rPr>
                <w:rFonts w:ascii="DejaVu Serif Condensed" w:hAnsi="DejaVu Serif Condensed" w:eastAsia="DejaVu Serif Condensed"/>
                <w:spacing w:val="8"/>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5"/>
                <w:sz w:val="20"/>
              </w:rPr>
              <w:t> </w:t>
            </w:r>
            <w:r>
              <w:rPr>
                <w:rFonts w:ascii="DejaVu Serif Condensed" w:hAnsi="DejaVu Serif Condensed" w:eastAsia="DejaVu Serif Condensed"/>
                <w:w w:val="7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
                <w:w w:val="99"/>
                <w:sz w:val="20"/>
              </w:rPr>
              <w:t>𝐾𝑎𝑡𝑒𝑔𝑜</w:t>
            </w:r>
            <w:r>
              <w:rPr>
                <w:rFonts w:ascii="DejaVu Serif Condensed" w:hAnsi="DejaVu Serif Condensed" w:eastAsia="DejaVu Serif Condensed"/>
                <w:w w:val="99"/>
                <w:sz w:val="20"/>
              </w:rPr>
              <w:t>𝑟</w:t>
            </w:r>
            <w:r>
              <w:rPr>
                <w:rFonts w:ascii="DejaVu Serif Condensed" w:hAnsi="DejaVu Serif Condensed" w:eastAsia="DejaVu Serif Condensed"/>
                <w:w w:val="58"/>
                <w:sz w:val="20"/>
              </w:rPr>
              <w:t>𝑖</w:t>
            </w:r>
            <w:r>
              <w:rPr>
                <w:rFonts w:ascii="DejaVu Serif Condensed" w:hAnsi="DejaVu Serif Condensed" w:eastAsia="DejaVu Serif Condensed"/>
                <w:w w:val="88"/>
                <w:position w:val="-3"/>
                <w:sz w:val="14"/>
              </w:rPr>
              <w:t>𝐽</w:t>
            </w:r>
            <w:r>
              <w:rPr>
                <w:rFonts w:ascii="DejaVu Serif Condensed" w:hAnsi="DejaVu Serif Condensed" w:eastAsia="DejaVu Serif Condensed"/>
                <w:spacing w:val="-26"/>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2"/>
                <w:w w:val="108"/>
                <w:sz w:val="20"/>
              </w:rPr>
              <w:t>𝜗</w:t>
            </w:r>
            <w:r>
              <w:rPr>
                <w:rFonts w:ascii="DejaVu Serif Condensed" w:hAnsi="DejaVu Serif Condensed" w:eastAsia="DejaVu Serif Condensed"/>
                <w:spacing w:val="8"/>
                <w:w w:val="100"/>
                <w:position w:val="-3"/>
                <w:sz w:val="14"/>
              </w:rPr>
              <w:t>1</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w w:val="112"/>
                <w:sz w:val="20"/>
              </w:rPr>
              <w:t>𝐹</w:t>
            </w:r>
            <w:r>
              <w:rPr>
                <w:rFonts w:ascii="DejaVu Serif Condensed" w:hAnsi="DejaVu Serif Condensed" w:eastAsia="DejaVu Serif Condensed"/>
                <w:spacing w:val="-1"/>
                <w:w w:val="58"/>
                <w:sz w:val="20"/>
              </w:rPr>
              <w:t>𝑖</w:t>
            </w:r>
            <w:r>
              <w:rPr>
                <w:rFonts w:ascii="DejaVu Serif Condensed" w:hAnsi="DejaVu Serif Condensed" w:eastAsia="DejaVu Serif Condensed"/>
                <w:spacing w:val="-2"/>
                <w:w w:val="103"/>
                <w:sz w:val="20"/>
              </w:rPr>
              <w:t>𝑦</w:t>
            </w:r>
            <w:r>
              <w:rPr>
                <w:rFonts w:ascii="DejaVu Serif Condensed" w:hAnsi="DejaVu Serif Condensed" w:eastAsia="DejaVu Serif Condensed"/>
                <w:spacing w:val="1"/>
                <w:w w:val="102"/>
                <w:sz w:val="20"/>
              </w:rPr>
              <w:t>𝑎</w:t>
            </w:r>
            <w:r>
              <w:rPr>
                <w:rFonts w:ascii="DejaVu Serif Condensed" w:hAnsi="DejaVu Serif Condensed" w:eastAsia="DejaVu Serif Condensed"/>
                <w:spacing w:val="-2"/>
                <w:w w:val="72"/>
                <w:sz w:val="20"/>
              </w:rPr>
              <w:t>𝑡</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13"/>
                <w:w w:val="81"/>
                <w:position w:val="-3"/>
                <w:sz w:val="14"/>
              </w:rPr>
              <w:t>𝑡</w:t>
            </w:r>
            <w:r>
              <w:rPr>
                <w:rFonts w:ascii="DejaVu Serif Condensed" w:hAnsi="DejaVu Serif Condensed" w:eastAsia="DejaVu Serif Condensed"/>
                <w:w w:val="117"/>
                <w:sz w:val="20"/>
              </w:rPr>
              <w:t>)</w:t>
            </w:r>
            <w:r>
              <w:rPr>
                <w:rFonts w:ascii="DejaVu Serif Condensed" w:hAnsi="DejaVu Serif Condensed" w:eastAsia="DejaVu Serif Condensed"/>
                <w:spacing w:val="-15"/>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7"/>
                <w:w w:val="108"/>
                <w:sz w:val="20"/>
              </w:rPr>
              <w:t>𝜗</w:t>
            </w:r>
            <w:r>
              <w:rPr>
                <w:rFonts w:ascii="DejaVu Serif Condensed" w:hAnsi="DejaVu Serif Condensed" w:eastAsia="DejaVu Serif Condensed"/>
                <w:spacing w:val="8"/>
                <w:w w:val="100"/>
                <w:position w:val="-3"/>
                <w:sz w:val="14"/>
              </w:rPr>
              <w:t>2</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w w:val="90"/>
                <w:sz w:val="20"/>
              </w:rPr>
              <w:t>İ</w:t>
            </w:r>
            <w:r>
              <w:rPr>
                <w:rFonts w:ascii="DejaVu Serif Condensed" w:hAnsi="DejaVu Serif Condensed" w:eastAsia="DejaVu Serif Condensed"/>
                <w:w w:val="105"/>
                <w:sz w:val="20"/>
              </w:rPr>
              <w:t>𝑛</w:t>
            </w:r>
            <w:r>
              <w:rPr>
                <w:rFonts w:ascii="DejaVu Serif Condensed" w:hAnsi="DejaVu Serif Condensed" w:eastAsia="DejaVu Serif Condensed"/>
                <w:w w:val="82"/>
                <w:sz w:val="20"/>
              </w:rPr>
              <w:t>𝑑</w:t>
            </w:r>
            <w:r>
              <w:rPr>
                <w:rFonts w:ascii="DejaVu Serif Condensed" w:hAnsi="DejaVu Serif Condensed" w:eastAsia="DejaVu Serif Condensed"/>
                <w:spacing w:val="-1"/>
                <w:w w:val="82"/>
                <w:sz w:val="20"/>
              </w:rPr>
              <w:t>𝑖</w:t>
            </w:r>
            <w:r>
              <w:rPr>
                <w:rFonts w:ascii="DejaVu Serif Condensed" w:hAnsi="DejaVu Serif Condensed" w:eastAsia="DejaVu Serif Condensed"/>
                <w:spacing w:val="-2"/>
                <w:w w:val="87"/>
                <w:sz w:val="20"/>
              </w:rPr>
              <w:t>𝑟</w:t>
            </w:r>
            <w:r>
              <w:rPr>
                <w:rFonts w:ascii="DejaVu Serif Condensed" w:hAnsi="DejaVu Serif Condensed" w:eastAsia="DejaVu Serif Condensed"/>
                <w:spacing w:val="1"/>
                <w:w w:val="58"/>
                <w:sz w:val="20"/>
              </w:rPr>
              <w:t>𝑖</w:t>
            </w:r>
            <w:r>
              <w:rPr>
                <w:rFonts w:ascii="DejaVu Serif Condensed" w:hAnsi="DejaVu Serif Condensed" w:eastAsia="DejaVu Serif Condensed"/>
                <w:spacing w:val="1"/>
                <w:w w:val="154"/>
                <w:sz w:val="20"/>
              </w:rPr>
              <w:t>𝑚</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13"/>
                <w:w w:val="81"/>
                <w:position w:val="-3"/>
                <w:sz w:val="14"/>
              </w:rPr>
              <w:t>𝑡</w:t>
            </w:r>
            <w:r>
              <w:rPr>
                <w:rFonts w:ascii="DejaVu Serif Condensed" w:hAnsi="DejaVu Serif Condensed" w:eastAsia="DejaVu Serif Condensed"/>
                <w:w w:val="117"/>
                <w:sz w:val="20"/>
              </w:rPr>
              <w:t>)</w:t>
            </w:r>
          </w:p>
          <w:p>
            <w:pPr>
              <w:pStyle w:val="TableParagraph"/>
              <w:spacing w:before="113"/>
              <w:ind w:left="1661"/>
              <w:rPr>
                <w:rFonts w:ascii="DejaVu Serif Condensed" w:hAnsi="DejaVu Serif Condensed" w:eastAsia="DejaVu Serif Condensed"/>
                <w:sz w:val="14"/>
              </w:rPr>
            </w:pPr>
            <w:r>
              <w:rPr>
                <w:rFonts w:ascii="DejaVu Serif Condensed" w:hAnsi="DejaVu Serif Condensed" w:eastAsia="DejaVu Serif Condensed"/>
                <w:sz w:val="20"/>
              </w:rPr>
              <w:t>+ ∆𝑢</w:t>
            </w:r>
            <w:r>
              <w:rPr>
                <w:rFonts w:ascii="DejaVu Serif Condensed" w:hAnsi="DejaVu Serif Condensed" w:eastAsia="DejaVu Serif Condensed"/>
                <w:position w:val="-3"/>
                <w:sz w:val="14"/>
              </w:rPr>
              <w:t>𝑖,𝑡</w:t>
            </w:r>
          </w:p>
        </w:tc>
        <w:tc>
          <w:tcPr>
            <w:tcW w:w="595" w:type="dxa"/>
          </w:tcPr>
          <w:p>
            <w:pPr>
              <w:pStyle w:val="TableParagraph"/>
              <w:ind w:left="0"/>
              <w:rPr>
                <w:sz w:val="26"/>
              </w:rPr>
            </w:pPr>
          </w:p>
          <w:p>
            <w:pPr>
              <w:pStyle w:val="TableParagraph"/>
              <w:ind w:left="0"/>
              <w:rPr>
                <w:sz w:val="26"/>
              </w:rPr>
            </w:pPr>
          </w:p>
          <w:p>
            <w:pPr>
              <w:pStyle w:val="TableParagraph"/>
              <w:spacing w:before="6"/>
              <w:ind w:left="0"/>
              <w:rPr>
                <w:sz w:val="36"/>
              </w:rPr>
            </w:pPr>
          </w:p>
          <w:p>
            <w:pPr>
              <w:pStyle w:val="TableParagraph"/>
              <w:spacing w:before="1"/>
              <w:ind w:left="114"/>
              <w:rPr>
                <w:sz w:val="24"/>
              </w:rPr>
            </w:pPr>
            <w:r>
              <w:rPr>
                <w:sz w:val="24"/>
              </w:rPr>
              <w:t>(8)</w:t>
            </w:r>
          </w:p>
        </w:tc>
      </w:tr>
      <w:tr>
        <w:trPr>
          <w:trHeight w:val="2445" w:hRule="atLeast"/>
        </w:trPr>
        <w:tc>
          <w:tcPr>
            <w:tcW w:w="8427" w:type="dxa"/>
          </w:tcPr>
          <w:p>
            <w:pPr>
              <w:pStyle w:val="TableParagraph"/>
              <w:spacing w:before="3"/>
              <w:ind w:left="0"/>
              <w:rPr>
                <w:sz w:val="24"/>
              </w:rPr>
            </w:pPr>
          </w:p>
          <w:p>
            <w:pPr>
              <w:pStyle w:val="TableParagraph"/>
              <w:spacing w:before="1"/>
              <w:ind w:left="200"/>
              <w:rPr>
                <w:rFonts w:ascii="DejaVu Serif Condensed" w:hAnsi="DejaVu Serif Condensed" w:eastAsia="DejaVu Serif Condensed"/>
                <w:sz w:val="20"/>
              </w:rPr>
            </w:pPr>
            <w:r>
              <w:rPr>
                <w:rFonts w:ascii="DejaVu Serif Condensed" w:hAnsi="DejaVu Serif Condensed" w:eastAsia="DejaVu Serif Condensed"/>
                <w:sz w:val="20"/>
              </w:rPr>
              <w:t>∆ln (𝑆𝚤𝑟𝑎𝑙𝑎𝑚𝑎</w:t>
            </w:r>
            <w:r>
              <w:rPr>
                <w:rFonts w:ascii="DejaVu Serif Condensed" w:hAnsi="DejaVu Serif Condensed" w:eastAsia="DejaVu Serif Condensed"/>
                <w:position w:val="-3"/>
                <w:sz w:val="14"/>
              </w:rPr>
              <w:t>𝑖,𝑡 </w:t>
            </w:r>
            <w:r>
              <w:rPr>
                <w:rFonts w:ascii="DejaVu Serif Condensed" w:hAnsi="DejaVu Serif Condensed" w:eastAsia="DejaVu Serif Condensed"/>
                <w:sz w:val="20"/>
              </w:rPr>
              <w:t>)</w:t>
            </w:r>
          </w:p>
          <w:p>
            <w:pPr>
              <w:pStyle w:val="TableParagraph"/>
              <w:spacing w:before="92"/>
              <w:ind w:left="1940"/>
              <w:rPr>
                <w:rFonts w:ascii="DejaVu Serif Condensed"/>
                <w:sz w:val="14"/>
              </w:rPr>
            </w:pPr>
            <w:r>
              <w:rPr>
                <w:rFonts w:ascii="DejaVu Serif Condensed"/>
                <w:w w:val="100"/>
                <w:sz w:val="14"/>
              </w:rPr>
              <w:t>3</w:t>
            </w:r>
          </w:p>
          <w:p>
            <w:pPr>
              <w:pStyle w:val="TableParagraph"/>
              <w:spacing w:before="79"/>
              <w:ind w:left="1640"/>
              <w:rPr>
                <w:rFonts w:ascii="DejaVu Serif Condensed" w:hAnsi="DejaVu Serif Condensed" w:eastAsia="DejaVu Serif Condensed"/>
                <w:sz w:val="20"/>
              </w:rPr>
            </w:pPr>
            <w:r>
              <w:rPr>
                <w:rFonts w:ascii="DejaVu Serif Condensed" w:hAnsi="DejaVu Serif Condensed" w:eastAsia="DejaVu Serif Condensed"/>
                <w:w w:val="98"/>
                <w:sz w:val="20"/>
              </w:rPr>
              <w:t>=</w:t>
            </w:r>
            <w:r>
              <w:rPr>
                <w:rFonts w:ascii="DejaVu Serif Condensed" w:hAnsi="DejaVu Serif Condensed" w:eastAsia="DejaVu Serif Condensed"/>
                <w:spacing w:val="3"/>
                <w:sz w:val="20"/>
              </w:rPr>
              <w:t> </w:t>
            </w:r>
            <w:r>
              <w:rPr>
                <w:rFonts w:ascii="DejaVu Serif Condensed" w:hAnsi="DejaVu Serif Condensed" w:eastAsia="DejaVu Serif Condensed"/>
                <w:w w:val="205"/>
                <w:sz w:val="20"/>
              </w:rPr>
              <w:t>∑</w:t>
            </w:r>
            <w:r>
              <w:rPr>
                <w:rFonts w:ascii="DejaVu Serif Condensed" w:hAnsi="DejaVu Serif Condensed" w:eastAsia="DejaVu Serif Condensed"/>
                <w:spacing w:val="-17"/>
                <w:sz w:val="20"/>
              </w:rPr>
              <w:t> </w:t>
            </w:r>
            <w:r>
              <w:rPr>
                <w:rFonts w:ascii="DejaVu Serif Condensed" w:hAnsi="DejaVu Serif Condensed" w:eastAsia="DejaVu Serif Condensed"/>
                <w:spacing w:val="-19"/>
                <w:w w:val="96"/>
                <w:sz w:val="20"/>
              </w:rPr>
              <w:t>𝛾</w:t>
            </w:r>
            <w:r>
              <w:rPr>
                <w:rFonts w:ascii="DejaVu Serif Condensed" w:hAnsi="DejaVu Serif Condensed" w:eastAsia="DejaVu Serif Condensed"/>
                <w:spacing w:val="12"/>
                <w:w w:val="119"/>
                <w:position w:val="-3"/>
                <w:sz w:val="14"/>
              </w:rPr>
              <w:t>𝑛</w:t>
            </w:r>
            <w:r>
              <w:rPr>
                <w:rFonts w:ascii="DejaVu Serif Condensed" w:hAnsi="DejaVu Serif Condensed" w:eastAsia="DejaVu Serif Condensed"/>
                <w:spacing w:val="-2"/>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81"/>
                <w:sz w:val="20"/>
              </w:rPr>
              <w:t>𝑆𝚤</w:t>
            </w:r>
            <w:r>
              <w:rPr>
                <w:rFonts w:ascii="DejaVu Serif Condensed" w:hAnsi="DejaVu Serif Condensed" w:eastAsia="DejaVu Serif Condensed"/>
                <w:spacing w:val="-2"/>
                <w:w w:val="81"/>
                <w:sz w:val="20"/>
              </w:rPr>
              <w:t>𝑟</w:t>
            </w:r>
            <w:r>
              <w:rPr>
                <w:rFonts w:ascii="DejaVu Serif Condensed" w:hAnsi="DejaVu Serif Condensed" w:eastAsia="DejaVu Serif Condensed"/>
                <w:spacing w:val="1"/>
                <w:w w:val="102"/>
                <w:sz w:val="20"/>
              </w:rPr>
              <w:t>𝑎</w:t>
            </w:r>
            <w:r>
              <w:rPr>
                <w:rFonts w:ascii="DejaVu Serif Condensed" w:hAnsi="DejaVu Serif Condensed" w:eastAsia="DejaVu Serif Condensed"/>
                <w:w w:val="80"/>
                <w:sz w:val="20"/>
              </w:rPr>
              <w:t>𝑙</w:t>
            </w:r>
            <w:r>
              <w:rPr>
                <w:rFonts w:ascii="DejaVu Serif Condensed" w:hAnsi="DejaVu Serif Condensed" w:eastAsia="DejaVu Serif Condensed"/>
                <w:spacing w:val="1"/>
                <w:w w:val="80"/>
                <w:sz w:val="20"/>
              </w:rPr>
              <w:t>𝑎</w:t>
            </w:r>
            <w:r>
              <w:rPr>
                <w:rFonts w:ascii="DejaVu Serif Condensed" w:hAnsi="DejaVu Serif Condensed" w:eastAsia="DejaVu Serif Condensed"/>
                <w:w w:val="154"/>
                <w:sz w:val="20"/>
              </w:rPr>
              <w:t>𝑚</w:t>
            </w:r>
            <w:r>
              <w:rPr>
                <w:rFonts w:ascii="DejaVu Serif Condensed" w:hAnsi="DejaVu Serif Condensed" w:eastAsia="DejaVu Serif Condensed"/>
                <w:w w:val="102"/>
                <w:sz w:val="20"/>
              </w:rPr>
              <w:t>𝑎</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5"/>
                <w:w w:val="81"/>
                <w:position w:val="-3"/>
                <w:sz w:val="14"/>
              </w:rPr>
              <w:t>𝑡</w:t>
            </w:r>
            <w:r>
              <w:rPr>
                <w:rFonts w:ascii="DejaVu Serif Condensed" w:hAnsi="DejaVu Serif Condensed" w:eastAsia="DejaVu Serif Condensed"/>
                <w:spacing w:val="-1"/>
                <w:w w:val="95"/>
                <w:position w:val="-3"/>
                <w:sz w:val="14"/>
              </w:rPr>
              <w:t>−</w:t>
            </w:r>
            <w:r>
              <w:rPr>
                <w:rFonts w:ascii="DejaVu Serif Condensed" w:hAnsi="DejaVu Serif Condensed" w:eastAsia="DejaVu Serif Condensed"/>
                <w:spacing w:val="10"/>
                <w:w w:val="119"/>
                <w:position w:val="-3"/>
                <w:sz w:val="14"/>
              </w:rPr>
              <w:t>𝑛</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2"/>
                <w:w w:val="103"/>
                <w:sz w:val="20"/>
              </w:rPr>
              <w:t>𝜃</w:t>
            </w:r>
            <w:r>
              <w:rPr>
                <w:rFonts w:ascii="DejaVu Serif Condensed" w:hAnsi="DejaVu Serif Condensed" w:eastAsia="DejaVu Serif Condensed"/>
                <w:spacing w:val="8"/>
                <w:w w:val="100"/>
                <w:position w:val="-3"/>
                <w:sz w:val="14"/>
              </w:rPr>
              <w:t>1</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117"/>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spacing w:val="-1"/>
                <w:w w:val="106"/>
                <w:sz w:val="20"/>
              </w:rPr>
              <w:t>𝑂</w:t>
            </w:r>
            <w:r>
              <w:rPr>
                <w:rFonts w:ascii="DejaVu Serif Condensed" w:hAnsi="DejaVu Serif Condensed" w:eastAsia="DejaVu Serif Condensed"/>
                <w:spacing w:val="-2"/>
                <w:w w:val="106"/>
                <w:sz w:val="20"/>
              </w:rPr>
              <w:t>𝑟</w:t>
            </w:r>
            <w:r>
              <w:rPr>
                <w:rFonts w:ascii="DejaVu Serif Condensed" w:hAnsi="DejaVu Serif Condensed" w:eastAsia="DejaVu Serif Condensed"/>
                <w:spacing w:val="7"/>
                <w:w w:val="72"/>
                <w:sz w:val="20"/>
              </w:rPr>
              <w:t>𝑡</w:t>
            </w:r>
            <w:r>
              <w:rPr>
                <w:rFonts w:ascii="DejaVu Serif Condensed" w:hAnsi="DejaVu Serif Condensed" w:eastAsia="DejaVu Serif Condensed"/>
                <w:w w:val="71"/>
                <w:sz w:val="20"/>
              </w:rPr>
              <w:t>.</w:t>
            </w:r>
            <w:r>
              <w:rPr>
                <w:rFonts w:ascii="DejaVu Serif Condensed" w:hAnsi="DejaVu Serif Condensed" w:eastAsia="DejaVu Serif Condensed"/>
                <w:spacing w:val="-24"/>
                <w:sz w:val="20"/>
              </w:rPr>
              <w:t> </w:t>
            </w:r>
            <w:r>
              <w:rPr>
                <w:rFonts w:ascii="DejaVu Serif Condensed" w:hAnsi="DejaVu Serif Condensed" w:eastAsia="DejaVu Serif Condensed"/>
                <w:spacing w:val="-2"/>
                <w:w w:val="114"/>
                <w:sz w:val="20"/>
              </w:rPr>
              <w:t>𝑃</w:t>
            </w:r>
            <w:r>
              <w:rPr>
                <w:rFonts w:ascii="DejaVu Serif Condensed" w:hAnsi="DejaVu Serif Condensed" w:eastAsia="DejaVu Serif Condensed"/>
                <w:w w:val="105"/>
                <w:sz w:val="20"/>
              </w:rPr>
              <w:t>𝑢</w:t>
            </w:r>
            <w:r>
              <w:rPr>
                <w:rFonts w:ascii="DejaVu Serif Condensed" w:hAnsi="DejaVu Serif Condensed" w:eastAsia="DejaVu Serif Condensed"/>
                <w:spacing w:val="-1"/>
                <w:w w:val="104"/>
                <w:sz w:val="20"/>
              </w:rPr>
              <w:t>𝑎</w:t>
            </w:r>
            <w:r>
              <w:rPr>
                <w:rFonts w:ascii="DejaVu Serif Condensed" w:hAnsi="DejaVu Serif Condensed" w:eastAsia="DejaVu Serif Condensed"/>
                <w:w w:val="104"/>
                <w:sz w:val="20"/>
              </w:rPr>
              <w:t>𝑛</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78"/>
                <w:sz w:val="20"/>
              </w:rPr>
              <w:t>∗</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01"/>
                <w:sz w:val="20"/>
              </w:rPr>
              <w:t>𝐾𝑎𝑡𝑒𝑔</w:t>
            </w:r>
            <w:r>
              <w:rPr>
                <w:rFonts w:ascii="DejaVu Serif Condensed" w:hAnsi="DejaVu Serif Condensed" w:eastAsia="DejaVu Serif Condensed"/>
                <w:spacing w:val="1"/>
                <w:w w:val="101"/>
                <w:sz w:val="20"/>
              </w:rPr>
              <w:t>𝑜</w:t>
            </w:r>
            <w:r>
              <w:rPr>
                <w:rFonts w:ascii="DejaVu Serif Condensed" w:hAnsi="DejaVu Serif Condensed" w:eastAsia="DejaVu Serif Condensed"/>
                <w:spacing w:val="-2"/>
                <w:w w:val="87"/>
                <w:sz w:val="20"/>
              </w:rPr>
              <w:t>𝑟</w:t>
            </w:r>
            <w:r>
              <w:rPr>
                <w:rFonts w:ascii="DejaVu Serif Condensed" w:hAnsi="DejaVu Serif Condensed" w:eastAsia="DejaVu Serif Condensed"/>
                <w:spacing w:val="2"/>
                <w:w w:val="58"/>
                <w:sz w:val="20"/>
              </w:rPr>
              <w:t>𝑖</w:t>
            </w:r>
            <w:r>
              <w:rPr>
                <w:rFonts w:ascii="DejaVu Serif Condensed" w:hAnsi="DejaVu Serif Condensed" w:eastAsia="DejaVu Serif Condensed"/>
                <w:w w:val="88"/>
                <w:position w:val="-3"/>
                <w:sz w:val="14"/>
              </w:rPr>
              <w:t>𝐽</w:t>
            </w:r>
            <w:r>
              <w:rPr>
                <w:rFonts w:ascii="DejaVu Serif Condensed" w:hAnsi="DejaVu Serif Condensed" w:eastAsia="DejaVu Serif Condensed"/>
                <w:spacing w:val="-28"/>
                <w:position w:val="-3"/>
                <w:sz w:val="14"/>
              </w:rPr>
              <w:t> </w:t>
            </w:r>
            <w:r>
              <w:rPr>
                <w:rFonts w:ascii="DejaVu Serif Condensed" w:hAnsi="DejaVu Serif Condensed" w:eastAsia="DejaVu Serif Condensed"/>
                <w:w w:val="117"/>
                <w:sz w:val="20"/>
              </w:rPr>
              <w:t>)</w:t>
            </w:r>
          </w:p>
          <w:p>
            <w:pPr>
              <w:pStyle w:val="TableParagraph"/>
              <w:spacing w:before="51"/>
              <w:ind w:left="1844"/>
              <w:rPr>
                <w:rFonts w:ascii="DejaVu Serif Condensed" w:eastAsia="DejaVu Serif Condensed"/>
                <w:sz w:val="14"/>
              </w:rPr>
            </w:pPr>
            <w:r>
              <w:rPr>
                <w:rFonts w:ascii="DejaVu Serif Condensed" w:eastAsia="DejaVu Serif Condensed"/>
                <w:w w:val="105"/>
                <w:sz w:val="14"/>
              </w:rPr>
              <w:t>𝑛=1</w:t>
            </w:r>
          </w:p>
          <w:p>
            <w:pPr>
              <w:pStyle w:val="TableParagraph"/>
              <w:spacing w:before="91"/>
              <w:ind w:left="1640"/>
              <w:rPr>
                <w:rFonts w:ascii="DejaVu Serif Condensed" w:hAnsi="DejaVu Serif Condensed" w:eastAsia="DejaVu Serif Condensed"/>
                <w:sz w:val="20"/>
              </w:rPr>
            </w:pPr>
            <w:r>
              <w:rPr>
                <w:rFonts w:ascii="DejaVu Serif Condensed" w:hAnsi="DejaVu Serif Condensed" w:eastAsia="DejaVu Serif Condensed"/>
                <w:w w:val="98"/>
                <w:sz w:val="20"/>
              </w:rPr>
              <w:t>+</w:t>
            </w:r>
            <w:r>
              <w:rPr>
                <w:rFonts w:ascii="DejaVu Serif Condensed" w:hAnsi="DejaVu Serif Condensed" w:eastAsia="DejaVu Serif Condensed"/>
                <w:spacing w:val="-11"/>
                <w:sz w:val="20"/>
              </w:rPr>
              <w:t> </w:t>
            </w:r>
            <w:r>
              <w:rPr>
                <w:rFonts w:ascii="DejaVu Serif Condensed" w:hAnsi="DejaVu Serif Condensed" w:eastAsia="DejaVu Serif Condensed"/>
                <w:spacing w:val="-7"/>
                <w:w w:val="103"/>
                <w:sz w:val="20"/>
              </w:rPr>
              <w:t>𝜃</w:t>
            </w:r>
            <w:r>
              <w:rPr>
                <w:rFonts w:ascii="DejaVu Serif Condensed" w:hAnsi="DejaVu Serif Condensed" w:eastAsia="DejaVu Serif Condensed"/>
                <w:spacing w:val="8"/>
                <w:w w:val="100"/>
                <w:position w:val="-3"/>
                <w:sz w:val="14"/>
              </w:rPr>
              <w:t>2</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91"/>
                <w:sz w:val="20"/>
              </w:rPr>
              <w:t>𝑂𝑙</w:t>
            </w:r>
            <w:r>
              <w:rPr>
                <w:rFonts w:ascii="DejaVu Serif Condensed" w:hAnsi="DejaVu Serif Condensed" w:eastAsia="DejaVu Serif Condensed"/>
                <w:w w:val="105"/>
                <w:sz w:val="20"/>
              </w:rPr>
              <w:t>𝑢</w:t>
            </w:r>
            <w:r>
              <w:rPr>
                <w:rFonts w:ascii="DejaVu Serif Condensed" w:hAnsi="DejaVu Serif Condensed" w:eastAsia="DejaVu Serif Condensed"/>
                <w:w w:val="154"/>
                <w:sz w:val="20"/>
              </w:rPr>
              <w:t>𝑚</w:t>
            </w:r>
            <w:r>
              <w:rPr>
                <w:rFonts w:ascii="DejaVu Serif Condensed" w:hAnsi="DejaVu Serif Condensed" w:eastAsia="DejaVu Serif Condensed"/>
                <w:w w:val="82"/>
                <w:sz w:val="20"/>
              </w:rPr>
              <w:t>𝑙𝑢</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7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
                <w:w w:val="99"/>
                <w:sz w:val="20"/>
              </w:rPr>
              <w:t>𝐾𝑎𝑡𝑒𝑔𝑜</w:t>
            </w:r>
            <w:r>
              <w:rPr>
                <w:rFonts w:ascii="DejaVu Serif Condensed" w:hAnsi="DejaVu Serif Condensed" w:eastAsia="DejaVu Serif Condensed"/>
                <w:w w:val="99"/>
                <w:sz w:val="20"/>
              </w:rPr>
              <w:t>𝑟</w:t>
            </w:r>
            <w:r>
              <w:rPr>
                <w:rFonts w:ascii="DejaVu Serif Condensed" w:hAnsi="DejaVu Serif Condensed" w:eastAsia="DejaVu Serif Condensed"/>
                <w:w w:val="58"/>
                <w:sz w:val="20"/>
              </w:rPr>
              <w:t>𝑖</w:t>
            </w:r>
            <w:r>
              <w:rPr>
                <w:rFonts w:ascii="DejaVu Serif Condensed" w:hAnsi="DejaVu Serif Condensed" w:eastAsia="DejaVu Serif Condensed"/>
                <w:w w:val="88"/>
                <w:position w:val="-3"/>
                <w:sz w:val="14"/>
              </w:rPr>
              <w:t>𝐽</w:t>
            </w:r>
            <w:r>
              <w:rPr>
                <w:rFonts w:ascii="DejaVu Serif Condensed" w:hAnsi="DejaVu Serif Condensed" w:eastAsia="DejaVu Serif Condensed"/>
                <w:spacing w:val="-26"/>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7"/>
                <w:w w:val="103"/>
                <w:sz w:val="20"/>
              </w:rPr>
              <w:t>𝜃</w:t>
            </w:r>
            <w:r>
              <w:rPr>
                <w:rFonts w:ascii="DejaVu Serif Condensed" w:hAnsi="DejaVu Serif Condensed" w:eastAsia="DejaVu Serif Condensed"/>
                <w:spacing w:val="8"/>
                <w:w w:val="100"/>
                <w:position w:val="-3"/>
                <w:sz w:val="14"/>
              </w:rPr>
              <w:t>3</w:t>
            </w:r>
            <w:r>
              <w:rPr>
                <w:rFonts w:ascii="DejaVu Serif Condensed" w:hAnsi="DejaVu Serif Condensed" w:eastAsia="DejaVu Serif Condensed"/>
                <w:spacing w:val="-2"/>
                <w:w w:val="94"/>
                <w:sz w:val="20"/>
              </w:rPr>
              <w:t>∆</w:t>
            </w:r>
            <w:r>
              <w:rPr>
                <w:rFonts w:ascii="DejaVu Serif Condensed" w:hAnsi="DejaVu Serif Condensed" w:eastAsia="DejaVu Serif Condensed"/>
                <w:spacing w:val="1"/>
                <w:w w:val="117"/>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w w:val="135"/>
                <w:sz w:val="20"/>
              </w:rPr>
              <w:t>𝑁</w:t>
            </w:r>
            <w:r>
              <w:rPr>
                <w:rFonts w:ascii="DejaVu Serif Condensed" w:hAnsi="DejaVu Serif Condensed" w:eastAsia="DejaVu Serif Condensed"/>
                <w:spacing w:val="-1"/>
                <w:w w:val="97"/>
                <w:sz w:val="20"/>
              </w:rPr>
              <w:t>ö</w:t>
            </w:r>
            <w:r>
              <w:rPr>
                <w:rFonts w:ascii="DejaVu Serif Condensed" w:hAnsi="DejaVu Serif Condensed" w:eastAsia="DejaVu Serif Condensed"/>
                <w:w w:val="72"/>
                <w:sz w:val="20"/>
              </w:rPr>
              <w:t>𝑡</w:t>
            </w:r>
            <w:r>
              <w:rPr>
                <w:rFonts w:ascii="DejaVu Serif Condensed" w:hAnsi="DejaVu Serif Condensed" w:eastAsia="DejaVu Serif Condensed"/>
                <w:spacing w:val="-23"/>
                <w:w w:val="87"/>
                <w:sz w:val="20"/>
              </w:rPr>
              <w:t>𝑟</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7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
                <w:w w:val="99"/>
                <w:sz w:val="20"/>
              </w:rPr>
              <w:t>𝐾𝑎𝑡𝑒𝑔𝑜</w:t>
            </w:r>
            <w:r>
              <w:rPr>
                <w:rFonts w:ascii="DejaVu Serif Condensed" w:hAnsi="DejaVu Serif Condensed" w:eastAsia="DejaVu Serif Condensed"/>
                <w:w w:val="99"/>
                <w:sz w:val="20"/>
              </w:rPr>
              <w:t>𝑟</w:t>
            </w:r>
            <w:r>
              <w:rPr>
                <w:rFonts w:ascii="DejaVu Serif Condensed" w:hAnsi="DejaVu Serif Condensed" w:eastAsia="DejaVu Serif Condensed"/>
                <w:w w:val="58"/>
                <w:sz w:val="20"/>
              </w:rPr>
              <w:t>𝑖</w:t>
            </w:r>
            <w:r>
              <w:rPr>
                <w:rFonts w:ascii="DejaVu Serif Condensed" w:hAnsi="DejaVu Serif Condensed" w:eastAsia="DejaVu Serif Condensed"/>
                <w:w w:val="88"/>
                <w:position w:val="-3"/>
                <w:sz w:val="14"/>
              </w:rPr>
              <w:t>𝐽</w:t>
            </w:r>
            <w:r>
              <w:rPr>
                <w:rFonts w:ascii="DejaVu Serif Condensed" w:hAnsi="DejaVu Serif Condensed" w:eastAsia="DejaVu Serif Condensed"/>
                <w:spacing w:val="-26"/>
                <w:position w:val="-3"/>
                <w:sz w:val="14"/>
              </w:rPr>
              <w:t> </w:t>
            </w:r>
            <w:r>
              <w:rPr>
                <w:rFonts w:ascii="DejaVu Serif Condensed" w:hAnsi="DejaVu Serif Condensed" w:eastAsia="DejaVu Serif Condensed"/>
                <w:w w:val="117"/>
                <w:sz w:val="20"/>
              </w:rPr>
              <w:t>)</w:t>
            </w:r>
          </w:p>
          <w:p>
            <w:pPr>
              <w:pStyle w:val="TableParagraph"/>
              <w:spacing w:before="121"/>
              <w:ind w:left="1640"/>
              <w:rPr>
                <w:rFonts w:ascii="DejaVu Serif Condensed" w:hAnsi="DejaVu Serif Condensed" w:eastAsia="DejaVu Serif Condensed"/>
                <w:sz w:val="20"/>
              </w:rPr>
            </w:pPr>
            <w:r>
              <w:rPr>
                <w:rFonts w:ascii="DejaVu Serif Condensed" w:hAnsi="DejaVu Serif Condensed" w:eastAsia="DejaVu Serif Condensed"/>
                <w:w w:val="98"/>
                <w:sz w:val="20"/>
              </w:rPr>
              <w:t>+</w:t>
            </w:r>
            <w:r>
              <w:rPr>
                <w:rFonts w:ascii="DejaVu Serif Condensed" w:hAnsi="DejaVu Serif Condensed" w:eastAsia="DejaVu Serif Condensed"/>
                <w:spacing w:val="-11"/>
                <w:sz w:val="20"/>
              </w:rPr>
              <w:t> </w:t>
            </w:r>
            <w:r>
              <w:rPr>
                <w:rFonts w:ascii="DejaVu Serif Condensed" w:hAnsi="DejaVu Serif Condensed" w:eastAsia="DejaVu Serif Condensed"/>
                <w:spacing w:val="-12"/>
                <w:w w:val="103"/>
                <w:sz w:val="20"/>
              </w:rPr>
              <w:t>𝜃</w:t>
            </w:r>
            <w:r>
              <w:rPr>
                <w:rFonts w:ascii="DejaVu Serif Condensed" w:hAnsi="DejaVu Serif Condensed" w:eastAsia="DejaVu Serif Condensed"/>
                <w:spacing w:val="8"/>
                <w:w w:val="100"/>
                <w:position w:val="-3"/>
                <w:sz w:val="14"/>
              </w:rPr>
              <w:t>4</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91"/>
                <w:sz w:val="20"/>
              </w:rPr>
              <w:t>𝑂𝑙</w:t>
            </w:r>
            <w:r>
              <w:rPr>
                <w:rFonts w:ascii="DejaVu Serif Condensed" w:hAnsi="DejaVu Serif Condensed" w:eastAsia="DejaVu Serif Condensed"/>
                <w:w w:val="105"/>
                <w:sz w:val="20"/>
              </w:rPr>
              <w:t>𝑢</w:t>
            </w:r>
            <w:r>
              <w:rPr>
                <w:rFonts w:ascii="DejaVu Serif Condensed" w:hAnsi="DejaVu Serif Condensed" w:eastAsia="DejaVu Serif Condensed"/>
                <w:w w:val="154"/>
                <w:sz w:val="20"/>
              </w:rPr>
              <w:t>𝑚</w:t>
            </w:r>
            <w:r>
              <w:rPr>
                <w:rFonts w:ascii="DejaVu Serif Condensed" w:hAnsi="DejaVu Serif Condensed" w:eastAsia="DejaVu Serif Condensed"/>
                <w:spacing w:val="-1"/>
                <w:w w:val="85"/>
                <w:sz w:val="20"/>
              </w:rPr>
              <w:t>𝑠</w:t>
            </w:r>
            <w:r>
              <w:rPr>
                <w:rFonts w:ascii="DejaVu Serif Condensed" w:hAnsi="DejaVu Serif Condensed" w:eastAsia="DejaVu Serif Condensed"/>
                <w:w w:val="105"/>
                <w:sz w:val="20"/>
              </w:rPr>
              <w:t>𝑢</w:t>
            </w:r>
            <w:r>
              <w:rPr>
                <w:rFonts w:ascii="DejaVu Serif Condensed" w:hAnsi="DejaVu Serif Condensed" w:eastAsia="DejaVu Serif Condensed"/>
                <w:spacing w:val="-5"/>
                <w:w w:val="89"/>
                <w:sz w:val="20"/>
              </w:rPr>
              <w:t>𝑧</w:t>
            </w:r>
            <w:r>
              <w:rPr>
                <w:rFonts w:ascii="DejaVu Serif Condensed" w:hAnsi="DejaVu Serif Condensed" w:eastAsia="DejaVu Serif Condensed"/>
                <w:spacing w:val="8"/>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5"/>
                <w:sz w:val="20"/>
              </w:rPr>
              <w:t> </w:t>
            </w:r>
            <w:r>
              <w:rPr>
                <w:rFonts w:ascii="DejaVu Serif Condensed" w:hAnsi="DejaVu Serif Condensed" w:eastAsia="DejaVu Serif Condensed"/>
                <w:w w:val="7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
                <w:w w:val="99"/>
                <w:sz w:val="20"/>
              </w:rPr>
              <w:t>𝐾𝑎𝑡𝑒𝑔𝑜</w:t>
            </w:r>
            <w:r>
              <w:rPr>
                <w:rFonts w:ascii="DejaVu Serif Condensed" w:hAnsi="DejaVu Serif Condensed" w:eastAsia="DejaVu Serif Condensed"/>
                <w:w w:val="99"/>
                <w:sz w:val="20"/>
              </w:rPr>
              <w:t>𝑟</w:t>
            </w:r>
            <w:r>
              <w:rPr>
                <w:rFonts w:ascii="DejaVu Serif Condensed" w:hAnsi="DejaVu Serif Condensed" w:eastAsia="DejaVu Serif Condensed"/>
                <w:w w:val="58"/>
                <w:sz w:val="20"/>
              </w:rPr>
              <w:t>𝑖</w:t>
            </w:r>
            <w:r>
              <w:rPr>
                <w:rFonts w:ascii="DejaVu Serif Condensed" w:hAnsi="DejaVu Serif Condensed" w:eastAsia="DejaVu Serif Condensed"/>
                <w:w w:val="88"/>
                <w:position w:val="-3"/>
                <w:sz w:val="14"/>
              </w:rPr>
              <w:t>𝐽</w:t>
            </w:r>
            <w:r>
              <w:rPr>
                <w:rFonts w:ascii="DejaVu Serif Condensed" w:hAnsi="DejaVu Serif Condensed" w:eastAsia="DejaVu Serif Condensed"/>
                <w:spacing w:val="-26"/>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2"/>
                <w:w w:val="108"/>
                <w:sz w:val="20"/>
              </w:rPr>
              <w:t>𝜗</w:t>
            </w:r>
            <w:r>
              <w:rPr>
                <w:rFonts w:ascii="DejaVu Serif Condensed" w:hAnsi="DejaVu Serif Condensed" w:eastAsia="DejaVu Serif Condensed"/>
                <w:spacing w:val="8"/>
                <w:w w:val="100"/>
                <w:position w:val="-3"/>
                <w:sz w:val="14"/>
              </w:rPr>
              <w:t>1</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w w:val="112"/>
                <w:sz w:val="20"/>
              </w:rPr>
              <w:t>𝐹</w:t>
            </w:r>
            <w:r>
              <w:rPr>
                <w:rFonts w:ascii="DejaVu Serif Condensed" w:hAnsi="DejaVu Serif Condensed" w:eastAsia="DejaVu Serif Condensed"/>
                <w:spacing w:val="-1"/>
                <w:w w:val="58"/>
                <w:sz w:val="20"/>
              </w:rPr>
              <w:t>𝑖</w:t>
            </w:r>
            <w:r>
              <w:rPr>
                <w:rFonts w:ascii="DejaVu Serif Condensed" w:hAnsi="DejaVu Serif Condensed" w:eastAsia="DejaVu Serif Condensed"/>
                <w:spacing w:val="-2"/>
                <w:w w:val="103"/>
                <w:sz w:val="20"/>
              </w:rPr>
              <w:t>𝑦</w:t>
            </w:r>
            <w:r>
              <w:rPr>
                <w:rFonts w:ascii="DejaVu Serif Condensed" w:hAnsi="DejaVu Serif Condensed" w:eastAsia="DejaVu Serif Condensed"/>
                <w:spacing w:val="1"/>
                <w:w w:val="102"/>
                <w:sz w:val="20"/>
              </w:rPr>
              <w:t>𝑎</w:t>
            </w:r>
            <w:r>
              <w:rPr>
                <w:rFonts w:ascii="DejaVu Serif Condensed" w:hAnsi="DejaVu Serif Condensed" w:eastAsia="DejaVu Serif Condensed"/>
                <w:spacing w:val="-2"/>
                <w:w w:val="72"/>
                <w:sz w:val="20"/>
              </w:rPr>
              <w:t>𝑡</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13"/>
                <w:w w:val="81"/>
                <w:position w:val="-3"/>
                <w:sz w:val="14"/>
              </w:rPr>
              <w:t>𝑡</w:t>
            </w:r>
            <w:r>
              <w:rPr>
                <w:rFonts w:ascii="DejaVu Serif Condensed" w:hAnsi="DejaVu Serif Condensed" w:eastAsia="DejaVu Serif Condensed"/>
                <w:w w:val="117"/>
                <w:sz w:val="20"/>
              </w:rPr>
              <w:t>)</w:t>
            </w:r>
            <w:r>
              <w:rPr>
                <w:rFonts w:ascii="DejaVu Serif Condensed" w:hAnsi="DejaVu Serif Condensed" w:eastAsia="DejaVu Serif Condensed"/>
                <w:spacing w:val="-15"/>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7"/>
                <w:w w:val="108"/>
                <w:sz w:val="20"/>
              </w:rPr>
              <w:t>𝜗</w:t>
            </w:r>
            <w:r>
              <w:rPr>
                <w:rFonts w:ascii="DejaVu Serif Condensed" w:hAnsi="DejaVu Serif Condensed" w:eastAsia="DejaVu Serif Condensed"/>
                <w:spacing w:val="8"/>
                <w:w w:val="100"/>
                <w:position w:val="-3"/>
                <w:sz w:val="14"/>
              </w:rPr>
              <w:t>2</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w w:val="90"/>
                <w:sz w:val="20"/>
              </w:rPr>
              <w:t>İ</w:t>
            </w:r>
            <w:r>
              <w:rPr>
                <w:rFonts w:ascii="DejaVu Serif Condensed" w:hAnsi="DejaVu Serif Condensed" w:eastAsia="DejaVu Serif Condensed"/>
                <w:w w:val="105"/>
                <w:sz w:val="20"/>
              </w:rPr>
              <w:t>𝑛</w:t>
            </w:r>
            <w:r>
              <w:rPr>
                <w:rFonts w:ascii="DejaVu Serif Condensed" w:hAnsi="DejaVu Serif Condensed" w:eastAsia="DejaVu Serif Condensed"/>
                <w:w w:val="82"/>
                <w:sz w:val="20"/>
              </w:rPr>
              <w:t>𝑑</w:t>
            </w:r>
            <w:r>
              <w:rPr>
                <w:rFonts w:ascii="DejaVu Serif Condensed" w:hAnsi="DejaVu Serif Condensed" w:eastAsia="DejaVu Serif Condensed"/>
                <w:spacing w:val="-1"/>
                <w:w w:val="82"/>
                <w:sz w:val="20"/>
              </w:rPr>
              <w:t>𝑖</w:t>
            </w:r>
            <w:r>
              <w:rPr>
                <w:rFonts w:ascii="DejaVu Serif Condensed" w:hAnsi="DejaVu Serif Condensed" w:eastAsia="DejaVu Serif Condensed"/>
                <w:spacing w:val="-2"/>
                <w:w w:val="87"/>
                <w:sz w:val="20"/>
              </w:rPr>
              <w:t>𝑟</w:t>
            </w:r>
            <w:r>
              <w:rPr>
                <w:rFonts w:ascii="DejaVu Serif Condensed" w:hAnsi="DejaVu Serif Condensed" w:eastAsia="DejaVu Serif Condensed"/>
                <w:spacing w:val="1"/>
                <w:w w:val="58"/>
                <w:sz w:val="20"/>
              </w:rPr>
              <w:t>𝑖</w:t>
            </w:r>
            <w:r>
              <w:rPr>
                <w:rFonts w:ascii="DejaVu Serif Condensed" w:hAnsi="DejaVu Serif Condensed" w:eastAsia="DejaVu Serif Condensed"/>
                <w:spacing w:val="1"/>
                <w:w w:val="154"/>
                <w:sz w:val="20"/>
              </w:rPr>
              <w:t>𝑚</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13"/>
                <w:w w:val="81"/>
                <w:position w:val="-3"/>
                <w:sz w:val="14"/>
              </w:rPr>
              <w:t>𝑡</w:t>
            </w:r>
            <w:r>
              <w:rPr>
                <w:rFonts w:ascii="DejaVu Serif Condensed" w:hAnsi="DejaVu Serif Condensed" w:eastAsia="DejaVu Serif Condensed"/>
                <w:w w:val="117"/>
                <w:sz w:val="20"/>
              </w:rPr>
              <w:t>)</w:t>
            </w:r>
          </w:p>
          <w:p>
            <w:pPr>
              <w:pStyle w:val="TableParagraph"/>
              <w:spacing w:line="237" w:lineRule="exact" w:before="113"/>
              <w:ind w:left="1640"/>
              <w:rPr>
                <w:rFonts w:ascii="DejaVu Serif Condensed" w:hAnsi="DejaVu Serif Condensed" w:eastAsia="DejaVu Serif Condensed"/>
                <w:sz w:val="14"/>
              </w:rPr>
            </w:pPr>
            <w:r>
              <w:rPr>
                <w:rFonts w:ascii="DejaVu Serif Condensed" w:hAnsi="DejaVu Serif Condensed" w:eastAsia="DejaVu Serif Condensed"/>
                <w:sz w:val="20"/>
              </w:rPr>
              <w:t>+ ∆𝑢</w:t>
            </w:r>
            <w:r>
              <w:rPr>
                <w:rFonts w:ascii="DejaVu Serif Condensed" w:hAnsi="DejaVu Serif Condensed" w:eastAsia="DejaVu Serif Condensed"/>
                <w:position w:val="-3"/>
                <w:sz w:val="14"/>
              </w:rPr>
              <w:t>𝑖,𝑡</w:t>
            </w:r>
          </w:p>
        </w:tc>
        <w:tc>
          <w:tcPr>
            <w:tcW w:w="595" w:type="dxa"/>
          </w:tcPr>
          <w:p>
            <w:pPr>
              <w:pStyle w:val="TableParagraph"/>
              <w:ind w:left="0"/>
              <w:rPr>
                <w:sz w:val="26"/>
              </w:rPr>
            </w:pPr>
          </w:p>
          <w:p>
            <w:pPr>
              <w:pStyle w:val="TableParagraph"/>
              <w:ind w:left="0"/>
              <w:rPr>
                <w:sz w:val="26"/>
              </w:rPr>
            </w:pPr>
          </w:p>
          <w:p>
            <w:pPr>
              <w:pStyle w:val="TableParagraph"/>
              <w:ind w:left="0"/>
              <w:rPr>
                <w:sz w:val="26"/>
              </w:rPr>
            </w:pPr>
          </w:p>
          <w:p>
            <w:pPr>
              <w:pStyle w:val="TableParagraph"/>
              <w:spacing w:before="10"/>
              <w:ind w:left="0"/>
              <w:rPr>
                <w:sz w:val="26"/>
              </w:rPr>
            </w:pPr>
          </w:p>
          <w:p>
            <w:pPr>
              <w:pStyle w:val="TableParagraph"/>
              <w:ind w:left="114"/>
              <w:rPr>
                <w:sz w:val="24"/>
              </w:rPr>
            </w:pPr>
            <w:r>
              <w:rPr>
                <w:sz w:val="24"/>
              </w:rPr>
              <w:t>(9)</w:t>
            </w:r>
          </w:p>
        </w:tc>
      </w:tr>
    </w:tbl>
    <w:p>
      <w:pPr>
        <w:pStyle w:val="BodyText"/>
        <w:ind w:left="0"/>
        <w:jc w:val="left"/>
        <w:rPr>
          <w:sz w:val="20"/>
        </w:rPr>
      </w:pPr>
    </w:p>
    <w:p>
      <w:pPr>
        <w:pStyle w:val="BodyText"/>
        <w:spacing w:before="5"/>
        <w:ind w:left="0"/>
        <w:jc w:val="left"/>
        <w:rPr>
          <w:sz w:val="20"/>
        </w:rPr>
      </w:pPr>
    </w:p>
    <w:p>
      <w:pPr>
        <w:pStyle w:val="Heading1"/>
        <w:numPr>
          <w:ilvl w:val="1"/>
          <w:numId w:val="2"/>
        </w:numPr>
        <w:tabs>
          <w:tab w:pos="1677" w:val="left" w:leader="none"/>
        </w:tabs>
        <w:spacing w:line="240" w:lineRule="auto" w:before="0" w:after="0"/>
        <w:ind w:left="1676" w:right="0" w:hanging="421"/>
        <w:jc w:val="both"/>
      </w:pPr>
      <w:r>
        <w:rPr/>
        <w:t>Bulgular</w:t>
      </w:r>
    </w:p>
    <w:p>
      <w:pPr>
        <w:pStyle w:val="BodyText"/>
        <w:spacing w:line="360" w:lineRule="auto" w:before="137"/>
        <w:ind w:right="309" w:firstLine="708"/>
      </w:pPr>
      <w:r>
        <w:rPr/>
        <w:t>Analizler gerçekleştirilmeden önce değişkenler birim kök (durağanlık) testine tabi tutulmuştur. Birim kök olması, değişkenin zaman içerisinde yaşadığı bir şokun etkisinin kalıcı olduğunu göstermektedir. Ürünün yeni versiyonun piyasaya sürülmesi, yasal düzenlemelerde gerçekleşen değişimler ve markanın bir halkla ilişkiler krizi yaşaması gibi ani</w:t>
      </w:r>
      <w:r>
        <w:rPr>
          <w:spacing w:val="-13"/>
        </w:rPr>
        <w:t> </w:t>
      </w:r>
      <w:r>
        <w:rPr/>
        <w:t>değişimler</w:t>
      </w:r>
      <w:r>
        <w:rPr>
          <w:spacing w:val="-13"/>
        </w:rPr>
        <w:t> </w:t>
      </w:r>
      <w:r>
        <w:rPr/>
        <w:t>böyle</w:t>
      </w:r>
      <w:r>
        <w:rPr>
          <w:spacing w:val="-12"/>
        </w:rPr>
        <w:t> </w:t>
      </w:r>
      <w:r>
        <w:rPr/>
        <w:t>bir</w:t>
      </w:r>
      <w:r>
        <w:rPr>
          <w:spacing w:val="-13"/>
        </w:rPr>
        <w:t> </w:t>
      </w:r>
      <w:r>
        <w:rPr/>
        <w:t>şok</w:t>
      </w:r>
      <w:r>
        <w:rPr>
          <w:spacing w:val="-13"/>
        </w:rPr>
        <w:t> </w:t>
      </w:r>
      <w:r>
        <w:rPr/>
        <w:t>etkisi</w:t>
      </w:r>
      <w:r>
        <w:rPr>
          <w:spacing w:val="-12"/>
        </w:rPr>
        <w:t> </w:t>
      </w:r>
      <w:r>
        <w:rPr/>
        <w:t>yaratabilmektedir</w:t>
      </w:r>
      <w:r>
        <w:rPr>
          <w:spacing w:val="-13"/>
        </w:rPr>
        <w:t> </w:t>
      </w:r>
      <w:r>
        <w:rPr/>
        <w:t>(Pauwels,</w:t>
      </w:r>
      <w:r>
        <w:rPr>
          <w:spacing w:val="-12"/>
        </w:rPr>
        <w:t> </w:t>
      </w:r>
      <w:r>
        <w:rPr/>
        <w:t>2017:</w:t>
      </w:r>
      <w:r>
        <w:rPr>
          <w:spacing w:val="-11"/>
        </w:rPr>
        <w:t> </w:t>
      </w:r>
      <w:r>
        <w:rPr/>
        <w:t>100).</w:t>
      </w:r>
      <w:r>
        <w:rPr>
          <w:spacing w:val="-10"/>
        </w:rPr>
        <w:t> </w:t>
      </w:r>
      <w:r>
        <w:rPr/>
        <w:t>Bir</w:t>
      </w:r>
      <w:r>
        <w:rPr>
          <w:spacing w:val="-14"/>
        </w:rPr>
        <w:t> </w:t>
      </w:r>
      <w:r>
        <w:rPr/>
        <w:t>dinamik</w:t>
      </w:r>
      <w:r>
        <w:rPr>
          <w:spacing w:val="-12"/>
        </w:rPr>
        <w:t> </w:t>
      </w:r>
      <w:r>
        <w:rPr/>
        <w:t>panel</w:t>
      </w:r>
    </w:p>
    <w:p>
      <w:pPr>
        <w:spacing w:after="0" w:line="360" w:lineRule="auto"/>
        <w:sectPr>
          <w:pgSz w:w="12240" w:h="15840"/>
          <w:pgMar w:header="718" w:footer="0" w:top="1300" w:bottom="280" w:left="1720" w:right="820"/>
        </w:sectPr>
      </w:pPr>
    </w:p>
    <w:p>
      <w:pPr>
        <w:pStyle w:val="BodyText"/>
        <w:spacing w:line="360" w:lineRule="auto" w:before="100"/>
        <w:ind w:right="316"/>
      </w:pPr>
      <w:r>
        <w:rPr/>
        <w:t>veri modelinin güvenilirliği için bağımlı değişkenin durağan olması gerekmektedir (Kübler vd., 2018).</w:t>
      </w:r>
    </w:p>
    <w:p>
      <w:pPr>
        <w:pStyle w:val="BodyText"/>
        <w:spacing w:line="360" w:lineRule="auto" w:before="1"/>
        <w:ind w:right="311" w:firstLine="708"/>
      </w:pPr>
      <w:r>
        <w:rPr/>
        <w:t>Değişkenlerde birim kök olup olmadığı, Fisher tipi panel birim kök testi ile test edilmiştir (Choi, 2001). Bu testin sıfır hipotezi tüm panellerde birim kök olduğunu belirtmektedir. Tablo 8’de yer alan test sonuçları tüm değişkenlerin durağan olduğunu göstermektedir.</w:t>
      </w:r>
    </w:p>
    <w:p>
      <w:pPr>
        <w:pStyle w:val="BodyText"/>
        <w:spacing w:before="158" w:after="35"/>
      </w:pPr>
      <w:r>
        <w:rPr>
          <w:b/>
          <w:u w:val="single"/>
        </w:rPr>
        <w:t>Tablo 8: </w:t>
      </w:r>
      <w:r>
        <w:rPr>
          <w:u w:val="single"/>
        </w:rPr>
        <w:t>Amazon.com Uygulaması için Fisher Tipi Panel Birim</w:t>
      </w:r>
      <w:r>
        <w:rPr/>
        <w:t> Kök Testi Sonuçları</w:t>
      </w:r>
    </w:p>
    <w:tbl>
      <w:tblPr>
        <w:tblW w:w="0" w:type="auto"/>
        <w:jc w:val="left"/>
        <w:tblInd w:w="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7"/>
        <w:gridCol w:w="2492"/>
        <w:gridCol w:w="1657"/>
      </w:tblGrid>
      <w:tr>
        <w:trPr>
          <w:trHeight w:val="266" w:hRule="atLeast"/>
        </w:trPr>
        <w:tc>
          <w:tcPr>
            <w:tcW w:w="2097" w:type="dxa"/>
            <w:tcBorders>
              <w:bottom w:val="single" w:sz="4" w:space="0" w:color="000000"/>
            </w:tcBorders>
          </w:tcPr>
          <w:p>
            <w:pPr>
              <w:pStyle w:val="TableParagraph"/>
              <w:spacing w:line="246" w:lineRule="exact"/>
              <w:ind w:left="76"/>
              <w:rPr>
                <w:b/>
                <w:sz w:val="24"/>
              </w:rPr>
            </w:pPr>
            <w:r>
              <w:rPr>
                <w:b/>
                <w:sz w:val="24"/>
              </w:rPr>
              <w:t>Değişkenler</w:t>
            </w:r>
          </w:p>
        </w:tc>
        <w:tc>
          <w:tcPr>
            <w:tcW w:w="2492" w:type="dxa"/>
            <w:tcBorders>
              <w:bottom w:val="single" w:sz="4" w:space="0" w:color="000000"/>
            </w:tcBorders>
          </w:tcPr>
          <w:p>
            <w:pPr>
              <w:pStyle w:val="TableParagraph"/>
              <w:spacing w:line="246" w:lineRule="exact"/>
              <w:ind w:left="248"/>
              <w:rPr>
                <w:b/>
                <w:sz w:val="24"/>
              </w:rPr>
            </w:pPr>
            <w:r>
              <w:rPr>
                <w:b/>
                <w:sz w:val="24"/>
              </w:rPr>
              <w:t>Ki-kare istatistiği</w:t>
            </w:r>
          </w:p>
        </w:tc>
        <w:tc>
          <w:tcPr>
            <w:tcW w:w="1657" w:type="dxa"/>
            <w:tcBorders>
              <w:bottom w:val="single" w:sz="4" w:space="0" w:color="000000"/>
            </w:tcBorders>
          </w:tcPr>
          <w:p>
            <w:pPr>
              <w:pStyle w:val="TableParagraph"/>
              <w:spacing w:line="246" w:lineRule="exact"/>
              <w:ind w:left="452"/>
              <w:rPr>
                <w:b/>
                <w:sz w:val="24"/>
              </w:rPr>
            </w:pPr>
            <w:r>
              <w:rPr>
                <w:b/>
                <w:sz w:val="24"/>
              </w:rPr>
              <w:t>p değeri</w:t>
            </w:r>
          </w:p>
        </w:tc>
      </w:tr>
      <w:tr>
        <w:trPr>
          <w:trHeight w:val="301" w:hRule="atLeast"/>
        </w:trPr>
        <w:tc>
          <w:tcPr>
            <w:tcW w:w="2097" w:type="dxa"/>
            <w:tcBorders>
              <w:top w:val="single" w:sz="4" w:space="0" w:color="000000"/>
            </w:tcBorders>
          </w:tcPr>
          <w:p>
            <w:pPr>
              <w:pStyle w:val="TableParagraph"/>
              <w:spacing w:line="268" w:lineRule="exact" w:before="13"/>
              <w:ind w:left="76"/>
              <w:rPr>
                <w:sz w:val="24"/>
              </w:rPr>
            </w:pPr>
            <w:r>
              <w:rPr>
                <w:sz w:val="24"/>
              </w:rPr>
              <w:t>ln(Sıralama)</w:t>
            </w:r>
          </w:p>
        </w:tc>
        <w:tc>
          <w:tcPr>
            <w:tcW w:w="2492" w:type="dxa"/>
            <w:tcBorders>
              <w:top w:val="single" w:sz="4" w:space="0" w:color="000000"/>
            </w:tcBorders>
          </w:tcPr>
          <w:p>
            <w:pPr>
              <w:pStyle w:val="TableParagraph"/>
              <w:spacing w:line="268" w:lineRule="exact" w:before="13"/>
              <w:ind w:left="248"/>
              <w:rPr>
                <w:sz w:val="24"/>
              </w:rPr>
            </w:pPr>
            <w:r>
              <w:rPr>
                <w:sz w:val="24"/>
              </w:rPr>
              <w:t>1380,36</w:t>
            </w:r>
          </w:p>
        </w:tc>
        <w:tc>
          <w:tcPr>
            <w:tcW w:w="1657" w:type="dxa"/>
            <w:tcBorders>
              <w:top w:val="single" w:sz="4" w:space="0" w:color="000000"/>
            </w:tcBorders>
          </w:tcPr>
          <w:p>
            <w:pPr>
              <w:pStyle w:val="TableParagraph"/>
              <w:spacing w:line="268" w:lineRule="exact" w:before="13"/>
              <w:ind w:left="452"/>
              <w:rPr>
                <w:sz w:val="24"/>
              </w:rPr>
            </w:pPr>
            <w:r>
              <w:rPr>
                <w:sz w:val="24"/>
              </w:rPr>
              <w:t>,0000</w:t>
            </w:r>
          </w:p>
        </w:tc>
      </w:tr>
      <w:tr>
        <w:trPr>
          <w:trHeight w:val="290" w:hRule="atLeast"/>
        </w:trPr>
        <w:tc>
          <w:tcPr>
            <w:tcW w:w="2097" w:type="dxa"/>
          </w:tcPr>
          <w:p>
            <w:pPr>
              <w:pStyle w:val="TableParagraph"/>
              <w:spacing w:line="269" w:lineRule="exact" w:before="2"/>
              <w:ind w:left="76"/>
              <w:rPr>
                <w:sz w:val="24"/>
              </w:rPr>
            </w:pPr>
            <w:r>
              <w:rPr>
                <w:sz w:val="24"/>
              </w:rPr>
              <w:t>ln(ToplamYorum)</w:t>
            </w:r>
          </w:p>
        </w:tc>
        <w:tc>
          <w:tcPr>
            <w:tcW w:w="2492" w:type="dxa"/>
          </w:tcPr>
          <w:p>
            <w:pPr>
              <w:pStyle w:val="TableParagraph"/>
              <w:spacing w:line="269" w:lineRule="exact" w:before="2"/>
              <w:ind w:left="248"/>
              <w:rPr>
                <w:sz w:val="24"/>
              </w:rPr>
            </w:pPr>
            <w:r>
              <w:rPr>
                <w:sz w:val="24"/>
              </w:rPr>
              <w:t>1410,61</w:t>
            </w:r>
          </w:p>
        </w:tc>
        <w:tc>
          <w:tcPr>
            <w:tcW w:w="1657" w:type="dxa"/>
          </w:tcPr>
          <w:p>
            <w:pPr>
              <w:pStyle w:val="TableParagraph"/>
              <w:spacing w:line="269" w:lineRule="exact" w:before="2"/>
              <w:ind w:left="452"/>
              <w:rPr>
                <w:sz w:val="24"/>
              </w:rPr>
            </w:pPr>
            <w:r>
              <w:rPr>
                <w:sz w:val="24"/>
              </w:rPr>
              <w:t>,0000</w:t>
            </w:r>
          </w:p>
        </w:tc>
      </w:tr>
      <w:tr>
        <w:trPr>
          <w:trHeight w:val="290" w:hRule="atLeast"/>
        </w:trPr>
        <w:tc>
          <w:tcPr>
            <w:tcW w:w="2097" w:type="dxa"/>
          </w:tcPr>
          <w:p>
            <w:pPr>
              <w:pStyle w:val="TableParagraph"/>
              <w:spacing w:line="268" w:lineRule="exact" w:before="2"/>
              <w:ind w:left="76"/>
              <w:rPr>
                <w:sz w:val="24"/>
              </w:rPr>
            </w:pPr>
            <w:r>
              <w:rPr>
                <w:sz w:val="24"/>
              </w:rPr>
              <w:t>ln(Ort.Puan)</w:t>
            </w:r>
          </w:p>
        </w:tc>
        <w:tc>
          <w:tcPr>
            <w:tcW w:w="2492" w:type="dxa"/>
          </w:tcPr>
          <w:p>
            <w:pPr>
              <w:pStyle w:val="TableParagraph"/>
              <w:spacing w:line="268" w:lineRule="exact" w:before="2"/>
              <w:ind w:left="248"/>
              <w:rPr>
                <w:sz w:val="24"/>
              </w:rPr>
            </w:pPr>
            <w:r>
              <w:rPr>
                <w:sz w:val="24"/>
              </w:rPr>
              <w:t>1242,64</w:t>
            </w:r>
          </w:p>
        </w:tc>
        <w:tc>
          <w:tcPr>
            <w:tcW w:w="1657" w:type="dxa"/>
          </w:tcPr>
          <w:p>
            <w:pPr>
              <w:pStyle w:val="TableParagraph"/>
              <w:spacing w:line="268" w:lineRule="exact" w:before="2"/>
              <w:ind w:left="452"/>
              <w:rPr>
                <w:sz w:val="24"/>
              </w:rPr>
            </w:pPr>
            <w:r>
              <w:rPr>
                <w:sz w:val="24"/>
              </w:rPr>
              <w:t>,0000</w:t>
            </w:r>
          </w:p>
        </w:tc>
      </w:tr>
      <w:tr>
        <w:trPr>
          <w:trHeight w:val="290" w:hRule="atLeast"/>
        </w:trPr>
        <w:tc>
          <w:tcPr>
            <w:tcW w:w="2097" w:type="dxa"/>
          </w:tcPr>
          <w:p>
            <w:pPr>
              <w:pStyle w:val="TableParagraph"/>
              <w:spacing w:line="268" w:lineRule="exact" w:before="2"/>
              <w:ind w:left="76"/>
              <w:rPr>
                <w:sz w:val="24"/>
              </w:rPr>
            </w:pPr>
            <w:r>
              <w:rPr>
                <w:sz w:val="24"/>
              </w:rPr>
              <w:t>ln(Olumsuz)</w:t>
            </w:r>
          </w:p>
        </w:tc>
        <w:tc>
          <w:tcPr>
            <w:tcW w:w="2492" w:type="dxa"/>
          </w:tcPr>
          <w:p>
            <w:pPr>
              <w:pStyle w:val="TableParagraph"/>
              <w:spacing w:line="268" w:lineRule="exact" w:before="2"/>
              <w:ind w:left="248"/>
              <w:rPr>
                <w:sz w:val="24"/>
              </w:rPr>
            </w:pPr>
            <w:r>
              <w:rPr>
                <w:sz w:val="24"/>
              </w:rPr>
              <w:t>1326,17</w:t>
            </w:r>
          </w:p>
        </w:tc>
        <w:tc>
          <w:tcPr>
            <w:tcW w:w="1657" w:type="dxa"/>
          </w:tcPr>
          <w:p>
            <w:pPr>
              <w:pStyle w:val="TableParagraph"/>
              <w:spacing w:line="268" w:lineRule="exact" w:before="2"/>
              <w:ind w:left="452"/>
              <w:rPr>
                <w:sz w:val="24"/>
              </w:rPr>
            </w:pPr>
            <w:r>
              <w:rPr>
                <w:sz w:val="24"/>
              </w:rPr>
              <w:t>,0000</w:t>
            </w:r>
          </w:p>
        </w:tc>
      </w:tr>
      <w:tr>
        <w:trPr>
          <w:trHeight w:val="290" w:hRule="atLeast"/>
        </w:trPr>
        <w:tc>
          <w:tcPr>
            <w:tcW w:w="2097" w:type="dxa"/>
          </w:tcPr>
          <w:p>
            <w:pPr>
              <w:pStyle w:val="TableParagraph"/>
              <w:spacing w:line="268" w:lineRule="exact" w:before="2"/>
              <w:ind w:left="76"/>
              <w:rPr>
                <w:sz w:val="24"/>
              </w:rPr>
            </w:pPr>
            <w:r>
              <w:rPr>
                <w:sz w:val="24"/>
              </w:rPr>
              <w:t>ln(Nötr)</w:t>
            </w:r>
          </w:p>
        </w:tc>
        <w:tc>
          <w:tcPr>
            <w:tcW w:w="2492" w:type="dxa"/>
          </w:tcPr>
          <w:p>
            <w:pPr>
              <w:pStyle w:val="TableParagraph"/>
              <w:spacing w:line="268" w:lineRule="exact" w:before="2"/>
              <w:ind w:left="248"/>
              <w:rPr>
                <w:sz w:val="24"/>
              </w:rPr>
            </w:pPr>
            <w:r>
              <w:rPr>
                <w:sz w:val="24"/>
              </w:rPr>
              <w:t>1308,43</w:t>
            </w:r>
          </w:p>
        </w:tc>
        <w:tc>
          <w:tcPr>
            <w:tcW w:w="1657" w:type="dxa"/>
          </w:tcPr>
          <w:p>
            <w:pPr>
              <w:pStyle w:val="TableParagraph"/>
              <w:spacing w:line="268" w:lineRule="exact" w:before="2"/>
              <w:ind w:left="452"/>
              <w:rPr>
                <w:sz w:val="24"/>
              </w:rPr>
            </w:pPr>
            <w:r>
              <w:rPr>
                <w:sz w:val="24"/>
              </w:rPr>
              <w:t>,0000</w:t>
            </w:r>
          </w:p>
        </w:tc>
      </w:tr>
      <w:tr>
        <w:trPr>
          <w:trHeight w:val="300" w:hRule="atLeast"/>
        </w:trPr>
        <w:tc>
          <w:tcPr>
            <w:tcW w:w="2097" w:type="dxa"/>
          </w:tcPr>
          <w:p>
            <w:pPr>
              <w:pStyle w:val="TableParagraph"/>
              <w:spacing w:before="2"/>
              <w:ind w:left="76"/>
              <w:rPr>
                <w:sz w:val="24"/>
              </w:rPr>
            </w:pPr>
            <w:r>
              <w:rPr>
                <w:sz w:val="24"/>
              </w:rPr>
              <w:t>ln(Olumlu)</w:t>
            </w:r>
          </w:p>
        </w:tc>
        <w:tc>
          <w:tcPr>
            <w:tcW w:w="2492" w:type="dxa"/>
          </w:tcPr>
          <w:p>
            <w:pPr>
              <w:pStyle w:val="TableParagraph"/>
              <w:spacing w:before="2"/>
              <w:ind w:left="248"/>
              <w:rPr>
                <w:sz w:val="24"/>
              </w:rPr>
            </w:pPr>
            <w:r>
              <w:rPr>
                <w:sz w:val="24"/>
              </w:rPr>
              <w:t>1291,44</w:t>
            </w:r>
          </w:p>
        </w:tc>
        <w:tc>
          <w:tcPr>
            <w:tcW w:w="1657" w:type="dxa"/>
          </w:tcPr>
          <w:p>
            <w:pPr>
              <w:pStyle w:val="TableParagraph"/>
              <w:spacing w:before="2"/>
              <w:ind w:left="452"/>
              <w:rPr>
                <w:sz w:val="24"/>
              </w:rPr>
            </w:pPr>
            <w:r>
              <w:rPr>
                <w:sz w:val="24"/>
              </w:rPr>
              <w:t>,0000</w:t>
            </w:r>
          </w:p>
        </w:tc>
      </w:tr>
      <w:tr>
        <w:trPr>
          <w:trHeight w:val="309" w:hRule="atLeast"/>
        </w:trPr>
        <w:tc>
          <w:tcPr>
            <w:tcW w:w="2097" w:type="dxa"/>
          </w:tcPr>
          <w:p>
            <w:pPr>
              <w:pStyle w:val="TableParagraph"/>
              <w:spacing w:before="11"/>
              <w:ind w:left="76"/>
              <w:rPr>
                <w:sz w:val="24"/>
              </w:rPr>
            </w:pPr>
            <w:r>
              <w:rPr>
                <w:sz w:val="24"/>
              </w:rPr>
              <w:t>ln(Fiyat)</w:t>
            </w:r>
          </w:p>
        </w:tc>
        <w:tc>
          <w:tcPr>
            <w:tcW w:w="2492" w:type="dxa"/>
          </w:tcPr>
          <w:p>
            <w:pPr>
              <w:pStyle w:val="TableParagraph"/>
              <w:spacing w:before="11"/>
              <w:ind w:left="248"/>
              <w:rPr>
                <w:sz w:val="24"/>
              </w:rPr>
            </w:pPr>
            <w:r>
              <w:rPr>
                <w:sz w:val="24"/>
              </w:rPr>
              <w:t>1187,35</w:t>
            </w:r>
          </w:p>
        </w:tc>
        <w:tc>
          <w:tcPr>
            <w:tcW w:w="1657" w:type="dxa"/>
          </w:tcPr>
          <w:p>
            <w:pPr>
              <w:pStyle w:val="TableParagraph"/>
              <w:spacing w:before="11"/>
              <w:ind w:left="452"/>
              <w:rPr>
                <w:sz w:val="24"/>
              </w:rPr>
            </w:pPr>
            <w:r>
              <w:rPr>
                <w:sz w:val="24"/>
              </w:rPr>
              <w:t>,0000</w:t>
            </w:r>
          </w:p>
        </w:tc>
      </w:tr>
      <w:tr>
        <w:trPr>
          <w:trHeight w:val="288" w:hRule="atLeast"/>
        </w:trPr>
        <w:tc>
          <w:tcPr>
            <w:tcW w:w="2097" w:type="dxa"/>
            <w:tcBorders>
              <w:bottom w:val="single" w:sz="4" w:space="0" w:color="000000"/>
            </w:tcBorders>
          </w:tcPr>
          <w:p>
            <w:pPr>
              <w:pStyle w:val="TableParagraph"/>
              <w:spacing w:line="257" w:lineRule="exact" w:before="11"/>
              <w:ind w:left="76"/>
              <w:rPr>
                <w:sz w:val="24"/>
              </w:rPr>
            </w:pPr>
            <w:r>
              <w:rPr>
                <w:sz w:val="24"/>
              </w:rPr>
              <w:t>ln(İndirim)</w:t>
            </w:r>
          </w:p>
        </w:tc>
        <w:tc>
          <w:tcPr>
            <w:tcW w:w="2492" w:type="dxa"/>
            <w:tcBorders>
              <w:bottom w:val="single" w:sz="4" w:space="0" w:color="000000"/>
            </w:tcBorders>
          </w:tcPr>
          <w:p>
            <w:pPr>
              <w:pStyle w:val="TableParagraph"/>
              <w:spacing w:line="257" w:lineRule="exact" w:before="11"/>
              <w:ind w:left="248"/>
              <w:rPr>
                <w:sz w:val="24"/>
              </w:rPr>
            </w:pPr>
            <w:r>
              <w:rPr>
                <w:sz w:val="24"/>
              </w:rPr>
              <w:t>1049,92</w:t>
            </w:r>
          </w:p>
        </w:tc>
        <w:tc>
          <w:tcPr>
            <w:tcW w:w="1657" w:type="dxa"/>
            <w:tcBorders>
              <w:bottom w:val="single" w:sz="4" w:space="0" w:color="000000"/>
            </w:tcBorders>
          </w:tcPr>
          <w:p>
            <w:pPr>
              <w:pStyle w:val="TableParagraph"/>
              <w:spacing w:line="257" w:lineRule="exact" w:before="11"/>
              <w:ind w:left="452"/>
              <w:rPr>
                <w:sz w:val="24"/>
              </w:rPr>
            </w:pPr>
            <w:r>
              <w:rPr>
                <w:sz w:val="24"/>
              </w:rPr>
              <w:t>,0000</w:t>
            </w:r>
          </w:p>
        </w:tc>
      </w:tr>
    </w:tbl>
    <w:p>
      <w:pPr>
        <w:pStyle w:val="BodyText"/>
        <w:ind w:left="0"/>
        <w:jc w:val="left"/>
        <w:rPr>
          <w:sz w:val="36"/>
        </w:rPr>
      </w:pPr>
    </w:p>
    <w:p>
      <w:pPr>
        <w:pStyle w:val="BodyText"/>
        <w:spacing w:line="360" w:lineRule="auto"/>
        <w:ind w:right="307" w:firstLine="708"/>
      </w:pPr>
      <w:r>
        <w:rPr/>
        <w:t>Öncelikle,</w:t>
      </w:r>
      <w:r>
        <w:rPr>
          <w:spacing w:val="-17"/>
        </w:rPr>
        <w:t> </w:t>
      </w:r>
      <w:r>
        <w:rPr/>
        <w:t>ürün</w:t>
      </w:r>
      <w:r>
        <w:rPr>
          <w:spacing w:val="-18"/>
        </w:rPr>
        <w:t> </w:t>
      </w:r>
      <w:r>
        <w:rPr/>
        <w:t>kategorilerini</w:t>
      </w:r>
      <w:r>
        <w:rPr>
          <w:spacing w:val="-16"/>
        </w:rPr>
        <w:t> </w:t>
      </w:r>
      <w:r>
        <w:rPr/>
        <w:t>dahil</w:t>
      </w:r>
      <w:r>
        <w:rPr>
          <w:spacing w:val="-16"/>
        </w:rPr>
        <w:t> </w:t>
      </w:r>
      <w:r>
        <w:rPr/>
        <w:t>etmeden</w:t>
      </w:r>
      <w:r>
        <w:rPr>
          <w:spacing w:val="-16"/>
        </w:rPr>
        <w:t> </w:t>
      </w:r>
      <w:r>
        <w:rPr/>
        <w:t>yorum</w:t>
      </w:r>
      <w:r>
        <w:rPr>
          <w:spacing w:val="-16"/>
        </w:rPr>
        <w:t> </w:t>
      </w:r>
      <w:r>
        <w:rPr/>
        <w:t>hacim</w:t>
      </w:r>
      <w:r>
        <w:rPr>
          <w:spacing w:val="-16"/>
        </w:rPr>
        <w:t> </w:t>
      </w:r>
      <w:r>
        <w:rPr/>
        <w:t>ve</w:t>
      </w:r>
      <w:r>
        <w:rPr>
          <w:spacing w:val="-17"/>
        </w:rPr>
        <w:t> </w:t>
      </w:r>
      <w:r>
        <w:rPr/>
        <w:t>değerlik</w:t>
      </w:r>
      <w:r>
        <w:rPr>
          <w:spacing w:val="-17"/>
        </w:rPr>
        <w:t> </w:t>
      </w:r>
      <w:r>
        <w:rPr/>
        <w:t>değişkenlerinin satışlar üzerine etkisini görmek için Denklem (6) ve Denklem (7), Kripfganz (2019)’un doğrusal dinamik panel veri setleri için geliştirdiği GMM tahmincisi </w:t>
      </w:r>
      <w:r>
        <w:rPr>
          <w:i/>
        </w:rPr>
        <w:t>xtdpdgmm </w:t>
      </w:r>
      <w:r>
        <w:rPr/>
        <w:t>ile</w:t>
      </w:r>
      <w:r>
        <w:rPr>
          <w:spacing w:val="-35"/>
        </w:rPr>
        <w:t> </w:t>
      </w:r>
      <w:r>
        <w:rPr/>
        <w:t>Stata</w:t>
      </w:r>
      <w:r>
        <w:rPr>
          <w:vertAlign w:val="superscript"/>
        </w:rPr>
        <w:t>4</w:t>
      </w:r>
      <w:r>
        <w:rPr>
          <w:vertAlign w:val="baseline"/>
        </w:rPr>
        <w:t>’da tahmin edilmiştir.</w:t>
      </w:r>
    </w:p>
    <w:p>
      <w:pPr>
        <w:pStyle w:val="BodyText"/>
        <w:spacing w:line="360" w:lineRule="auto"/>
        <w:ind w:right="310" w:firstLine="708"/>
      </w:pPr>
      <w:r>
        <w:rPr/>
        <w:t>Her</w:t>
      </w:r>
      <w:r>
        <w:rPr>
          <w:spacing w:val="-18"/>
        </w:rPr>
        <w:t> </w:t>
      </w:r>
      <w:r>
        <w:rPr/>
        <w:t>iki</w:t>
      </w:r>
      <w:r>
        <w:rPr>
          <w:spacing w:val="-15"/>
        </w:rPr>
        <w:t> </w:t>
      </w:r>
      <w:r>
        <w:rPr/>
        <w:t>denklem</w:t>
      </w:r>
      <w:r>
        <w:rPr>
          <w:spacing w:val="-15"/>
        </w:rPr>
        <w:t> </w:t>
      </w:r>
      <w:r>
        <w:rPr/>
        <w:t>için</w:t>
      </w:r>
      <w:r>
        <w:rPr>
          <w:spacing w:val="-16"/>
        </w:rPr>
        <w:t> </w:t>
      </w:r>
      <w:r>
        <w:rPr/>
        <w:t>yapılan</w:t>
      </w:r>
      <w:r>
        <w:rPr>
          <w:spacing w:val="-16"/>
        </w:rPr>
        <w:t> </w:t>
      </w:r>
      <w:r>
        <w:rPr/>
        <w:t>Hansen</w:t>
      </w:r>
      <w:r>
        <w:rPr>
          <w:spacing w:val="-16"/>
        </w:rPr>
        <w:t> </w:t>
      </w:r>
      <w:r>
        <w:rPr/>
        <w:t>testi</w:t>
      </w:r>
      <w:r>
        <w:rPr>
          <w:spacing w:val="-15"/>
        </w:rPr>
        <w:t> </w:t>
      </w:r>
      <w:r>
        <w:rPr/>
        <w:t>sonuçlarına</w:t>
      </w:r>
      <w:r>
        <w:rPr>
          <w:spacing w:val="-18"/>
        </w:rPr>
        <w:t> </w:t>
      </w:r>
      <w:r>
        <w:rPr/>
        <w:t>göre</w:t>
      </w:r>
      <w:r>
        <w:rPr>
          <w:spacing w:val="-18"/>
        </w:rPr>
        <w:t> </w:t>
      </w:r>
      <w:r>
        <w:rPr/>
        <w:t>kullanılan</w:t>
      </w:r>
      <w:r>
        <w:rPr>
          <w:spacing w:val="-13"/>
        </w:rPr>
        <w:t> </w:t>
      </w:r>
      <w:r>
        <w:rPr/>
        <w:t>araç</w:t>
      </w:r>
      <w:r>
        <w:rPr>
          <w:spacing w:val="-17"/>
        </w:rPr>
        <w:t> </w:t>
      </w:r>
      <w:r>
        <w:rPr/>
        <w:t>değişkenler geçerlidir</w:t>
      </w:r>
      <w:r>
        <w:rPr>
          <w:spacing w:val="-15"/>
        </w:rPr>
        <w:t> </w:t>
      </w:r>
      <w:r>
        <w:rPr/>
        <w:t>(bk.</w:t>
      </w:r>
      <w:r>
        <w:rPr>
          <w:spacing w:val="-16"/>
        </w:rPr>
        <w:t> </w:t>
      </w:r>
      <w:r>
        <w:rPr/>
        <w:t>Tablo</w:t>
      </w:r>
      <w:r>
        <w:rPr>
          <w:spacing w:val="-16"/>
        </w:rPr>
        <w:t> </w:t>
      </w:r>
      <w:r>
        <w:rPr/>
        <w:t>9).</w:t>
      </w:r>
      <w:r>
        <w:rPr>
          <w:spacing w:val="-15"/>
        </w:rPr>
        <w:t> </w:t>
      </w:r>
      <w:r>
        <w:rPr/>
        <w:t>Ayrıca,</w:t>
      </w:r>
      <w:r>
        <w:rPr>
          <w:spacing w:val="-16"/>
        </w:rPr>
        <w:t> </w:t>
      </w:r>
      <w:r>
        <w:rPr/>
        <w:t>otokorelasyon</w:t>
      </w:r>
      <w:r>
        <w:rPr>
          <w:spacing w:val="-16"/>
        </w:rPr>
        <w:t> </w:t>
      </w:r>
      <w:r>
        <w:rPr/>
        <w:t>testi</w:t>
      </w:r>
      <w:r>
        <w:rPr>
          <w:spacing w:val="-16"/>
        </w:rPr>
        <w:t> </w:t>
      </w:r>
      <w:r>
        <w:rPr/>
        <w:t>sonuçlarına</w:t>
      </w:r>
      <w:r>
        <w:rPr>
          <w:spacing w:val="-16"/>
        </w:rPr>
        <w:t> </w:t>
      </w:r>
      <w:r>
        <w:rPr/>
        <w:t>göre,</w:t>
      </w:r>
      <w:r>
        <w:rPr>
          <w:spacing w:val="-17"/>
        </w:rPr>
        <w:t> </w:t>
      </w:r>
      <w:r>
        <w:rPr/>
        <w:t>beklenildiği</w:t>
      </w:r>
      <w:r>
        <w:rPr>
          <w:spacing w:val="-15"/>
        </w:rPr>
        <w:t> </w:t>
      </w:r>
      <w:r>
        <w:rPr/>
        <w:t>gibi</w:t>
      </w:r>
      <w:r>
        <w:rPr>
          <w:spacing w:val="-16"/>
        </w:rPr>
        <w:t> </w:t>
      </w:r>
      <w:r>
        <w:rPr/>
        <w:t>birinci dereceden otokorelasyon tespit edilmiş ancak ikinci dereceden otokorelasyon olmadığı görülmüştür. Wald ki-kare testi sonucu da modellerin bütün olarak anlamlı olduğunu göstermektedir.</w:t>
      </w:r>
    </w:p>
    <w:p>
      <w:pPr>
        <w:pStyle w:val="BodyText"/>
        <w:spacing w:line="360" w:lineRule="auto"/>
        <w:ind w:right="311" w:firstLine="708"/>
      </w:pPr>
      <w:r>
        <w:rPr/>
        <w:t>Tablo 9’da yer alan sonuçlara göre, bağımlı değişkenin gecikmelilerinin bağımlı değişkene etkisinin pozitif ve istatistiksel olarak anlamlı olduğu görülmektedir. Etki büyüklüğü</w:t>
      </w:r>
      <w:r>
        <w:rPr>
          <w:spacing w:val="-14"/>
        </w:rPr>
        <w:t> </w:t>
      </w:r>
      <w:r>
        <w:rPr/>
        <w:t>gecikme</w:t>
      </w:r>
      <w:r>
        <w:rPr>
          <w:spacing w:val="-15"/>
        </w:rPr>
        <w:t> </w:t>
      </w:r>
      <w:r>
        <w:rPr/>
        <w:t>büyüdükçe</w:t>
      </w:r>
      <w:r>
        <w:rPr>
          <w:spacing w:val="-15"/>
        </w:rPr>
        <w:t> </w:t>
      </w:r>
      <w:r>
        <w:rPr/>
        <w:t>küçülmektedir.</w:t>
      </w:r>
      <w:r>
        <w:rPr>
          <w:spacing w:val="-14"/>
        </w:rPr>
        <w:t> </w:t>
      </w:r>
      <w:r>
        <w:rPr/>
        <w:t>Buna</w:t>
      </w:r>
      <w:r>
        <w:rPr>
          <w:spacing w:val="-15"/>
        </w:rPr>
        <w:t> </w:t>
      </w:r>
      <w:r>
        <w:rPr/>
        <w:t>göre,</w:t>
      </w:r>
      <w:r>
        <w:rPr>
          <w:spacing w:val="-14"/>
        </w:rPr>
        <w:t> </w:t>
      </w:r>
      <w:r>
        <w:rPr/>
        <w:t>satışların</w:t>
      </w:r>
      <w:r>
        <w:rPr>
          <w:spacing w:val="-14"/>
        </w:rPr>
        <w:t> </w:t>
      </w:r>
      <w:r>
        <w:rPr/>
        <w:t>yakın</w:t>
      </w:r>
      <w:r>
        <w:rPr>
          <w:spacing w:val="-14"/>
        </w:rPr>
        <w:t> </w:t>
      </w:r>
      <w:r>
        <w:rPr/>
        <w:t>dönem</w:t>
      </w:r>
      <w:r>
        <w:rPr>
          <w:spacing w:val="-14"/>
        </w:rPr>
        <w:t> </w:t>
      </w:r>
      <w:r>
        <w:rPr/>
        <w:t>satışlardan daha</w:t>
      </w:r>
      <w:r>
        <w:rPr>
          <w:spacing w:val="-13"/>
        </w:rPr>
        <w:t> </w:t>
      </w:r>
      <w:r>
        <w:rPr/>
        <w:t>fazla</w:t>
      </w:r>
      <w:r>
        <w:rPr>
          <w:spacing w:val="-13"/>
        </w:rPr>
        <w:t> </w:t>
      </w:r>
      <w:r>
        <w:rPr/>
        <w:t>etkilendiği</w:t>
      </w:r>
      <w:r>
        <w:rPr>
          <w:spacing w:val="-11"/>
        </w:rPr>
        <w:t> </w:t>
      </w:r>
      <w:r>
        <w:rPr/>
        <w:t>ve</w:t>
      </w:r>
      <w:r>
        <w:rPr>
          <w:spacing w:val="-15"/>
        </w:rPr>
        <w:t> </w:t>
      </w:r>
      <w:r>
        <w:rPr/>
        <w:t>aradan</w:t>
      </w:r>
      <w:r>
        <w:rPr>
          <w:spacing w:val="-12"/>
        </w:rPr>
        <w:t> </w:t>
      </w:r>
      <w:r>
        <w:rPr/>
        <w:t>geçen</w:t>
      </w:r>
      <w:r>
        <w:rPr>
          <w:spacing w:val="-11"/>
        </w:rPr>
        <w:t> </w:t>
      </w:r>
      <w:r>
        <w:rPr/>
        <w:t>süre</w:t>
      </w:r>
      <w:r>
        <w:rPr>
          <w:spacing w:val="-14"/>
        </w:rPr>
        <w:t> </w:t>
      </w:r>
      <w:r>
        <w:rPr/>
        <w:t>arttıkça</w:t>
      </w:r>
      <w:r>
        <w:rPr>
          <w:spacing w:val="-12"/>
        </w:rPr>
        <w:t> </w:t>
      </w:r>
      <w:r>
        <w:rPr/>
        <w:t>geçmiş</w:t>
      </w:r>
      <w:r>
        <w:rPr>
          <w:spacing w:val="-12"/>
        </w:rPr>
        <w:t> </w:t>
      </w:r>
      <w:r>
        <w:rPr/>
        <w:t>dönem</w:t>
      </w:r>
      <w:r>
        <w:rPr>
          <w:spacing w:val="-12"/>
        </w:rPr>
        <w:t> </w:t>
      </w:r>
      <w:r>
        <w:rPr/>
        <w:t>satışlarına</w:t>
      </w:r>
      <w:r>
        <w:rPr>
          <w:spacing w:val="-11"/>
        </w:rPr>
        <w:t> </w:t>
      </w:r>
      <w:r>
        <w:rPr/>
        <w:t>daha</w:t>
      </w:r>
      <w:r>
        <w:rPr>
          <w:spacing w:val="-13"/>
        </w:rPr>
        <w:t> </w:t>
      </w:r>
      <w:r>
        <w:rPr/>
        <w:t>az</w:t>
      </w:r>
      <w:r>
        <w:rPr>
          <w:spacing w:val="-13"/>
        </w:rPr>
        <w:t> </w:t>
      </w:r>
      <w:r>
        <w:rPr/>
        <w:t>bağımlı olduğu</w:t>
      </w:r>
      <w:r>
        <w:rPr>
          <w:spacing w:val="-1"/>
        </w:rPr>
        <w:t> </w:t>
      </w:r>
      <w:r>
        <w:rPr/>
        <w:t>söylenebilir.</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5"/>
        <w:ind w:left="0"/>
        <w:jc w:val="left"/>
        <w:rPr>
          <w:sz w:val="10"/>
        </w:rPr>
      </w:pPr>
      <w:r>
        <w:rPr/>
        <w:pict>
          <v:rect style="position:absolute;margin-left:113.419998pt;margin-top:7.995267pt;width:144.020pt;height:.72003pt;mso-position-horizontal-relative:page;mso-position-vertical-relative:paragraph;z-index:-15708160;mso-wrap-distance-left:0;mso-wrap-distance-right:0" filled="true" fillcolor="#000000" stroked="false">
            <v:fill type="solid"/>
            <w10:wrap type="topAndBottom"/>
          </v:rect>
        </w:pict>
      </w:r>
    </w:p>
    <w:p>
      <w:pPr>
        <w:spacing w:before="72"/>
        <w:ind w:left="548" w:right="0" w:firstLine="0"/>
        <w:jc w:val="left"/>
        <w:rPr>
          <w:sz w:val="20"/>
        </w:rPr>
      </w:pPr>
      <w:r>
        <w:rPr>
          <w:sz w:val="20"/>
          <w:vertAlign w:val="superscript"/>
        </w:rPr>
        <w:t>4</w:t>
      </w:r>
      <w:r>
        <w:rPr>
          <w:sz w:val="20"/>
          <w:vertAlign w:val="baseline"/>
        </w:rPr>
        <w:t> Stata, Stata Corp.’ın geliştirdiği bir istatistiksel yazılım paketidir.</w:t>
      </w:r>
    </w:p>
    <w:p>
      <w:pPr>
        <w:spacing w:after="0"/>
        <w:jc w:val="left"/>
        <w:rPr>
          <w:sz w:val="20"/>
        </w:rPr>
        <w:sectPr>
          <w:pgSz w:w="12240" w:h="15840"/>
          <w:pgMar w:header="718" w:footer="0" w:top="1300" w:bottom="280" w:left="1720" w:right="820"/>
        </w:sectPr>
      </w:pPr>
    </w:p>
    <w:p>
      <w:pPr>
        <w:pStyle w:val="BodyText"/>
        <w:spacing w:before="100"/>
        <w:jc w:val="left"/>
      </w:pPr>
      <w:r>
        <w:rPr>
          <w:b/>
        </w:rPr>
        <w:t>Tablo 9: </w:t>
      </w:r>
      <w:r>
        <w:rPr/>
        <w:t>Denklem (6) ve Denklem (7) Sistem GMM Tahminleri</w:t>
      </w:r>
    </w:p>
    <w:tbl>
      <w:tblPr>
        <w:tblW w:w="0" w:type="auto"/>
        <w:jc w:val="left"/>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51"/>
        <w:gridCol w:w="1265"/>
        <w:gridCol w:w="1426"/>
        <w:gridCol w:w="1461"/>
        <w:gridCol w:w="1357"/>
      </w:tblGrid>
      <w:tr>
        <w:trPr>
          <w:trHeight w:val="234" w:hRule="atLeast"/>
        </w:trPr>
        <w:tc>
          <w:tcPr>
            <w:tcW w:w="3351" w:type="dxa"/>
            <w:vMerge w:val="restart"/>
            <w:tcBorders>
              <w:top w:val="single" w:sz="8" w:space="0" w:color="000000"/>
              <w:bottom w:val="single" w:sz="8" w:space="0" w:color="000000"/>
            </w:tcBorders>
          </w:tcPr>
          <w:p>
            <w:pPr>
              <w:pStyle w:val="TableParagraph"/>
              <w:ind w:left="131"/>
              <w:rPr>
                <w:b/>
                <w:sz w:val="20"/>
              </w:rPr>
            </w:pPr>
            <w:r>
              <w:rPr>
                <w:b/>
                <w:sz w:val="20"/>
              </w:rPr>
              <w:t>Değişken</w:t>
            </w:r>
          </w:p>
          <w:p>
            <w:pPr>
              <w:pStyle w:val="TableParagraph"/>
              <w:spacing w:line="229" w:lineRule="exact" w:before="1"/>
              <w:ind w:left="131"/>
              <w:rPr>
                <w:sz w:val="20"/>
              </w:rPr>
            </w:pPr>
            <w:r>
              <w:rPr>
                <w:sz w:val="20"/>
              </w:rPr>
              <w:t>(Bağımlı Değişken: Satış Sıralaması)</w:t>
            </w:r>
          </w:p>
        </w:tc>
        <w:tc>
          <w:tcPr>
            <w:tcW w:w="2691" w:type="dxa"/>
            <w:gridSpan w:val="2"/>
            <w:tcBorders>
              <w:top w:val="single" w:sz="8" w:space="0" w:color="000000"/>
            </w:tcBorders>
          </w:tcPr>
          <w:p>
            <w:pPr>
              <w:pStyle w:val="TableParagraph"/>
              <w:tabs>
                <w:tab w:pos="1207" w:val="left" w:leader="none"/>
                <w:tab w:pos="3881" w:val="left" w:leader="none"/>
              </w:tabs>
              <w:spacing w:line="214" w:lineRule="exact"/>
              <w:ind w:left="160" w:right="-1196"/>
              <w:rPr>
                <w:b/>
                <w:sz w:val="20"/>
              </w:rPr>
            </w:pPr>
            <w:r>
              <w:rPr>
                <w:b/>
                <w:w w:val="99"/>
                <w:sz w:val="20"/>
                <w:u w:val="single"/>
              </w:rPr>
              <w:t> </w:t>
            </w:r>
            <w:r>
              <w:rPr>
                <w:b/>
                <w:sz w:val="20"/>
                <w:u w:val="single"/>
              </w:rPr>
              <w:tab/>
              <w:t>Denklem</w:t>
            </w:r>
            <w:r>
              <w:rPr>
                <w:b/>
                <w:spacing w:val="-3"/>
                <w:sz w:val="20"/>
                <w:u w:val="single"/>
              </w:rPr>
              <w:t> </w:t>
            </w:r>
            <w:r>
              <w:rPr>
                <w:b/>
                <w:sz w:val="20"/>
                <w:u w:val="single"/>
              </w:rPr>
              <w:t>(6)</w:t>
              <w:tab/>
            </w:r>
          </w:p>
        </w:tc>
        <w:tc>
          <w:tcPr>
            <w:tcW w:w="2818" w:type="dxa"/>
            <w:gridSpan w:val="2"/>
            <w:tcBorders>
              <w:top w:val="single" w:sz="8" w:space="0" w:color="000000"/>
            </w:tcBorders>
          </w:tcPr>
          <w:p>
            <w:pPr>
              <w:pStyle w:val="TableParagraph"/>
              <w:tabs>
                <w:tab w:pos="2822" w:val="left" w:leader="none"/>
              </w:tabs>
              <w:spacing w:line="214" w:lineRule="exact"/>
              <w:ind w:left="1190" w:right="-15"/>
              <w:rPr>
                <w:b/>
                <w:sz w:val="20"/>
              </w:rPr>
            </w:pPr>
            <w:r>
              <w:rPr>
                <w:b/>
                <w:sz w:val="20"/>
                <w:u w:val="single"/>
              </w:rPr>
              <w:t>Denklem</w:t>
            </w:r>
            <w:r>
              <w:rPr>
                <w:b/>
                <w:spacing w:val="-3"/>
                <w:sz w:val="20"/>
                <w:u w:val="single"/>
              </w:rPr>
              <w:t> </w:t>
            </w:r>
            <w:r>
              <w:rPr>
                <w:b/>
                <w:sz w:val="20"/>
                <w:u w:val="single"/>
              </w:rPr>
              <w:t>(7)</w:t>
              <w:tab/>
            </w:r>
          </w:p>
        </w:tc>
      </w:tr>
      <w:tr>
        <w:trPr>
          <w:trHeight w:val="224" w:hRule="atLeast"/>
        </w:trPr>
        <w:tc>
          <w:tcPr>
            <w:tcW w:w="3351" w:type="dxa"/>
            <w:vMerge/>
            <w:tcBorders>
              <w:top w:val="nil"/>
              <w:bottom w:val="single" w:sz="8" w:space="0" w:color="000000"/>
            </w:tcBorders>
          </w:tcPr>
          <w:p>
            <w:pPr>
              <w:rPr>
                <w:sz w:val="2"/>
                <w:szCs w:val="2"/>
              </w:rPr>
            </w:pPr>
          </w:p>
        </w:tc>
        <w:tc>
          <w:tcPr>
            <w:tcW w:w="1265" w:type="dxa"/>
            <w:tcBorders>
              <w:bottom w:val="single" w:sz="8" w:space="0" w:color="000000"/>
            </w:tcBorders>
          </w:tcPr>
          <w:p>
            <w:pPr>
              <w:pStyle w:val="TableParagraph"/>
              <w:spacing w:line="205" w:lineRule="exact"/>
              <w:ind w:left="268"/>
              <w:rPr>
                <w:b/>
                <w:sz w:val="20"/>
              </w:rPr>
            </w:pPr>
            <w:r>
              <w:rPr>
                <w:b/>
                <w:sz w:val="20"/>
              </w:rPr>
              <w:t>Katsayı</w:t>
            </w:r>
          </w:p>
        </w:tc>
        <w:tc>
          <w:tcPr>
            <w:tcW w:w="1426" w:type="dxa"/>
            <w:tcBorders>
              <w:bottom w:val="single" w:sz="8" w:space="0" w:color="000000"/>
            </w:tcBorders>
          </w:tcPr>
          <w:p>
            <w:pPr>
              <w:pStyle w:val="TableParagraph"/>
              <w:spacing w:line="205" w:lineRule="exact"/>
              <w:ind w:left="96"/>
              <w:rPr>
                <w:b/>
                <w:sz w:val="20"/>
              </w:rPr>
            </w:pPr>
            <w:r>
              <w:rPr>
                <w:b/>
                <w:sz w:val="20"/>
              </w:rPr>
              <w:t>Std. Hata</w:t>
            </w:r>
          </w:p>
        </w:tc>
        <w:tc>
          <w:tcPr>
            <w:tcW w:w="1461" w:type="dxa"/>
            <w:tcBorders>
              <w:bottom w:val="single" w:sz="8" w:space="0" w:color="000000"/>
            </w:tcBorders>
          </w:tcPr>
          <w:p>
            <w:pPr>
              <w:pStyle w:val="TableParagraph"/>
              <w:spacing w:line="205" w:lineRule="exact"/>
              <w:ind w:left="0" w:right="82"/>
              <w:jc w:val="right"/>
              <w:rPr>
                <w:b/>
                <w:sz w:val="20"/>
              </w:rPr>
            </w:pPr>
            <w:r>
              <w:rPr>
                <w:b/>
                <w:w w:val="95"/>
                <w:sz w:val="20"/>
              </w:rPr>
              <w:t>Katsayı</w:t>
            </w:r>
          </w:p>
        </w:tc>
        <w:tc>
          <w:tcPr>
            <w:tcW w:w="1357" w:type="dxa"/>
            <w:tcBorders>
              <w:bottom w:val="single" w:sz="8" w:space="0" w:color="000000"/>
            </w:tcBorders>
          </w:tcPr>
          <w:p>
            <w:pPr>
              <w:pStyle w:val="TableParagraph"/>
              <w:spacing w:line="205" w:lineRule="exact"/>
              <w:ind w:left="228"/>
              <w:rPr>
                <w:b/>
                <w:sz w:val="20"/>
              </w:rPr>
            </w:pPr>
            <w:r>
              <w:rPr>
                <w:b/>
                <w:sz w:val="20"/>
              </w:rPr>
              <w:t>Std. Hata</w:t>
            </w:r>
          </w:p>
        </w:tc>
      </w:tr>
      <w:tr>
        <w:trPr>
          <w:trHeight w:val="234" w:hRule="atLeast"/>
        </w:trPr>
        <w:tc>
          <w:tcPr>
            <w:tcW w:w="3351" w:type="dxa"/>
            <w:tcBorders>
              <w:top w:val="single" w:sz="8" w:space="0" w:color="000000"/>
            </w:tcBorders>
          </w:tcPr>
          <w:p>
            <w:pPr>
              <w:pStyle w:val="TableParagraph"/>
              <w:spacing w:line="210" w:lineRule="exact"/>
              <w:ind w:left="131"/>
              <w:rPr>
                <w:sz w:val="13"/>
              </w:rPr>
            </w:pPr>
            <w:r>
              <w:rPr>
                <w:position w:val="2"/>
                <w:sz w:val="20"/>
              </w:rPr>
              <w:t>Satış Sıralaması</w:t>
            </w:r>
            <w:r>
              <w:rPr>
                <w:sz w:val="13"/>
              </w:rPr>
              <w:t>t-1</w:t>
            </w:r>
          </w:p>
        </w:tc>
        <w:tc>
          <w:tcPr>
            <w:tcW w:w="1265" w:type="dxa"/>
            <w:tcBorders>
              <w:top w:val="single" w:sz="8" w:space="0" w:color="000000"/>
            </w:tcBorders>
          </w:tcPr>
          <w:p>
            <w:pPr>
              <w:pStyle w:val="TableParagraph"/>
              <w:spacing w:line="210" w:lineRule="exact"/>
              <w:ind w:left="268"/>
              <w:rPr>
                <w:sz w:val="20"/>
              </w:rPr>
            </w:pPr>
            <w:r>
              <w:rPr>
                <w:sz w:val="20"/>
              </w:rPr>
              <w:t>,618***</w:t>
            </w:r>
          </w:p>
        </w:tc>
        <w:tc>
          <w:tcPr>
            <w:tcW w:w="1426" w:type="dxa"/>
            <w:tcBorders>
              <w:top w:val="single" w:sz="8" w:space="0" w:color="000000"/>
            </w:tcBorders>
          </w:tcPr>
          <w:p>
            <w:pPr>
              <w:pStyle w:val="TableParagraph"/>
              <w:spacing w:line="210" w:lineRule="exact"/>
              <w:ind w:left="62"/>
              <w:rPr>
                <w:sz w:val="20"/>
              </w:rPr>
            </w:pPr>
            <w:r>
              <w:rPr>
                <w:sz w:val="20"/>
              </w:rPr>
              <w:t>,01</w:t>
            </w:r>
          </w:p>
        </w:tc>
        <w:tc>
          <w:tcPr>
            <w:tcW w:w="1461" w:type="dxa"/>
            <w:tcBorders>
              <w:top w:val="single" w:sz="8" w:space="0" w:color="000000"/>
            </w:tcBorders>
          </w:tcPr>
          <w:p>
            <w:pPr>
              <w:pStyle w:val="TableParagraph"/>
              <w:spacing w:line="210" w:lineRule="exact"/>
              <w:ind w:left="448"/>
              <w:rPr>
                <w:sz w:val="20"/>
              </w:rPr>
            </w:pPr>
            <w:r>
              <w:rPr>
                <w:sz w:val="20"/>
              </w:rPr>
              <w:t>,619***</w:t>
            </w:r>
          </w:p>
        </w:tc>
        <w:tc>
          <w:tcPr>
            <w:tcW w:w="1357" w:type="dxa"/>
            <w:tcBorders>
              <w:top w:val="single" w:sz="8" w:space="0" w:color="000000"/>
            </w:tcBorders>
          </w:tcPr>
          <w:p>
            <w:pPr>
              <w:pStyle w:val="TableParagraph"/>
              <w:spacing w:line="210" w:lineRule="exact"/>
              <w:ind w:left="96"/>
              <w:rPr>
                <w:sz w:val="20"/>
              </w:rPr>
            </w:pPr>
            <w:r>
              <w:rPr>
                <w:sz w:val="20"/>
              </w:rPr>
              <w:t>,01</w:t>
            </w:r>
          </w:p>
        </w:tc>
      </w:tr>
      <w:tr>
        <w:trPr>
          <w:trHeight w:val="230" w:hRule="atLeast"/>
        </w:trPr>
        <w:tc>
          <w:tcPr>
            <w:tcW w:w="3351" w:type="dxa"/>
            <w:shd w:val="clear" w:color="auto" w:fill="F1F1F1"/>
          </w:tcPr>
          <w:p>
            <w:pPr>
              <w:pStyle w:val="TableParagraph"/>
              <w:spacing w:line="210" w:lineRule="exact"/>
              <w:ind w:left="131"/>
              <w:rPr>
                <w:sz w:val="13"/>
              </w:rPr>
            </w:pPr>
            <w:r>
              <w:rPr>
                <w:position w:val="2"/>
                <w:sz w:val="20"/>
              </w:rPr>
              <w:t>Satış Sıralaması</w:t>
            </w:r>
            <w:r>
              <w:rPr>
                <w:sz w:val="13"/>
              </w:rPr>
              <w:t>t-2</w:t>
            </w:r>
          </w:p>
        </w:tc>
        <w:tc>
          <w:tcPr>
            <w:tcW w:w="1265" w:type="dxa"/>
            <w:shd w:val="clear" w:color="auto" w:fill="F1F1F1"/>
          </w:tcPr>
          <w:p>
            <w:pPr>
              <w:pStyle w:val="TableParagraph"/>
              <w:spacing w:line="210" w:lineRule="exact"/>
              <w:ind w:left="268"/>
              <w:rPr>
                <w:sz w:val="20"/>
              </w:rPr>
            </w:pPr>
            <w:r>
              <w:rPr>
                <w:sz w:val="20"/>
              </w:rPr>
              <w:t>,214***</w:t>
            </w:r>
          </w:p>
        </w:tc>
        <w:tc>
          <w:tcPr>
            <w:tcW w:w="1426" w:type="dxa"/>
            <w:shd w:val="clear" w:color="auto" w:fill="F1F1F1"/>
          </w:tcPr>
          <w:p>
            <w:pPr>
              <w:pStyle w:val="TableParagraph"/>
              <w:spacing w:line="210" w:lineRule="exact"/>
              <w:ind w:left="62"/>
              <w:rPr>
                <w:sz w:val="20"/>
              </w:rPr>
            </w:pPr>
            <w:r>
              <w:rPr>
                <w:sz w:val="20"/>
              </w:rPr>
              <w:t>,009</w:t>
            </w:r>
          </w:p>
        </w:tc>
        <w:tc>
          <w:tcPr>
            <w:tcW w:w="1461" w:type="dxa"/>
            <w:shd w:val="clear" w:color="auto" w:fill="F1F1F1"/>
          </w:tcPr>
          <w:p>
            <w:pPr>
              <w:pStyle w:val="TableParagraph"/>
              <w:spacing w:line="210" w:lineRule="exact"/>
              <w:ind w:left="448"/>
              <w:rPr>
                <w:sz w:val="20"/>
              </w:rPr>
            </w:pPr>
            <w:r>
              <w:rPr>
                <w:sz w:val="20"/>
              </w:rPr>
              <w:t>,215***</w:t>
            </w:r>
          </w:p>
        </w:tc>
        <w:tc>
          <w:tcPr>
            <w:tcW w:w="1357" w:type="dxa"/>
            <w:shd w:val="clear" w:color="auto" w:fill="F1F1F1"/>
          </w:tcPr>
          <w:p>
            <w:pPr>
              <w:pStyle w:val="TableParagraph"/>
              <w:spacing w:line="210" w:lineRule="exact"/>
              <w:ind w:left="96"/>
              <w:rPr>
                <w:sz w:val="20"/>
              </w:rPr>
            </w:pPr>
            <w:r>
              <w:rPr>
                <w:sz w:val="20"/>
              </w:rPr>
              <w:t>,009</w:t>
            </w:r>
          </w:p>
        </w:tc>
      </w:tr>
      <w:tr>
        <w:trPr>
          <w:trHeight w:val="230" w:hRule="atLeast"/>
        </w:trPr>
        <w:tc>
          <w:tcPr>
            <w:tcW w:w="3351" w:type="dxa"/>
          </w:tcPr>
          <w:p>
            <w:pPr>
              <w:pStyle w:val="TableParagraph"/>
              <w:spacing w:line="210" w:lineRule="exact"/>
              <w:ind w:left="131"/>
              <w:rPr>
                <w:sz w:val="13"/>
              </w:rPr>
            </w:pPr>
            <w:r>
              <w:rPr>
                <w:position w:val="2"/>
                <w:sz w:val="20"/>
              </w:rPr>
              <w:t>Satış Sıralaması</w:t>
            </w:r>
            <w:r>
              <w:rPr>
                <w:sz w:val="13"/>
              </w:rPr>
              <w:t>t-3</w:t>
            </w:r>
          </w:p>
        </w:tc>
        <w:tc>
          <w:tcPr>
            <w:tcW w:w="1265" w:type="dxa"/>
          </w:tcPr>
          <w:p>
            <w:pPr>
              <w:pStyle w:val="TableParagraph"/>
              <w:spacing w:line="210" w:lineRule="exact"/>
              <w:ind w:left="268"/>
              <w:rPr>
                <w:sz w:val="20"/>
              </w:rPr>
            </w:pPr>
            <w:r>
              <w:rPr>
                <w:sz w:val="20"/>
              </w:rPr>
              <w:t>,113***</w:t>
            </w:r>
          </w:p>
        </w:tc>
        <w:tc>
          <w:tcPr>
            <w:tcW w:w="1426" w:type="dxa"/>
          </w:tcPr>
          <w:p>
            <w:pPr>
              <w:pStyle w:val="TableParagraph"/>
              <w:spacing w:line="210" w:lineRule="exact"/>
              <w:ind w:left="62"/>
              <w:rPr>
                <w:sz w:val="20"/>
              </w:rPr>
            </w:pPr>
            <w:r>
              <w:rPr>
                <w:sz w:val="20"/>
              </w:rPr>
              <w:t>,008</w:t>
            </w:r>
          </w:p>
        </w:tc>
        <w:tc>
          <w:tcPr>
            <w:tcW w:w="1461" w:type="dxa"/>
          </w:tcPr>
          <w:p>
            <w:pPr>
              <w:pStyle w:val="TableParagraph"/>
              <w:spacing w:line="210" w:lineRule="exact"/>
              <w:ind w:left="448"/>
              <w:rPr>
                <w:sz w:val="20"/>
              </w:rPr>
            </w:pPr>
            <w:r>
              <w:rPr>
                <w:sz w:val="20"/>
              </w:rPr>
              <w:t>,114***</w:t>
            </w:r>
          </w:p>
        </w:tc>
        <w:tc>
          <w:tcPr>
            <w:tcW w:w="1357" w:type="dxa"/>
          </w:tcPr>
          <w:p>
            <w:pPr>
              <w:pStyle w:val="TableParagraph"/>
              <w:spacing w:line="210" w:lineRule="exact"/>
              <w:ind w:left="96"/>
              <w:rPr>
                <w:sz w:val="20"/>
              </w:rPr>
            </w:pPr>
            <w:r>
              <w:rPr>
                <w:sz w:val="20"/>
              </w:rPr>
              <w:t>,008</w:t>
            </w:r>
          </w:p>
        </w:tc>
      </w:tr>
      <w:tr>
        <w:trPr>
          <w:trHeight w:val="226" w:hRule="atLeast"/>
        </w:trPr>
        <w:tc>
          <w:tcPr>
            <w:tcW w:w="3351" w:type="dxa"/>
            <w:shd w:val="clear" w:color="auto" w:fill="F1F1F1"/>
          </w:tcPr>
          <w:p>
            <w:pPr>
              <w:pStyle w:val="TableParagraph"/>
              <w:spacing w:line="210" w:lineRule="exact"/>
              <w:ind w:left="131"/>
              <w:rPr>
                <w:sz w:val="20"/>
              </w:rPr>
            </w:pPr>
            <w:r>
              <w:rPr>
                <w:sz w:val="20"/>
              </w:rPr>
              <w:t>Toplam Yorum Sayısı</w:t>
            </w:r>
          </w:p>
        </w:tc>
        <w:tc>
          <w:tcPr>
            <w:tcW w:w="1265" w:type="dxa"/>
            <w:shd w:val="clear" w:color="auto" w:fill="F1F1F1"/>
          </w:tcPr>
          <w:p>
            <w:pPr>
              <w:pStyle w:val="TableParagraph"/>
              <w:spacing w:line="210" w:lineRule="exact"/>
              <w:ind w:left="268"/>
              <w:rPr>
                <w:sz w:val="20"/>
              </w:rPr>
            </w:pPr>
            <w:r>
              <w:rPr>
                <w:sz w:val="20"/>
              </w:rPr>
              <w:t>-,051***</w:t>
            </w:r>
          </w:p>
        </w:tc>
        <w:tc>
          <w:tcPr>
            <w:tcW w:w="1426" w:type="dxa"/>
            <w:shd w:val="clear" w:color="auto" w:fill="F1F1F1"/>
          </w:tcPr>
          <w:p>
            <w:pPr>
              <w:pStyle w:val="TableParagraph"/>
              <w:spacing w:line="210" w:lineRule="exact"/>
              <w:ind w:left="62"/>
              <w:rPr>
                <w:sz w:val="20"/>
              </w:rPr>
            </w:pPr>
            <w:r>
              <w:rPr>
                <w:sz w:val="20"/>
              </w:rPr>
              <w:t>,011</w:t>
            </w:r>
          </w:p>
        </w:tc>
        <w:tc>
          <w:tcPr>
            <w:tcW w:w="1461" w:type="dxa"/>
            <w:shd w:val="clear" w:color="auto" w:fill="F1F1F1"/>
          </w:tcPr>
          <w:p>
            <w:pPr>
              <w:pStyle w:val="TableParagraph"/>
              <w:ind w:left="0"/>
              <w:rPr>
                <w:sz w:val="16"/>
              </w:rPr>
            </w:pPr>
          </w:p>
        </w:tc>
        <w:tc>
          <w:tcPr>
            <w:tcW w:w="1357" w:type="dxa"/>
            <w:shd w:val="clear" w:color="auto" w:fill="F1F1F1"/>
          </w:tcPr>
          <w:p>
            <w:pPr>
              <w:pStyle w:val="TableParagraph"/>
              <w:ind w:left="0"/>
              <w:rPr>
                <w:sz w:val="16"/>
              </w:rPr>
            </w:pPr>
          </w:p>
        </w:tc>
      </w:tr>
      <w:tr>
        <w:trPr>
          <w:trHeight w:val="230" w:hRule="atLeast"/>
        </w:trPr>
        <w:tc>
          <w:tcPr>
            <w:tcW w:w="3351" w:type="dxa"/>
          </w:tcPr>
          <w:p>
            <w:pPr>
              <w:pStyle w:val="TableParagraph"/>
              <w:spacing w:line="210" w:lineRule="exact"/>
              <w:ind w:left="131"/>
              <w:rPr>
                <w:sz w:val="20"/>
              </w:rPr>
            </w:pPr>
            <w:r>
              <w:rPr>
                <w:sz w:val="20"/>
              </w:rPr>
              <w:t>Ortalama Yorum Puanı</w:t>
            </w:r>
          </w:p>
        </w:tc>
        <w:tc>
          <w:tcPr>
            <w:tcW w:w="1265" w:type="dxa"/>
          </w:tcPr>
          <w:p>
            <w:pPr>
              <w:pStyle w:val="TableParagraph"/>
              <w:spacing w:line="210" w:lineRule="exact"/>
              <w:ind w:left="268"/>
              <w:rPr>
                <w:sz w:val="20"/>
              </w:rPr>
            </w:pPr>
            <w:r>
              <w:rPr>
                <w:sz w:val="20"/>
              </w:rPr>
              <w:t>-,090***</w:t>
            </w:r>
          </w:p>
        </w:tc>
        <w:tc>
          <w:tcPr>
            <w:tcW w:w="1426" w:type="dxa"/>
          </w:tcPr>
          <w:p>
            <w:pPr>
              <w:pStyle w:val="TableParagraph"/>
              <w:spacing w:line="210" w:lineRule="exact"/>
              <w:ind w:left="62"/>
              <w:rPr>
                <w:sz w:val="20"/>
              </w:rPr>
            </w:pPr>
            <w:r>
              <w:rPr>
                <w:sz w:val="20"/>
              </w:rPr>
              <w:t>,028</w:t>
            </w:r>
          </w:p>
        </w:tc>
        <w:tc>
          <w:tcPr>
            <w:tcW w:w="1461" w:type="dxa"/>
          </w:tcPr>
          <w:p>
            <w:pPr>
              <w:pStyle w:val="TableParagraph"/>
              <w:spacing w:line="210" w:lineRule="exact"/>
              <w:ind w:left="448"/>
              <w:rPr>
                <w:sz w:val="20"/>
              </w:rPr>
            </w:pPr>
            <w:r>
              <w:rPr>
                <w:sz w:val="20"/>
              </w:rPr>
              <w:t>-,142***</w:t>
            </w:r>
          </w:p>
        </w:tc>
        <w:tc>
          <w:tcPr>
            <w:tcW w:w="1357" w:type="dxa"/>
          </w:tcPr>
          <w:p>
            <w:pPr>
              <w:pStyle w:val="TableParagraph"/>
              <w:spacing w:line="210" w:lineRule="exact"/>
              <w:ind w:left="96"/>
              <w:rPr>
                <w:sz w:val="20"/>
              </w:rPr>
            </w:pPr>
            <w:r>
              <w:rPr>
                <w:sz w:val="20"/>
              </w:rPr>
              <w:t>,044</w:t>
            </w:r>
          </w:p>
        </w:tc>
      </w:tr>
      <w:tr>
        <w:trPr>
          <w:trHeight w:val="228" w:hRule="atLeast"/>
        </w:trPr>
        <w:tc>
          <w:tcPr>
            <w:tcW w:w="3351" w:type="dxa"/>
            <w:shd w:val="clear" w:color="auto" w:fill="F1F1F1"/>
          </w:tcPr>
          <w:p>
            <w:pPr>
              <w:pStyle w:val="TableParagraph"/>
              <w:spacing w:line="208" w:lineRule="exact"/>
              <w:ind w:left="131"/>
              <w:rPr>
                <w:sz w:val="20"/>
              </w:rPr>
            </w:pPr>
            <w:r>
              <w:rPr>
                <w:sz w:val="20"/>
              </w:rPr>
              <w:t>Olumlu Yorum</w:t>
            </w:r>
          </w:p>
        </w:tc>
        <w:tc>
          <w:tcPr>
            <w:tcW w:w="1265" w:type="dxa"/>
            <w:shd w:val="clear" w:color="auto" w:fill="F1F1F1"/>
          </w:tcPr>
          <w:p>
            <w:pPr>
              <w:pStyle w:val="TableParagraph"/>
              <w:ind w:left="0"/>
              <w:rPr>
                <w:sz w:val="16"/>
              </w:rPr>
            </w:pPr>
          </w:p>
        </w:tc>
        <w:tc>
          <w:tcPr>
            <w:tcW w:w="1426" w:type="dxa"/>
            <w:shd w:val="clear" w:color="auto" w:fill="F1F1F1"/>
          </w:tcPr>
          <w:p>
            <w:pPr>
              <w:pStyle w:val="TableParagraph"/>
              <w:ind w:left="0"/>
              <w:rPr>
                <w:sz w:val="16"/>
              </w:rPr>
            </w:pPr>
          </w:p>
        </w:tc>
        <w:tc>
          <w:tcPr>
            <w:tcW w:w="1461" w:type="dxa"/>
            <w:shd w:val="clear" w:color="auto" w:fill="F1F1F1"/>
          </w:tcPr>
          <w:p>
            <w:pPr>
              <w:pStyle w:val="TableParagraph"/>
              <w:spacing w:line="208" w:lineRule="exact"/>
              <w:ind w:left="448"/>
              <w:rPr>
                <w:sz w:val="20"/>
              </w:rPr>
            </w:pPr>
            <w:r>
              <w:rPr>
                <w:sz w:val="20"/>
              </w:rPr>
              <w:t>-,0005***</w:t>
            </w:r>
          </w:p>
        </w:tc>
        <w:tc>
          <w:tcPr>
            <w:tcW w:w="1357" w:type="dxa"/>
            <w:shd w:val="clear" w:color="auto" w:fill="F1F1F1"/>
          </w:tcPr>
          <w:p>
            <w:pPr>
              <w:pStyle w:val="TableParagraph"/>
              <w:spacing w:line="208" w:lineRule="exact"/>
              <w:ind w:left="96"/>
              <w:rPr>
                <w:sz w:val="20"/>
              </w:rPr>
            </w:pPr>
            <w:r>
              <w:rPr>
                <w:sz w:val="20"/>
              </w:rPr>
              <w:t>,0001</w:t>
            </w:r>
          </w:p>
        </w:tc>
      </w:tr>
      <w:tr>
        <w:trPr>
          <w:trHeight w:val="230" w:hRule="atLeast"/>
        </w:trPr>
        <w:tc>
          <w:tcPr>
            <w:tcW w:w="3351" w:type="dxa"/>
          </w:tcPr>
          <w:p>
            <w:pPr>
              <w:pStyle w:val="TableParagraph"/>
              <w:spacing w:line="210" w:lineRule="exact"/>
              <w:ind w:left="131"/>
              <w:rPr>
                <w:sz w:val="20"/>
              </w:rPr>
            </w:pPr>
            <w:r>
              <w:rPr>
                <w:sz w:val="20"/>
              </w:rPr>
              <w:t>Olumsuz Yorum</w:t>
            </w:r>
          </w:p>
        </w:tc>
        <w:tc>
          <w:tcPr>
            <w:tcW w:w="1265" w:type="dxa"/>
          </w:tcPr>
          <w:p>
            <w:pPr>
              <w:pStyle w:val="TableParagraph"/>
              <w:ind w:left="0"/>
              <w:rPr>
                <w:sz w:val="16"/>
              </w:rPr>
            </w:pPr>
          </w:p>
        </w:tc>
        <w:tc>
          <w:tcPr>
            <w:tcW w:w="1426" w:type="dxa"/>
          </w:tcPr>
          <w:p>
            <w:pPr>
              <w:pStyle w:val="TableParagraph"/>
              <w:ind w:left="0"/>
              <w:rPr>
                <w:sz w:val="16"/>
              </w:rPr>
            </w:pPr>
          </w:p>
        </w:tc>
        <w:tc>
          <w:tcPr>
            <w:tcW w:w="1461" w:type="dxa"/>
          </w:tcPr>
          <w:p>
            <w:pPr>
              <w:pStyle w:val="TableParagraph"/>
              <w:spacing w:line="210" w:lineRule="exact"/>
              <w:ind w:left="448"/>
              <w:rPr>
                <w:sz w:val="20"/>
              </w:rPr>
            </w:pPr>
            <w:r>
              <w:rPr>
                <w:sz w:val="20"/>
              </w:rPr>
              <w:t>-,0009***</w:t>
            </w:r>
          </w:p>
        </w:tc>
        <w:tc>
          <w:tcPr>
            <w:tcW w:w="1357" w:type="dxa"/>
          </w:tcPr>
          <w:p>
            <w:pPr>
              <w:pStyle w:val="TableParagraph"/>
              <w:spacing w:line="210" w:lineRule="exact"/>
              <w:ind w:left="96"/>
              <w:rPr>
                <w:sz w:val="20"/>
              </w:rPr>
            </w:pPr>
            <w:r>
              <w:rPr>
                <w:sz w:val="20"/>
              </w:rPr>
              <w:t>,0003</w:t>
            </w:r>
          </w:p>
        </w:tc>
      </w:tr>
      <w:tr>
        <w:trPr>
          <w:trHeight w:val="230" w:hRule="atLeast"/>
        </w:trPr>
        <w:tc>
          <w:tcPr>
            <w:tcW w:w="3351" w:type="dxa"/>
            <w:shd w:val="clear" w:color="auto" w:fill="F1F1F1"/>
          </w:tcPr>
          <w:p>
            <w:pPr>
              <w:pStyle w:val="TableParagraph"/>
              <w:spacing w:line="210" w:lineRule="exact"/>
              <w:ind w:left="131"/>
              <w:rPr>
                <w:sz w:val="20"/>
              </w:rPr>
            </w:pPr>
            <w:r>
              <w:rPr>
                <w:sz w:val="20"/>
              </w:rPr>
              <w:t>Nötr Yorum</w:t>
            </w:r>
          </w:p>
        </w:tc>
        <w:tc>
          <w:tcPr>
            <w:tcW w:w="1265" w:type="dxa"/>
            <w:shd w:val="clear" w:color="auto" w:fill="F1F1F1"/>
          </w:tcPr>
          <w:p>
            <w:pPr>
              <w:pStyle w:val="TableParagraph"/>
              <w:ind w:left="0"/>
              <w:rPr>
                <w:sz w:val="16"/>
              </w:rPr>
            </w:pPr>
          </w:p>
        </w:tc>
        <w:tc>
          <w:tcPr>
            <w:tcW w:w="1426" w:type="dxa"/>
            <w:shd w:val="clear" w:color="auto" w:fill="F1F1F1"/>
          </w:tcPr>
          <w:p>
            <w:pPr>
              <w:pStyle w:val="TableParagraph"/>
              <w:ind w:left="0"/>
              <w:rPr>
                <w:sz w:val="16"/>
              </w:rPr>
            </w:pPr>
          </w:p>
        </w:tc>
        <w:tc>
          <w:tcPr>
            <w:tcW w:w="1461" w:type="dxa"/>
            <w:shd w:val="clear" w:color="auto" w:fill="F1F1F1"/>
          </w:tcPr>
          <w:p>
            <w:pPr>
              <w:pStyle w:val="TableParagraph"/>
              <w:spacing w:line="210" w:lineRule="exact"/>
              <w:ind w:left="448"/>
              <w:rPr>
                <w:sz w:val="20"/>
              </w:rPr>
            </w:pPr>
            <w:r>
              <w:rPr>
                <w:sz w:val="20"/>
              </w:rPr>
              <w:t>,0007**</w:t>
            </w:r>
          </w:p>
        </w:tc>
        <w:tc>
          <w:tcPr>
            <w:tcW w:w="1357" w:type="dxa"/>
            <w:shd w:val="clear" w:color="auto" w:fill="F1F1F1"/>
          </w:tcPr>
          <w:p>
            <w:pPr>
              <w:pStyle w:val="TableParagraph"/>
              <w:spacing w:line="210" w:lineRule="exact"/>
              <w:ind w:left="96"/>
              <w:rPr>
                <w:sz w:val="20"/>
              </w:rPr>
            </w:pPr>
            <w:r>
              <w:rPr>
                <w:sz w:val="20"/>
              </w:rPr>
              <w:t>,0003</w:t>
            </w:r>
          </w:p>
        </w:tc>
      </w:tr>
      <w:tr>
        <w:trPr>
          <w:trHeight w:val="230" w:hRule="atLeast"/>
        </w:trPr>
        <w:tc>
          <w:tcPr>
            <w:tcW w:w="3351" w:type="dxa"/>
          </w:tcPr>
          <w:p>
            <w:pPr>
              <w:pStyle w:val="TableParagraph"/>
              <w:spacing w:line="210" w:lineRule="exact"/>
              <w:ind w:left="131"/>
              <w:rPr>
                <w:sz w:val="20"/>
              </w:rPr>
            </w:pPr>
            <w:r>
              <w:rPr>
                <w:sz w:val="20"/>
              </w:rPr>
              <w:t>Fiyat</w:t>
            </w:r>
          </w:p>
        </w:tc>
        <w:tc>
          <w:tcPr>
            <w:tcW w:w="1265" w:type="dxa"/>
          </w:tcPr>
          <w:p>
            <w:pPr>
              <w:pStyle w:val="TableParagraph"/>
              <w:spacing w:line="210" w:lineRule="exact"/>
              <w:ind w:left="268"/>
              <w:rPr>
                <w:sz w:val="20"/>
              </w:rPr>
            </w:pPr>
            <w:r>
              <w:rPr>
                <w:sz w:val="20"/>
              </w:rPr>
              <w:t>-,046***</w:t>
            </w:r>
          </w:p>
        </w:tc>
        <w:tc>
          <w:tcPr>
            <w:tcW w:w="1426" w:type="dxa"/>
          </w:tcPr>
          <w:p>
            <w:pPr>
              <w:pStyle w:val="TableParagraph"/>
              <w:spacing w:line="210" w:lineRule="exact"/>
              <w:ind w:left="62"/>
              <w:rPr>
                <w:sz w:val="20"/>
              </w:rPr>
            </w:pPr>
            <w:r>
              <w:rPr>
                <w:sz w:val="20"/>
              </w:rPr>
              <w:t>,01</w:t>
            </w:r>
          </w:p>
        </w:tc>
        <w:tc>
          <w:tcPr>
            <w:tcW w:w="1461" w:type="dxa"/>
          </w:tcPr>
          <w:p>
            <w:pPr>
              <w:pStyle w:val="TableParagraph"/>
              <w:spacing w:line="210" w:lineRule="exact"/>
              <w:ind w:left="448"/>
              <w:rPr>
                <w:sz w:val="20"/>
              </w:rPr>
            </w:pPr>
            <w:r>
              <w:rPr>
                <w:sz w:val="20"/>
              </w:rPr>
              <w:t>-,032***</w:t>
            </w:r>
          </w:p>
        </w:tc>
        <w:tc>
          <w:tcPr>
            <w:tcW w:w="1357" w:type="dxa"/>
          </w:tcPr>
          <w:p>
            <w:pPr>
              <w:pStyle w:val="TableParagraph"/>
              <w:spacing w:line="210" w:lineRule="exact"/>
              <w:ind w:left="96"/>
              <w:rPr>
                <w:sz w:val="20"/>
              </w:rPr>
            </w:pPr>
            <w:r>
              <w:rPr>
                <w:sz w:val="20"/>
              </w:rPr>
              <w:t>,009</w:t>
            </w:r>
          </w:p>
        </w:tc>
      </w:tr>
      <w:tr>
        <w:trPr>
          <w:trHeight w:val="230" w:hRule="atLeast"/>
        </w:trPr>
        <w:tc>
          <w:tcPr>
            <w:tcW w:w="3351" w:type="dxa"/>
            <w:shd w:val="clear" w:color="auto" w:fill="F1F1F1"/>
          </w:tcPr>
          <w:p>
            <w:pPr>
              <w:pStyle w:val="TableParagraph"/>
              <w:spacing w:line="210" w:lineRule="exact"/>
              <w:ind w:left="131"/>
              <w:rPr>
                <w:sz w:val="20"/>
              </w:rPr>
            </w:pPr>
            <w:r>
              <w:rPr>
                <w:sz w:val="20"/>
              </w:rPr>
              <w:t>İndirim Oranı</w:t>
            </w:r>
          </w:p>
        </w:tc>
        <w:tc>
          <w:tcPr>
            <w:tcW w:w="1265" w:type="dxa"/>
            <w:shd w:val="clear" w:color="auto" w:fill="F1F1F1"/>
          </w:tcPr>
          <w:p>
            <w:pPr>
              <w:pStyle w:val="TableParagraph"/>
              <w:spacing w:line="210" w:lineRule="exact"/>
              <w:ind w:left="268"/>
              <w:rPr>
                <w:sz w:val="20"/>
              </w:rPr>
            </w:pPr>
            <w:r>
              <w:rPr>
                <w:sz w:val="20"/>
              </w:rPr>
              <w:t>-,046***</w:t>
            </w:r>
          </w:p>
        </w:tc>
        <w:tc>
          <w:tcPr>
            <w:tcW w:w="1426" w:type="dxa"/>
            <w:shd w:val="clear" w:color="auto" w:fill="F1F1F1"/>
          </w:tcPr>
          <w:p>
            <w:pPr>
              <w:pStyle w:val="TableParagraph"/>
              <w:spacing w:line="210" w:lineRule="exact"/>
              <w:ind w:left="62"/>
              <w:rPr>
                <w:sz w:val="20"/>
              </w:rPr>
            </w:pPr>
            <w:r>
              <w:rPr>
                <w:sz w:val="20"/>
              </w:rPr>
              <w:t>,005</w:t>
            </w:r>
          </w:p>
        </w:tc>
        <w:tc>
          <w:tcPr>
            <w:tcW w:w="1461" w:type="dxa"/>
            <w:shd w:val="clear" w:color="auto" w:fill="F1F1F1"/>
          </w:tcPr>
          <w:p>
            <w:pPr>
              <w:pStyle w:val="TableParagraph"/>
              <w:spacing w:line="210" w:lineRule="exact"/>
              <w:ind w:left="448"/>
              <w:rPr>
                <w:sz w:val="20"/>
              </w:rPr>
            </w:pPr>
            <w:r>
              <w:rPr>
                <w:sz w:val="20"/>
              </w:rPr>
              <w:t>-,048***</w:t>
            </w:r>
          </w:p>
        </w:tc>
        <w:tc>
          <w:tcPr>
            <w:tcW w:w="1357" w:type="dxa"/>
            <w:shd w:val="clear" w:color="auto" w:fill="F1F1F1"/>
          </w:tcPr>
          <w:p>
            <w:pPr>
              <w:pStyle w:val="TableParagraph"/>
              <w:spacing w:line="210" w:lineRule="exact"/>
              <w:ind w:left="96"/>
              <w:rPr>
                <w:sz w:val="20"/>
              </w:rPr>
            </w:pPr>
            <w:r>
              <w:rPr>
                <w:sz w:val="20"/>
              </w:rPr>
              <w:t>,004</w:t>
            </w:r>
          </w:p>
        </w:tc>
      </w:tr>
      <w:tr>
        <w:trPr>
          <w:trHeight w:val="230" w:hRule="atLeast"/>
        </w:trPr>
        <w:tc>
          <w:tcPr>
            <w:tcW w:w="3351" w:type="dxa"/>
            <w:tcBorders>
              <w:bottom w:val="single" w:sz="4" w:space="0" w:color="000000"/>
            </w:tcBorders>
          </w:tcPr>
          <w:p>
            <w:pPr>
              <w:pStyle w:val="TableParagraph"/>
              <w:spacing w:line="210" w:lineRule="exact"/>
              <w:ind w:left="131"/>
              <w:rPr>
                <w:sz w:val="20"/>
              </w:rPr>
            </w:pPr>
            <w:r>
              <w:rPr>
                <w:sz w:val="20"/>
              </w:rPr>
              <w:t>Sabit</w:t>
            </w:r>
          </w:p>
        </w:tc>
        <w:tc>
          <w:tcPr>
            <w:tcW w:w="1265" w:type="dxa"/>
            <w:tcBorders>
              <w:bottom w:val="single" w:sz="4" w:space="0" w:color="000000"/>
            </w:tcBorders>
          </w:tcPr>
          <w:p>
            <w:pPr>
              <w:pStyle w:val="TableParagraph"/>
              <w:spacing w:line="210" w:lineRule="exact"/>
              <w:ind w:left="268"/>
              <w:rPr>
                <w:sz w:val="20"/>
              </w:rPr>
            </w:pPr>
            <w:r>
              <w:rPr>
                <w:sz w:val="20"/>
              </w:rPr>
              <w:t>1,270***</w:t>
            </w:r>
          </w:p>
        </w:tc>
        <w:tc>
          <w:tcPr>
            <w:tcW w:w="1426" w:type="dxa"/>
            <w:tcBorders>
              <w:bottom w:val="single" w:sz="4" w:space="0" w:color="000000"/>
            </w:tcBorders>
          </w:tcPr>
          <w:p>
            <w:pPr>
              <w:pStyle w:val="TableParagraph"/>
              <w:spacing w:line="210" w:lineRule="exact"/>
              <w:ind w:left="62"/>
              <w:rPr>
                <w:sz w:val="20"/>
              </w:rPr>
            </w:pPr>
            <w:r>
              <w:rPr>
                <w:sz w:val="20"/>
              </w:rPr>
              <w:t>,225</w:t>
            </w:r>
          </w:p>
        </w:tc>
        <w:tc>
          <w:tcPr>
            <w:tcW w:w="1461" w:type="dxa"/>
            <w:tcBorders>
              <w:bottom w:val="single" w:sz="4" w:space="0" w:color="000000"/>
            </w:tcBorders>
          </w:tcPr>
          <w:p>
            <w:pPr>
              <w:pStyle w:val="TableParagraph"/>
              <w:spacing w:line="210" w:lineRule="exact"/>
              <w:ind w:left="448"/>
              <w:rPr>
                <w:sz w:val="20"/>
              </w:rPr>
            </w:pPr>
            <w:r>
              <w:rPr>
                <w:sz w:val="20"/>
              </w:rPr>
              <w:t>1,208***</w:t>
            </w:r>
          </w:p>
        </w:tc>
        <w:tc>
          <w:tcPr>
            <w:tcW w:w="1357" w:type="dxa"/>
            <w:tcBorders>
              <w:bottom w:val="single" w:sz="4" w:space="0" w:color="000000"/>
            </w:tcBorders>
          </w:tcPr>
          <w:p>
            <w:pPr>
              <w:pStyle w:val="TableParagraph"/>
              <w:spacing w:line="210" w:lineRule="exact"/>
              <w:ind w:left="96"/>
              <w:rPr>
                <w:sz w:val="20"/>
              </w:rPr>
            </w:pPr>
            <w:r>
              <w:rPr>
                <w:sz w:val="20"/>
              </w:rPr>
              <w:t>,227</w:t>
            </w:r>
          </w:p>
        </w:tc>
      </w:tr>
      <w:tr>
        <w:trPr>
          <w:trHeight w:val="230" w:hRule="atLeast"/>
        </w:trPr>
        <w:tc>
          <w:tcPr>
            <w:tcW w:w="3351" w:type="dxa"/>
            <w:tcBorders>
              <w:top w:val="single" w:sz="4" w:space="0" w:color="000000"/>
            </w:tcBorders>
            <w:shd w:val="clear" w:color="auto" w:fill="F1F1F1"/>
          </w:tcPr>
          <w:p>
            <w:pPr>
              <w:pStyle w:val="TableParagraph"/>
              <w:spacing w:line="210" w:lineRule="exact"/>
              <w:ind w:left="131"/>
              <w:rPr>
                <w:sz w:val="20"/>
              </w:rPr>
            </w:pPr>
            <w:r>
              <w:rPr>
                <w:sz w:val="20"/>
              </w:rPr>
              <w:t>Wald χ</w:t>
            </w:r>
            <w:r>
              <w:rPr>
                <w:sz w:val="20"/>
                <w:vertAlign w:val="superscript"/>
              </w:rPr>
              <w:t>2</w:t>
            </w:r>
          </w:p>
        </w:tc>
        <w:tc>
          <w:tcPr>
            <w:tcW w:w="1265" w:type="dxa"/>
            <w:tcBorders>
              <w:top w:val="single" w:sz="4" w:space="0" w:color="000000"/>
            </w:tcBorders>
            <w:shd w:val="clear" w:color="auto" w:fill="F1F1F1"/>
          </w:tcPr>
          <w:p>
            <w:pPr>
              <w:pStyle w:val="TableParagraph"/>
              <w:spacing w:line="210" w:lineRule="exact"/>
              <w:ind w:left="268"/>
              <w:rPr>
                <w:sz w:val="20"/>
              </w:rPr>
            </w:pPr>
            <w:r>
              <w:rPr>
                <w:sz w:val="20"/>
              </w:rPr>
              <w:t>2,0e+05***</w:t>
            </w:r>
          </w:p>
        </w:tc>
        <w:tc>
          <w:tcPr>
            <w:tcW w:w="1426" w:type="dxa"/>
            <w:tcBorders>
              <w:top w:val="single" w:sz="4" w:space="0" w:color="000000"/>
            </w:tcBorders>
            <w:shd w:val="clear" w:color="auto" w:fill="F1F1F1"/>
          </w:tcPr>
          <w:p>
            <w:pPr>
              <w:pStyle w:val="TableParagraph"/>
              <w:ind w:left="0"/>
              <w:rPr>
                <w:sz w:val="16"/>
              </w:rPr>
            </w:pPr>
          </w:p>
        </w:tc>
        <w:tc>
          <w:tcPr>
            <w:tcW w:w="1461" w:type="dxa"/>
            <w:tcBorders>
              <w:top w:val="single" w:sz="4" w:space="0" w:color="000000"/>
            </w:tcBorders>
            <w:shd w:val="clear" w:color="auto" w:fill="F1F1F1"/>
          </w:tcPr>
          <w:p>
            <w:pPr>
              <w:pStyle w:val="TableParagraph"/>
              <w:spacing w:line="210" w:lineRule="exact"/>
              <w:ind w:left="0" w:right="60"/>
              <w:jc w:val="right"/>
              <w:rPr>
                <w:sz w:val="20"/>
              </w:rPr>
            </w:pPr>
            <w:r>
              <w:rPr>
                <w:w w:val="95"/>
                <w:sz w:val="20"/>
              </w:rPr>
              <w:t>2,0e+05***</w:t>
            </w:r>
          </w:p>
        </w:tc>
        <w:tc>
          <w:tcPr>
            <w:tcW w:w="1357" w:type="dxa"/>
            <w:tcBorders>
              <w:top w:val="single" w:sz="4" w:space="0" w:color="000000"/>
            </w:tcBorders>
            <w:shd w:val="clear" w:color="auto" w:fill="F1F1F1"/>
          </w:tcPr>
          <w:p>
            <w:pPr>
              <w:pStyle w:val="TableParagraph"/>
              <w:ind w:left="0"/>
              <w:rPr>
                <w:sz w:val="16"/>
              </w:rPr>
            </w:pPr>
          </w:p>
        </w:tc>
      </w:tr>
      <w:tr>
        <w:trPr>
          <w:trHeight w:val="228" w:hRule="atLeast"/>
        </w:trPr>
        <w:tc>
          <w:tcPr>
            <w:tcW w:w="3351" w:type="dxa"/>
          </w:tcPr>
          <w:p>
            <w:pPr>
              <w:pStyle w:val="TableParagraph"/>
              <w:spacing w:line="209" w:lineRule="exact"/>
              <w:ind w:left="131"/>
              <w:rPr>
                <w:sz w:val="20"/>
              </w:rPr>
            </w:pPr>
            <w:r>
              <w:rPr>
                <w:sz w:val="20"/>
              </w:rPr>
              <w:t>AR (1) p değeri</w:t>
            </w:r>
          </w:p>
        </w:tc>
        <w:tc>
          <w:tcPr>
            <w:tcW w:w="1265" w:type="dxa"/>
          </w:tcPr>
          <w:p>
            <w:pPr>
              <w:pStyle w:val="TableParagraph"/>
              <w:spacing w:line="209" w:lineRule="exact"/>
              <w:ind w:left="268"/>
              <w:rPr>
                <w:sz w:val="20"/>
              </w:rPr>
            </w:pPr>
            <w:r>
              <w:rPr>
                <w:sz w:val="20"/>
              </w:rPr>
              <w:t>,000</w:t>
            </w:r>
          </w:p>
        </w:tc>
        <w:tc>
          <w:tcPr>
            <w:tcW w:w="1426" w:type="dxa"/>
          </w:tcPr>
          <w:p>
            <w:pPr>
              <w:pStyle w:val="TableParagraph"/>
              <w:ind w:left="0"/>
              <w:rPr>
                <w:sz w:val="16"/>
              </w:rPr>
            </w:pPr>
          </w:p>
        </w:tc>
        <w:tc>
          <w:tcPr>
            <w:tcW w:w="1461" w:type="dxa"/>
          </w:tcPr>
          <w:p>
            <w:pPr>
              <w:pStyle w:val="TableParagraph"/>
              <w:spacing w:line="209" w:lineRule="exact"/>
              <w:ind w:left="448"/>
              <w:rPr>
                <w:sz w:val="20"/>
              </w:rPr>
            </w:pPr>
            <w:r>
              <w:rPr>
                <w:sz w:val="20"/>
              </w:rPr>
              <w:t>,000</w:t>
            </w:r>
          </w:p>
        </w:tc>
        <w:tc>
          <w:tcPr>
            <w:tcW w:w="1357" w:type="dxa"/>
          </w:tcPr>
          <w:p>
            <w:pPr>
              <w:pStyle w:val="TableParagraph"/>
              <w:ind w:left="0"/>
              <w:rPr>
                <w:sz w:val="16"/>
              </w:rPr>
            </w:pPr>
          </w:p>
        </w:tc>
      </w:tr>
      <w:tr>
        <w:trPr>
          <w:trHeight w:val="230" w:hRule="atLeast"/>
        </w:trPr>
        <w:tc>
          <w:tcPr>
            <w:tcW w:w="3351" w:type="dxa"/>
            <w:shd w:val="clear" w:color="auto" w:fill="F1F1F1"/>
          </w:tcPr>
          <w:p>
            <w:pPr>
              <w:pStyle w:val="TableParagraph"/>
              <w:spacing w:line="210" w:lineRule="exact"/>
              <w:ind w:left="131"/>
              <w:rPr>
                <w:sz w:val="20"/>
              </w:rPr>
            </w:pPr>
            <w:r>
              <w:rPr>
                <w:sz w:val="20"/>
              </w:rPr>
              <w:t>AR (2) p değeri</w:t>
            </w:r>
          </w:p>
        </w:tc>
        <w:tc>
          <w:tcPr>
            <w:tcW w:w="1265" w:type="dxa"/>
            <w:shd w:val="clear" w:color="auto" w:fill="F1F1F1"/>
          </w:tcPr>
          <w:p>
            <w:pPr>
              <w:pStyle w:val="TableParagraph"/>
              <w:spacing w:line="210" w:lineRule="exact"/>
              <w:ind w:left="268"/>
              <w:rPr>
                <w:sz w:val="20"/>
              </w:rPr>
            </w:pPr>
            <w:r>
              <w:rPr>
                <w:sz w:val="20"/>
              </w:rPr>
              <w:t>,9145</w:t>
            </w:r>
          </w:p>
        </w:tc>
        <w:tc>
          <w:tcPr>
            <w:tcW w:w="1426" w:type="dxa"/>
            <w:shd w:val="clear" w:color="auto" w:fill="F1F1F1"/>
          </w:tcPr>
          <w:p>
            <w:pPr>
              <w:pStyle w:val="TableParagraph"/>
              <w:ind w:left="0"/>
              <w:rPr>
                <w:sz w:val="16"/>
              </w:rPr>
            </w:pPr>
          </w:p>
        </w:tc>
        <w:tc>
          <w:tcPr>
            <w:tcW w:w="1461" w:type="dxa"/>
            <w:shd w:val="clear" w:color="auto" w:fill="F1F1F1"/>
          </w:tcPr>
          <w:p>
            <w:pPr>
              <w:pStyle w:val="TableParagraph"/>
              <w:spacing w:line="210" w:lineRule="exact"/>
              <w:ind w:left="448"/>
              <w:rPr>
                <w:sz w:val="20"/>
              </w:rPr>
            </w:pPr>
            <w:r>
              <w:rPr>
                <w:sz w:val="20"/>
              </w:rPr>
              <w:t>,9140</w:t>
            </w:r>
          </w:p>
        </w:tc>
        <w:tc>
          <w:tcPr>
            <w:tcW w:w="1357" w:type="dxa"/>
            <w:shd w:val="clear" w:color="auto" w:fill="F1F1F1"/>
          </w:tcPr>
          <w:p>
            <w:pPr>
              <w:pStyle w:val="TableParagraph"/>
              <w:ind w:left="0"/>
              <w:rPr>
                <w:sz w:val="16"/>
              </w:rPr>
            </w:pPr>
          </w:p>
        </w:tc>
      </w:tr>
      <w:tr>
        <w:trPr>
          <w:trHeight w:val="230" w:hRule="atLeast"/>
        </w:trPr>
        <w:tc>
          <w:tcPr>
            <w:tcW w:w="3351" w:type="dxa"/>
          </w:tcPr>
          <w:p>
            <w:pPr>
              <w:pStyle w:val="TableParagraph"/>
              <w:spacing w:line="210" w:lineRule="exact"/>
              <w:ind w:left="131"/>
              <w:rPr>
                <w:sz w:val="20"/>
              </w:rPr>
            </w:pPr>
            <w:r>
              <w:rPr>
                <w:sz w:val="20"/>
              </w:rPr>
              <w:t>Hansen Testi p değeri</w:t>
            </w:r>
          </w:p>
        </w:tc>
        <w:tc>
          <w:tcPr>
            <w:tcW w:w="1265" w:type="dxa"/>
          </w:tcPr>
          <w:p>
            <w:pPr>
              <w:pStyle w:val="TableParagraph"/>
              <w:spacing w:line="210" w:lineRule="exact"/>
              <w:ind w:left="268"/>
              <w:rPr>
                <w:sz w:val="20"/>
              </w:rPr>
            </w:pPr>
            <w:r>
              <w:rPr>
                <w:sz w:val="20"/>
              </w:rPr>
              <w:t>,3310</w:t>
            </w:r>
          </w:p>
        </w:tc>
        <w:tc>
          <w:tcPr>
            <w:tcW w:w="1426" w:type="dxa"/>
          </w:tcPr>
          <w:p>
            <w:pPr>
              <w:pStyle w:val="TableParagraph"/>
              <w:ind w:left="0"/>
              <w:rPr>
                <w:sz w:val="16"/>
              </w:rPr>
            </w:pPr>
          </w:p>
        </w:tc>
        <w:tc>
          <w:tcPr>
            <w:tcW w:w="1461" w:type="dxa"/>
          </w:tcPr>
          <w:p>
            <w:pPr>
              <w:pStyle w:val="TableParagraph"/>
              <w:spacing w:line="210" w:lineRule="exact"/>
              <w:ind w:left="448"/>
              <w:rPr>
                <w:sz w:val="20"/>
              </w:rPr>
            </w:pPr>
            <w:r>
              <w:rPr>
                <w:sz w:val="20"/>
              </w:rPr>
              <w:t>,3339</w:t>
            </w:r>
          </w:p>
        </w:tc>
        <w:tc>
          <w:tcPr>
            <w:tcW w:w="1357" w:type="dxa"/>
          </w:tcPr>
          <w:p>
            <w:pPr>
              <w:pStyle w:val="TableParagraph"/>
              <w:ind w:left="0"/>
              <w:rPr>
                <w:sz w:val="16"/>
              </w:rPr>
            </w:pPr>
          </w:p>
        </w:tc>
      </w:tr>
      <w:tr>
        <w:trPr>
          <w:trHeight w:val="230" w:hRule="atLeast"/>
        </w:trPr>
        <w:tc>
          <w:tcPr>
            <w:tcW w:w="3351" w:type="dxa"/>
            <w:shd w:val="clear" w:color="auto" w:fill="F1F1F1"/>
          </w:tcPr>
          <w:p>
            <w:pPr>
              <w:pStyle w:val="TableParagraph"/>
              <w:spacing w:line="210" w:lineRule="exact"/>
              <w:ind w:left="131"/>
              <w:rPr>
                <w:sz w:val="20"/>
              </w:rPr>
            </w:pPr>
            <w:r>
              <w:rPr>
                <w:sz w:val="20"/>
              </w:rPr>
              <w:t>Gözlem Sayısı</w:t>
            </w:r>
          </w:p>
        </w:tc>
        <w:tc>
          <w:tcPr>
            <w:tcW w:w="1265" w:type="dxa"/>
            <w:shd w:val="clear" w:color="auto" w:fill="F1F1F1"/>
          </w:tcPr>
          <w:p>
            <w:pPr>
              <w:pStyle w:val="TableParagraph"/>
              <w:spacing w:line="210" w:lineRule="exact"/>
              <w:ind w:left="268"/>
              <w:rPr>
                <w:sz w:val="20"/>
              </w:rPr>
            </w:pPr>
            <w:r>
              <w:rPr>
                <w:sz w:val="20"/>
              </w:rPr>
              <w:t>4505</w:t>
            </w:r>
          </w:p>
        </w:tc>
        <w:tc>
          <w:tcPr>
            <w:tcW w:w="1426" w:type="dxa"/>
            <w:shd w:val="clear" w:color="auto" w:fill="F1F1F1"/>
          </w:tcPr>
          <w:p>
            <w:pPr>
              <w:pStyle w:val="TableParagraph"/>
              <w:ind w:left="0"/>
              <w:rPr>
                <w:sz w:val="16"/>
              </w:rPr>
            </w:pPr>
          </w:p>
        </w:tc>
        <w:tc>
          <w:tcPr>
            <w:tcW w:w="1461" w:type="dxa"/>
            <w:shd w:val="clear" w:color="auto" w:fill="F1F1F1"/>
          </w:tcPr>
          <w:p>
            <w:pPr>
              <w:pStyle w:val="TableParagraph"/>
              <w:spacing w:line="210" w:lineRule="exact"/>
              <w:ind w:left="448"/>
              <w:rPr>
                <w:sz w:val="20"/>
              </w:rPr>
            </w:pPr>
            <w:r>
              <w:rPr>
                <w:sz w:val="20"/>
              </w:rPr>
              <w:t>4505</w:t>
            </w:r>
          </w:p>
        </w:tc>
        <w:tc>
          <w:tcPr>
            <w:tcW w:w="1357" w:type="dxa"/>
            <w:shd w:val="clear" w:color="auto" w:fill="F1F1F1"/>
          </w:tcPr>
          <w:p>
            <w:pPr>
              <w:pStyle w:val="TableParagraph"/>
              <w:ind w:left="0"/>
              <w:rPr>
                <w:sz w:val="16"/>
              </w:rPr>
            </w:pPr>
          </w:p>
        </w:tc>
      </w:tr>
      <w:tr>
        <w:trPr>
          <w:trHeight w:val="230" w:hRule="atLeast"/>
        </w:trPr>
        <w:tc>
          <w:tcPr>
            <w:tcW w:w="3351" w:type="dxa"/>
            <w:tcBorders>
              <w:bottom w:val="single" w:sz="4" w:space="0" w:color="000000"/>
            </w:tcBorders>
          </w:tcPr>
          <w:p>
            <w:pPr>
              <w:pStyle w:val="TableParagraph"/>
              <w:spacing w:line="210" w:lineRule="exact"/>
              <w:ind w:left="131"/>
              <w:rPr>
                <w:sz w:val="20"/>
              </w:rPr>
            </w:pPr>
            <w:r>
              <w:rPr>
                <w:sz w:val="20"/>
              </w:rPr>
              <w:t>Grup Sayısı</w:t>
            </w:r>
          </w:p>
        </w:tc>
        <w:tc>
          <w:tcPr>
            <w:tcW w:w="1265" w:type="dxa"/>
            <w:tcBorders>
              <w:bottom w:val="single" w:sz="4" w:space="0" w:color="000000"/>
            </w:tcBorders>
          </w:tcPr>
          <w:p>
            <w:pPr>
              <w:pStyle w:val="TableParagraph"/>
              <w:spacing w:line="210" w:lineRule="exact"/>
              <w:ind w:left="268"/>
              <w:rPr>
                <w:sz w:val="20"/>
              </w:rPr>
            </w:pPr>
            <w:r>
              <w:rPr>
                <w:sz w:val="20"/>
              </w:rPr>
              <w:t>161</w:t>
            </w:r>
          </w:p>
        </w:tc>
        <w:tc>
          <w:tcPr>
            <w:tcW w:w="1426" w:type="dxa"/>
            <w:tcBorders>
              <w:bottom w:val="single" w:sz="4" w:space="0" w:color="000000"/>
            </w:tcBorders>
          </w:tcPr>
          <w:p>
            <w:pPr>
              <w:pStyle w:val="TableParagraph"/>
              <w:ind w:left="0"/>
              <w:rPr>
                <w:sz w:val="16"/>
              </w:rPr>
            </w:pPr>
          </w:p>
        </w:tc>
        <w:tc>
          <w:tcPr>
            <w:tcW w:w="1461" w:type="dxa"/>
            <w:tcBorders>
              <w:bottom w:val="single" w:sz="4" w:space="0" w:color="000000"/>
            </w:tcBorders>
          </w:tcPr>
          <w:p>
            <w:pPr>
              <w:pStyle w:val="TableParagraph"/>
              <w:spacing w:line="210" w:lineRule="exact"/>
              <w:ind w:left="448"/>
              <w:rPr>
                <w:sz w:val="20"/>
              </w:rPr>
            </w:pPr>
            <w:r>
              <w:rPr>
                <w:sz w:val="20"/>
              </w:rPr>
              <w:t>161</w:t>
            </w:r>
          </w:p>
        </w:tc>
        <w:tc>
          <w:tcPr>
            <w:tcW w:w="1357" w:type="dxa"/>
            <w:tcBorders>
              <w:bottom w:val="single" w:sz="4" w:space="0" w:color="000000"/>
            </w:tcBorders>
          </w:tcPr>
          <w:p>
            <w:pPr>
              <w:pStyle w:val="TableParagraph"/>
              <w:ind w:left="0"/>
              <w:rPr>
                <w:sz w:val="16"/>
              </w:rPr>
            </w:pPr>
          </w:p>
        </w:tc>
      </w:tr>
      <w:tr>
        <w:trPr>
          <w:trHeight w:val="690" w:hRule="atLeast"/>
        </w:trPr>
        <w:tc>
          <w:tcPr>
            <w:tcW w:w="3351" w:type="dxa"/>
            <w:tcBorders>
              <w:top w:val="single" w:sz="4" w:space="0" w:color="000000"/>
              <w:bottom w:val="single" w:sz="8" w:space="0" w:color="000000"/>
            </w:tcBorders>
            <w:shd w:val="clear" w:color="auto" w:fill="F1F1F1"/>
          </w:tcPr>
          <w:p>
            <w:pPr>
              <w:pStyle w:val="TableParagraph"/>
              <w:ind w:left="131"/>
              <w:rPr>
                <w:sz w:val="20"/>
              </w:rPr>
            </w:pPr>
            <w:r>
              <w:rPr>
                <w:sz w:val="20"/>
              </w:rPr>
              <w:t>*** p&lt; ,01</w:t>
            </w:r>
          </w:p>
          <w:p>
            <w:pPr>
              <w:pStyle w:val="TableParagraph"/>
              <w:spacing w:line="229" w:lineRule="exact"/>
              <w:ind w:left="131"/>
              <w:rPr>
                <w:sz w:val="20"/>
              </w:rPr>
            </w:pPr>
            <w:r>
              <w:rPr>
                <w:sz w:val="20"/>
              </w:rPr>
              <w:t>**p&lt;,05</w:t>
            </w:r>
          </w:p>
          <w:p>
            <w:pPr>
              <w:pStyle w:val="TableParagraph"/>
              <w:spacing w:line="211" w:lineRule="exact"/>
              <w:ind w:left="131"/>
              <w:rPr>
                <w:sz w:val="20"/>
              </w:rPr>
            </w:pPr>
            <w:r>
              <w:rPr>
                <w:sz w:val="20"/>
              </w:rPr>
              <w:t>*p&lt;,10</w:t>
            </w:r>
          </w:p>
        </w:tc>
        <w:tc>
          <w:tcPr>
            <w:tcW w:w="1265" w:type="dxa"/>
            <w:tcBorders>
              <w:top w:val="single" w:sz="4" w:space="0" w:color="000000"/>
              <w:bottom w:val="single" w:sz="8" w:space="0" w:color="000000"/>
            </w:tcBorders>
            <w:shd w:val="clear" w:color="auto" w:fill="F1F1F1"/>
          </w:tcPr>
          <w:p>
            <w:pPr>
              <w:pStyle w:val="TableParagraph"/>
              <w:ind w:left="0"/>
              <w:rPr>
                <w:sz w:val="22"/>
              </w:rPr>
            </w:pPr>
          </w:p>
        </w:tc>
        <w:tc>
          <w:tcPr>
            <w:tcW w:w="1426" w:type="dxa"/>
            <w:tcBorders>
              <w:top w:val="single" w:sz="4" w:space="0" w:color="000000"/>
              <w:bottom w:val="single" w:sz="8" w:space="0" w:color="000000"/>
            </w:tcBorders>
            <w:shd w:val="clear" w:color="auto" w:fill="F1F1F1"/>
          </w:tcPr>
          <w:p>
            <w:pPr>
              <w:pStyle w:val="TableParagraph"/>
              <w:ind w:left="0"/>
              <w:rPr>
                <w:sz w:val="22"/>
              </w:rPr>
            </w:pPr>
          </w:p>
        </w:tc>
        <w:tc>
          <w:tcPr>
            <w:tcW w:w="1461" w:type="dxa"/>
            <w:tcBorders>
              <w:top w:val="single" w:sz="4" w:space="0" w:color="000000"/>
              <w:bottom w:val="single" w:sz="8" w:space="0" w:color="000000"/>
            </w:tcBorders>
            <w:shd w:val="clear" w:color="auto" w:fill="F1F1F1"/>
          </w:tcPr>
          <w:p>
            <w:pPr>
              <w:pStyle w:val="TableParagraph"/>
              <w:ind w:left="0"/>
              <w:rPr>
                <w:sz w:val="22"/>
              </w:rPr>
            </w:pPr>
          </w:p>
        </w:tc>
        <w:tc>
          <w:tcPr>
            <w:tcW w:w="1357" w:type="dxa"/>
            <w:tcBorders>
              <w:top w:val="single" w:sz="4" w:space="0" w:color="000000"/>
              <w:bottom w:val="single" w:sz="8" w:space="0" w:color="000000"/>
            </w:tcBorders>
            <w:shd w:val="clear" w:color="auto" w:fill="F1F1F1"/>
          </w:tcPr>
          <w:p>
            <w:pPr>
              <w:pStyle w:val="TableParagraph"/>
              <w:ind w:left="0"/>
              <w:rPr>
                <w:sz w:val="22"/>
              </w:rPr>
            </w:pPr>
          </w:p>
        </w:tc>
      </w:tr>
    </w:tbl>
    <w:p>
      <w:pPr>
        <w:pStyle w:val="BodyText"/>
        <w:spacing w:before="9"/>
        <w:ind w:left="0"/>
        <w:jc w:val="left"/>
        <w:rPr>
          <w:sz w:val="20"/>
        </w:rPr>
      </w:pPr>
    </w:p>
    <w:p>
      <w:pPr>
        <w:pStyle w:val="BodyText"/>
        <w:spacing w:line="360" w:lineRule="auto"/>
        <w:ind w:right="309" w:firstLine="708"/>
      </w:pPr>
      <w:r>
        <w:rPr/>
        <w:t>Hacim</w:t>
      </w:r>
      <w:r>
        <w:rPr>
          <w:spacing w:val="-10"/>
        </w:rPr>
        <w:t> </w:t>
      </w:r>
      <w:r>
        <w:rPr/>
        <w:t>değişkeni</w:t>
      </w:r>
      <w:r>
        <w:rPr>
          <w:spacing w:val="-11"/>
        </w:rPr>
        <w:t> </w:t>
      </w:r>
      <w:r>
        <w:rPr/>
        <w:t>olan</w:t>
      </w:r>
      <w:r>
        <w:rPr>
          <w:spacing w:val="-12"/>
        </w:rPr>
        <w:t> </w:t>
      </w:r>
      <w:r>
        <w:rPr/>
        <w:t>toplam</w:t>
      </w:r>
      <w:r>
        <w:rPr>
          <w:spacing w:val="-11"/>
        </w:rPr>
        <w:t> </w:t>
      </w:r>
      <w:r>
        <w:rPr/>
        <w:t>yorum</w:t>
      </w:r>
      <w:r>
        <w:rPr>
          <w:spacing w:val="-11"/>
        </w:rPr>
        <w:t> </w:t>
      </w:r>
      <w:r>
        <w:rPr/>
        <w:t>sayısının</w:t>
      </w:r>
      <w:r>
        <w:rPr>
          <w:spacing w:val="-11"/>
        </w:rPr>
        <w:t> </w:t>
      </w:r>
      <w:r>
        <w:rPr/>
        <w:t>katsayısının</w:t>
      </w:r>
      <w:r>
        <w:rPr>
          <w:spacing w:val="-8"/>
        </w:rPr>
        <w:t> </w:t>
      </w:r>
      <w:r>
        <w:rPr/>
        <w:t>istatistiksel</w:t>
      </w:r>
      <w:r>
        <w:rPr>
          <w:spacing w:val="-11"/>
        </w:rPr>
        <w:t> </w:t>
      </w:r>
      <w:r>
        <w:rPr/>
        <w:t>olarak</w:t>
      </w:r>
      <w:r>
        <w:rPr>
          <w:spacing w:val="-11"/>
        </w:rPr>
        <w:t> </w:t>
      </w:r>
      <w:r>
        <w:rPr/>
        <w:t>anlamlı ve negatif olduğu görülmektedir. Bağımlı değişken olan satış sıralamasının satış miktarı ile negatif ilişkili olduğu göz önünde bulundurulduğunda (bk. Bölüm 2.2.5.1), toplam yorum </w:t>
      </w:r>
      <w:r>
        <w:rPr>
          <w:position w:val="2"/>
        </w:rPr>
        <w:t>sayısının satışları pozitif etkilediği söylenebilir. Bu sonuç, H</w:t>
      </w:r>
      <w:r>
        <w:rPr>
          <w:sz w:val="16"/>
        </w:rPr>
        <w:t>1 </w:t>
      </w:r>
      <w:r>
        <w:rPr>
          <w:position w:val="2"/>
        </w:rPr>
        <w:t>hipotezini</w:t>
      </w:r>
      <w:r>
        <w:rPr>
          <w:spacing w:val="-11"/>
          <w:position w:val="2"/>
        </w:rPr>
        <w:t> </w:t>
      </w:r>
      <w:r>
        <w:rPr>
          <w:position w:val="2"/>
        </w:rPr>
        <w:t>desteklemektedir.</w:t>
      </w:r>
    </w:p>
    <w:p>
      <w:pPr>
        <w:pStyle w:val="BodyText"/>
        <w:spacing w:line="360" w:lineRule="auto"/>
        <w:ind w:right="312" w:firstLine="708"/>
      </w:pPr>
      <w:r>
        <w:rPr/>
        <w:t>Değerlik değişkeni olan ortalama yorum puanının katsayısı da negatif ve istatistiksel </w:t>
      </w:r>
      <w:r>
        <w:rPr>
          <w:position w:val="2"/>
        </w:rPr>
        <w:t>olarak anlamlıdır. Bu sonuçla, H</w:t>
      </w:r>
      <w:r>
        <w:rPr>
          <w:sz w:val="16"/>
        </w:rPr>
        <w:t>3 </w:t>
      </w:r>
      <w:r>
        <w:rPr>
          <w:position w:val="2"/>
        </w:rPr>
        <w:t>hipotezi desteklenmekte ve ortalama yorum puanının </w:t>
      </w:r>
      <w:r>
        <w:rPr/>
        <w:t>satışlar ile pozitif ilişkili olduğu görülmektedir.</w:t>
      </w:r>
    </w:p>
    <w:p>
      <w:pPr>
        <w:pStyle w:val="BodyText"/>
        <w:spacing w:line="360" w:lineRule="auto"/>
        <w:ind w:right="311" w:firstLine="708"/>
      </w:pPr>
      <w:r>
        <w:rPr/>
        <w:t>Olumlu,</w:t>
      </w:r>
      <w:r>
        <w:rPr>
          <w:spacing w:val="-7"/>
        </w:rPr>
        <w:t> </w:t>
      </w:r>
      <w:r>
        <w:rPr/>
        <w:t>olumsuz</w:t>
      </w:r>
      <w:r>
        <w:rPr>
          <w:spacing w:val="-7"/>
        </w:rPr>
        <w:t> </w:t>
      </w:r>
      <w:r>
        <w:rPr/>
        <w:t>ve</w:t>
      </w:r>
      <w:r>
        <w:rPr>
          <w:spacing w:val="-7"/>
        </w:rPr>
        <w:t> </w:t>
      </w:r>
      <w:r>
        <w:rPr/>
        <w:t>nötr</w:t>
      </w:r>
      <w:r>
        <w:rPr>
          <w:spacing w:val="-3"/>
        </w:rPr>
        <w:t> </w:t>
      </w:r>
      <w:r>
        <w:rPr/>
        <w:t>yorumların</w:t>
      </w:r>
      <w:r>
        <w:rPr>
          <w:spacing w:val="-6"/>
        </w:rPr>
        <w:t> </w:t>
      </w:r>
      <w:r>
        <w:rPr/>
        <w:t>katsayılarına</w:t>
      </w:r>
      <w:r>
        <w:rPr>
          <w:spacing w:val="-5"/>
        </w:rPr>
        <w:t> </w:t>
      </w:r>
      <w:r>
        <w:rPr/>
        <w:t>baktığımızda,</w:t>
      </w:r>
      <w:r>
        <w:rPr>
          <w:spacing w:val="-7"/>
        </w:rPr>
        <w:t> </w:t>
      </w:r>
      <w:r>
        <w:rPr/>
        <w:t>üçünün</w:t>
      </w:r>
      <w:r>
        <w:rPr>
          <w:spacing w:val="-6"/>
        </w:rPr>
        <w:t> </w:t>
      </w:r>
      <w:r>
        <w:rPr/>
        <w:t>katsayısının istatiksel</w:t>
      </w:r>
      <w:r>
        <w:rPr>
          <w:spacing w:val="-11"/>
        </w:rPr>
        <w:t> </w:t>
      </w:r>
      <w:r>
        <w:rPr/>
        <w:t>olarak</w:t>
      </w:r>
      <w:r>
        <w:rPr>
          <w:spacing w:val="-9"/>
        </w:rPr>
        <w:t> </w:t>
      </w:r>
      <w:r>
        <w:rPr/>
        <w:t>anlamlı</w:t>
      </w:r>
      <w:r>
        <w:rPr>
          <w:spacing w:val="-10"/>
        </w:rPr>
        <w:t> </w:t>
      </w:r>
      <w:r>
        <w:rPr/>
        <w:t>olduğu</w:t>
      </w:r>
      <w:r>
        <w:rPr>
          <w:spacing w:val="-10"/>
        </w:rPr>
        <w:t> </w:t>
      </w:r>
      <w:r>
        <w:rPr/>
        <w:t>görülmektedir.</w:t>
      </w:r>
      <w:r>
        <w:rPr>
          <w:spacing w:val="-11"/>
        </w:rPr>
        <w:t> </w:t>
      </w:r>
      <w:r>
        <w:rPr/>
        <w:t>Olumlu</w:t>
      </w:r>
      <w:r>
        <w:rPr>
          <w:spacing w:val="-11"/>
        </w:rPr>
        <w:t> </w:t>
      </w:r>
      <w:r>
        <w:rPr/>
        <w:t>ve</w:t>
      </w:r>
      <w:r>
        <w:rPr>
          <w:spacing w:val="-11"/>
        </w:rPr>
        <w:t> </w:t>
      </w:r>
      <w:r>
        <w:rPr/>
        <w:t>olumsuz</w:t>
      </w:r>
      <w:r>
        <w:rPr>
          <w:spacing w:val="-12"/>
        </w:rPr>
        <w:t> </w:t>
      </w:r>
      <w:r>
        <w:rPr/>
        <w:t>yorum</w:t>
      </w:r>
      <w:r>
        <w:rPr>
          <w:spacing w:val="-9"/>
        </w:rPr>
        <w:t> </w:t>
      </w:r>
      <w:r>
        <w:rPr/>
        <w:t>katsayıları</w:t>
      </w:r>
      <w:r>
        <w:rPr>
          <w:spacing w:val="-10"/>
        </w:rPr>
        <w:t> </w:t>
      </w:r>
      <w:r>
        <w:rPr/>
        <w:t>negatif iken nötr yorum katsayısı pozitif işaretlidir. Bu sonuçla, olumlu ve olumsuz yorumların satışlarla</w:t>
      </w:r>
      <w:r>
        <w:rPr>
          <w:spacing w:val="-13"/>
        </w:rPr>
        <w:t> </w:t>
      </w:r>
      <w:r>
        <w:rPr/>
        <w:t>pozitif,</w:t>
      </w:r>
      <w:r>
        <w:rPr>
          <w:spacing w:val="-13"/>
        </w:rPr>
        <w:t> </w:t>
      </w:r>
      <w:r>
        <w:rPr/>
        <w:t>nötr</w:t>
      </w:r>
      <w:r>
        <w:rPr>
          <w:spacing w:val="-12"/>
        </w:rPr>
        <w:t> </w:t>
      </w:r>
      <w:r>
        <w:rPr/>
        <w:t>yorumların</w:t>
      </w:r>
      <w:r>
        <w:rPr>
          <w:spacing w:val="-13"/>
        </w:rPr>
        <w:t> </w:t>
      </w:r>
      <w:r>
        <w:rPr/>
        <w:t>satışlarla</w:t>
      </w:r>
      <w:r>
        <w:rPr>
          <w:spacing w:val="-12"/>
        </w:rPr>
        <w:t> </w:t>
      </w:r>
      <w:r>
        <w:rPr/>
        <w:t>negatif</w:t>
      </w:r>
      <w:r>
        <w:rPr>
          <w:spacing w:val="-14"/>
        </w:rPr>
        <w:t> </w:t>
      </w:r>
      <w:r>
        <w:rPr/>
        <w:t>ilişkili</w:t>
      </w:r>
      <w:r>
        <w:rPr>
          <w:spacing w:val="-13"/>
        </w:rPr>
        <w:t> </w:t>
      </w:r>
      <w:r>
        <w:rPr/>
        <w:t>olduğu</w:t>
      </w:r>
      <w:r>
        <w:rPr>
          <w:spacing w:val="-13"/>
        </w:rPr>
        <w:t> </w:t>
      </w:r>
      <w:r>
        <w:rPr/>
        <w:t>ortaya</w:t>
      </w:r>
      <w:r>
        <w:rPr>
          <w:spacing w:val="-14"/>
        </w:rPr>
        <w:t> </w:t>
      </w:r>
      <w:r>
        <w:rPr/>
        <w:t>konmuştur.</w:t>
      </w:r>
      <w:r>
        <w:rPr>
          <w:spacing w:val="-13"/>
        </w:rPr>
        <w:t> </w:t>
      </w:r>
      <w:r>
        <w:rPr/>
        <w:t>Olumsuz </w:t>
      </w:r>
      <w:r>
        <w:rPr>
          <w:position w:val="2"/>
        </w:rPr>
        <w:t>yorum katsayısının pozitif olması beklendiğinden, H</w:t>
      </w:r>
      <w:r>
        <w:rPr>
          <w:sz w:val="16"/>
        </w:rPr>
        <w:t>5 </w:t>
      </w:r>
      <w:r>
        <w:rPr>
          <w:position w:val="2"/>
        </w:rPr>
        <w:t>hipotezi reddedilmiştir. Öte yandan, olumlu ve nötr yorumlar için kurulan H</w:t>
      </w:r>
      <w:r>
        <w:rPr>
          <w:sz w:val="16"/>
        </w:rPr>
        <w:t>4 </w:t>
      </w:r>
      <w:r>
        <w:rPr>
          <w:position w:val="2"/>
        </w:rPr>
        <w:t>ve H</w:t>
      </w:r>
      <w:r>
        <w:rPr>
          <w:sz w:val="16"/>
        </w:rPr>
        <w:t>6 </w:t>
      </w:r>
      <w:r>
        <w:rPr>
          <w:position w:val="2"/>
        </w:rPr>
        <w:t>hipotezleri sonuçlarla</w:t>
      </w:r>
      <w:r>
        <w:rPr>
          <w:spacing w:val="-9"/>
          <w:position w:val="2"/>
        </w:rPr>
        <w:t> </w:t>
      </w:r>
      <w:r>
        <w:rPr>
          <w:position w:val="2"/>
        </w:rPr>
        <w:t>desteklenmiştir.</w:t>
      </w:r>
    </w:p>
    <w:p>
      <w:pPr>
        <w:pStyle w:val="BodyText"/>
        <w:spacing w:line="360" w:lineRule="auto"/>
        <w:ind w:right="314" w:firstLine="708"/>
      </w:pPr>
      <w:r>
        <w:rPr/>
        <w:t>Kontrol değişkenlerinden her ikisinin etkisi de istatistiksel olarak anlamlı bulunmuştur. İndirim oranı katsayısının negatif olması indirim oranının satışları pozitif etkilediğini göstermektedir. Öte yandan, fiyatlar ile satışlar arasında pozitif ilişki bulunmuştur.</w:t>
      </w:r>
    </w:p>
    <w:p>
      <w:pPr>
        <w:spacing w:after="0" w:line="360" w:lineRule="auto"/>
        <w:sectPr>
          <w:pgSz w:w="12240" w:h="15840"/>
          <w:pgMar w:header="718" w:footer="0" w:top="1300" w:bottom="280" w:left="1720" w:right="820"/>
        </w:sectPr>
      </w:pPr>
    </w:p>
    <w:p>
      <w:pPr>
        <w:pStyle w:val="BodyText"/>
        <w:spacing w:line="360" w:lineRule="auto" w:before="100"/>
        <w:ind w:right="313" w:firstLine="708"/>
      </w:pPr>
      <w:r>
        <w:rPr/>
        <w:t>Hacim ve değerlik değişkenlerinin etkilerinin ürün kategorisine göre değişip değişmediğini görmek için Denklem (8) ve Denklem (9) oluşturulmuştur. Denklem (8) ve Denklem (9) da Kripfganz (2019)’un doğrusal dinamik panel veri setleri için geliştirdiği GMM tahmincisi </w:t>
      </w:r>
      <w:r>
        <w:rPr>
          <w:i/>
        </w:rPr>
        <w:t>xtdpdgmm </w:t>
      </w:r>
      <w:r>
        <w:rPr/>
        <w:t>ile Stata’da tahmin edilmiştir.</w:t>
      </w:r>
    </w:p>
    <w:p>
      <w:pPr>
        <w:pStyle w:val="BodyText"/>
        <w:spacing w:line="360" w:lineRule="auto" w:before="1"/>
        <w:ind w:right="309" w:firstLine="708"/>
      </w:pPr>
      <w:r>
        <w:rPr/>
        <w:t>Tablo 10’da görüldüğü üzere, denklemler için yapılan Hansen testi sonuçlarına göre kullanılan araç değişkenler geçerlidir. Ayrıca, otokorelasyon testi sonuçlarına göre, beklenildiği gibi birinci dereceden otokorelasyon tespit edilmiş ancak ikinci dereceden otokorelasyon olmadığı görülmüştür. Wald χ</w:t>
      </w:r>
      <w:r>
        <w:rPr>
          <w:vertAlign w:val="superscript"/>
        </w:rPr>
        <w:t>2</w:t>
      </w:r>
      <w:r>
        <w:rPr>
          <w:vertAlign w:val="baseline"/>
        </w:rPr>
        <w:t> testi sonucu da modellerin bütün olarak anlamlı olduğunu göstermektedir.</w:t>
      </w:r>
    </w:p>
    <w:p>
      <w:pPr>
        <w:pStyle w:val="BodyText"/>
        <w:spacing w:line="360" w:lineRule="auto"/>
        <w:ind w:right="314" w:firstLine="708"/>
      </w:pPr>
      <w:r>
        <w:rPr/>
        <w:t>Tüm kategoriler için toplam yorum sayısına ait katsayılar negatif ve istatistiksel olarak</w:t>
      </w:r>
      <w:r>
        <w:rPr>
          <w:spacing w:val="-12"/>
        </w:rPr>
        <w:t> </w:t>
      </w:r>
      <w:r>
        <w:rPr/>
        <w:t>anlamlı</w:t>
      </w:r>
      <w:r>
        <w:rPr>
          <w:spacing w:val="-10"/>
        </w:rPr>
        <w:t> </w:t>
      </w:r>
      <w:r>
        <w:rPr/>
        <w:t>bulunmuştur</w:t>
      </w:r>
      <w:r>
        <w:rPr>
          <w:spacing w:val="-11"/>
        </w:rPr>
        <w:t> </w:t>
      </w:r>
      <w:r>
        <w:rPr/>
        <w:t>(bk.</w:t>
      </w:r>
      <w:r>
        <w:rPr>
          <w:spacing w:val="-11"/>
        </w:rPr>
        <w:t> </w:t>
      </w:r>
      <w:r>
        <w:rPr/>
        <w:t>Tablo</w:t>
      </w:r>
      <w:r>
        <w:rPr>
          <w:spacing w:val="-11"/>
        </w:rPr>
        <w:t> </w:t>
      </w:r>
      <w:r>
        <w:rPr/>
        <w:t>10).</w:t>
      </w:r>
      <w:r>
        <w:rPr>
          <w:spacing w:val="-12"/>
        </w:rPr>
        <w:t> </w:t>
      </w:r>
      <w:r>
        <w:rPr/>
        <w:t>Bu</w:t>
      </w:r>
      <w:r>
        <w:rPr>
          <w:spacing w:val="-11"/>
        </w:rPr>
        <w:t> </w:t>
      </w:r>
      <w:r>
        <w:rPr/>
        <w:t>sonuç,</w:t>
      </w:r>
      <w:r>
        <w:rPr>
          <w:spacing w:val="-11"/>
        </w:rPr>
        <w:t> </w:t>
      </w:r>
      <w:r>
        <w:rPr/>
        <w:t>tüm</w:t>
      </w:r>
      <w:r>
        <w:rPr>
          <w:spacing w:val="-10"/>
        </w:rPr>
        <w:t> </w:t>
      </w:r>
      <w:r>
        <w:rPr/>
        <w:t>kategorilerde</w:t>
      </w:r>
      <w:r>
        <w:rPr>
          <w:spacing w:val="-12"/>
        </w:rPr>
        <w:t> </w:t>
      </w:r>
      <w:r>
        <w:rPr/>
        <w:t>toplam</w:t>
      </w:r>
      <w:r>
        <w:rPr>
          <w:spacing w:val="-11"/>
        </w:rPr>
        <w:t> </w:t>
      </w:r>
      <w:r>
        <w:rPr/>
        <w:t>yorum</w:t>
      </w:r>
      <w:r>
        <w:rPr>
          <w:spacing w:val="-11"/>
        </w:rPr>
        <w:t> </w:t>
      </w:r>
      <w:r>
        <w:rPr/>
        <w:t>sayısı ile satışlar arasında pozitif ilişki olduğuna işaret</w:t>
      </w:r>
      <w:r>
        <w:rPr>
          <w:spacing w:val="-4"/>
        </w:rPr>
        <w:t> </w:t>
      </w:r>
      <w:r>
        <w:rPr/>
        <w:t>etmektedir.</w:t>
      </w:r>
    </w:p>
    <w:p>
      <w:pPr>
        <w:pStyle w:val="BodyText"/>
        <w:spacing w:line="360" w:lineRule="auto" w:before="1"/>
        <w:ind w:right="310" w:firstLine="708"/>
      </w:pPr>
      <w:r>
        <w:rPr/>
        <w:t>Ortalama</w:t>
      </w:r>
      <w:r>
        <w:rPr>
          <w:spacing w:val="-5"/>
        </w:rPr>
        <w:t> </w:t>
      </w:r>
      <w:r>
        <w:rPr/>
        <w:t>yorum</w:t>
      </w:r>
      <w:r>
        <w:rPr>
          <w:spacing w:val="-4"/>
        </w:rPr>
        <w:t> </w:t>
      </w:r>
      <w:r>
        <w:rPr/>
        <w:t>puanı</w:t>
      </w:r>
      <w:r>
        <w:rPr>
          <w:spacing w:val="-4"/>
        </w:rPr>
        <w:t> </w:t>
      </w:r>
      <w:r>
        <w:rPr/>
        <w:t>açısından</w:t>
      </w:r>
      <w:r>
        <w:rPr>
          <w:spacing w:val="-4"/>
        </w:rPr>
        <w:t> </w:t>
      </w:r>
      <w:r>
        <w:rPr/>
        <w:t>ise,</w:t>
      </w:r>
      <w:r>
        <w:rPr>
          <w:spacing w:val="-4"/>
        </w:rPr>
        <w:t> </w:t>
      </w:r>
      <w:r>
        <w:rPr/>
        <w:t>tüm</w:t>
      </w:r>
      <w:r>
        <w:rPr>
          <w:spacing w:val="-5"/>
        </w:rPr>
        <w:t> </w:t>
      </w:r>
      <w:r>
        <w:rPr/>
        <w:t>kategorilere</w:t>
      </w:r>
      <w:r>
        <w:rPr>
          <w:spacing w:val="-7"/>
        </w:rPr>
        <w:t> </w:t>
      </w:r>
      <w:r>
        <w:rPr/>
        <w:t>ait</w:t>
      </w:r>
      <w:r>
        <w:rPr>
          <w:spacing w:val="-3"/>
        </w:rPr>
        <w:t> </w:t>
      </w:r>
      <w:r>
        <w:rPr/>
        <w:t>katsayılar</w:t>
      </w:r>
      <w:r>
        <w:rPr>
          <w:spacing w:val="-6"/>
        </w:rPr>
        <w:t> </w:t>
      </w:r>
      <w:r>
        <w:rPr/>
        <w:t>negatif</w:t>
      </w:r>
      <w:r>
        <w:rPr>
          <w:spacing w:val="-5"/>
        </w:rPr>
        <w:t> </w:t>
      </w:r>
      <w:r>
        <w:rPr/>
        <w:t>işaretlidir (bk. Tablo 10). Ancak, istatistiksel anlamlılık konusunda Denklem (8) ve Denklem (9) sonuçları farklılık göstermektedir. Televizyon ve dizüstü bilgisayar kategorileri için her iki denklemde de katsayılar istatistiksel olarak anlamlı bulunmuştur. Öte yandan, mobilya ve koltuk kategorilerinin katsayıları Denklem (8) sonuçlarında anlamlı iken, Denklem (9) sonuçlarında istatistiksel olarak anlamlı değildir. Bu sonuçlarla, televizyon ve dizüstü bilgisayar kategorilerinde ortalama yorum puanı ile satışlar arasında pozitif ilişkiden bahsedilebilir. Ancak, mobilya ve koltuk kategorileri için ortalama yorum puanı ile satışlar arasındaki pozitif ilişkiyi sadece Denklem (8) sonuçları</w:t>
      </w:r>
      <w:r>
        <w:rPr>
          <w:spacing w:val="-5"/>
        </w:rPr>
        <w:t> </w:t>
      </w:r>
      <w:r>
        <w:rPr/>
        <w:t>desteklemektedir.</w:t>
      </w:r>
    </w:p>
    <w:p>
      <w:pPr>
        <w:spacing w:after="0" w:line="360" w:lineRule="auto"/>
        <w:sectPr>
          <w:pgSz w:w="12240" w:h="15840"/>
          <w:pgMar w:header="718" w:footer="0" w:top="1300" w:bottom="280" w:left="1720" w:right="820"/>
        </w:sectPr>
      </w:pPr>
    </w:p>
    <w:p>
      <w:pPr>
        <w:pStyle w:val="BodyText"/>
        <w:spacing w:before="100"/>
        <w:jc w:val="left"/>
      </w:pPr>
      <w:r>
        <w:rPr>
          <w:b/>
        </w:rPr>
        <w:t>Tablo 10: </w:t>
      </w:r>
      <w:r>
        <w:rPr/>
        <w:t>Denklem (8) ve Denklem (9) Sistem GMM Tahminleri</w:t>
      </w: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4"/>
        <w:gridCol w:w="1323"/>
        <w:gridCol w:w="1389"/>
        <w:gridCol w:w="1510"/>
        <w:gridCol w:w="1319"/>
      </w:tblGrid>
      <w:tr>
        <w:trPr>
          <w:trHeight w:val="475" w:hRule="atLeast"/>
        </w:trPr>
        <w:tc>
          <w:tcPr>
            <w:tcW w:w="3314" w:type="dxa"/>
            <w:tcBorders>
              <w:top w:val="single" w:sz="8" w:space="0" w:color="000000"/>
            </w:tcBorders>
          </w:tcPr>
          <w:p>
            <w:pPr>
              <w:pStyle w:val="TableParagraph"/>
              <w:ind w:left="122"/>
              <w:rPr>
                <w:b/>
                <w:sz w:val="20"/>
              </w:rPr>
            </w:pPr>
            <w:r>
              <w:rPr>
                <w:b/>
                <w:sz w:val="20"/>
              </w:rPr>
              <w:t>Değişken</w:t>
            </w:r>
          </w:p>
          <w:p>
            <w:pPr>
              <w:pStyle w:val="TableParagraph"/>
              <w:spacing w:line="224" w:lineRule="exact" w:before="1"/>
              <w:ind w:left="122"/>
              <w:rPr>
                <w:sz w:val="20"/>
              </w:rPr>
            </w:pPr>
            <w:r>
              <w:rPr>
                <w:sz w:val="20"/>
              </w:rPr>
              <w:t>(Bağımlı Değişken: Satış Sıralaması)</w:t>
            </w:r>
          </w:p>
        </w:tc>
        <w:tc>
          <w:tcPr>
            <w:tcW w:w="2712" w:type="dxa"/>
            <w:gridSpan w:val="2"/>
            <w:tcBorders>
              <w:top w:val="single" w:sz="8" w:space="0" w:color="000000"/>
            </w:tcBorders>
          </w:tcPr>
          <w:p>
            <w:pPr>
              <w:pStyle w:val="TableParagraph"/>
              <w:ind w:left="1047"/>
              <w:rPr>
                <w:b/>
                <w:sz w:val="20"/>
              </w:rPr>
            </w:pPr>
            <w:r>
              <w:rPr>
                <w:b/>
                <w:sz w:val="20"/>
              </w:rPr>
              <w:t>Denklem (8)</w:t>
            </w:r>
          </w:p>
          <w:p>
            <w:pPr>
              <w:pStyle w:val="TableParagraph"/>
              <w:tabs>
                <w:tab w:pos="5585" w:val="left" w:leader="none"/>
              </w:tabs>
              <w:spacing w:line="224" w:lineRule="exact" w:before="1"/>
              <w:ind w:left="113" w:right="-2880"/>
              <w:rPr>
                <w:sz w:val="20"/>
              </w:rPr>
            </w:pPr>
            <w:r>
              <w:rPr>
                <w:w w:val="99"/>
                <w:sz w:val="20"/>
                <w:u w:val="single"/>
              </w:rPr>
              <w:t> </w:t>
            </w:r>
            <w:r>
              <w:rPr>
                <w:sz w:val="20"/>
                <w:u w:val="single"/>
              </w:rPr>
              <w:tab/>
            </w:r>
          </w:p>
        </w:tc>
        <w:tc>
          <w:tcPr>
            <w:tcW w:w="2829" w:type="dxa"/>
            <w:gridSpan w:val="2"/>
            <w:tcBorders>
              <w:top w:val="single" w:sz="8" w:space="0" w:color="000000"/>
            </w:tcBorders>
          </w:tcPr>
          <w:p>
            <w:pPr>
              <w:pStyle w:val="TableParagraph"/>
              <w:ind w:left="1048"/>
              <w:rPr>
                <w:b/>
                <w:sz w:val="20"/>
              </w:rPr>
            </w:pPr>
            <w:r>
              <w:rPr>
                <w:b/>
                <w:sz w:val="20"/>
              </w:rPr>
              <w:t>Denklem (9)</w:t>
            </w:r>
          </w:p>
        </w:tc>
      </w:tr>
      <w:tr>
        <w:trPr>
          <w:trHeight w:val="234" w:hRule="atLeast"/>
        </w:trPr>
        <w:tc>
          <w:tcPr>
            <w:tcW w:w="3314" w:type="dxa"/>
            <w:tcBorders>
              <w:bottom w:val="single" w:sz="8" w:space="0" w:color="000000"/>
            </w:tcBorders>
          </w:tcPr>
          <w:p>
            <w:pPr>
              <w:pStyle w:val="TableParagraph"/>
              <w:ind w:left="0"/>
              <w:rPr>
                <w:sz w:val="16"/>
              </w:rPr>
            </w:pPr>
          </w:p>
        </w:tc>
        <w:tc>
          <w:tcPr>
            <w:tcW w:w="1323" w:type="dxa"/>
            <w:tcBorders>
              <w:bottom w:val="single" w:sz="8" w:space="0" w:color="000000"/>
            </w:tcBorders>
          </w:tcPr>
          <w:p>
            <w:pPr>
              <w:pStyle w:val="TableParagraph"/>
              <w:spacing w:line="210" w:lineRule="exact" w:before="5"/>
              <w:ind w:left="221"/>
              <w:rPr>
                <w:b/>
                <w:sz w:val="20"/>
              </w:rPr>
            </w:pPr>
            <w:r>
              <w:rPr>
                <w:b/>
                <w:sz w:val="20"/>
              </w:rPr>
              <w:t>Katsayı</w:t>
            </w:r>
          </w:p>
        </w:tc>
        <w:tc>
          <w:tcPr>
            <w:tcW w:w="1389" w:type="dxa"/>
            <w:tcBorders>
              <w:bottom w:val="single" w:sz="8" w:space="0" w:color="000000"/>
            </w:tcBorders>
          </w:tcPr>
          <w:p>
            <w:pPr>
              <w:pStyle w:val="TableParagraph"/>
              <w:spacing w:line="210" w:lineRule="exact" w:before="5"/>
              <w:ind w:left="152"/>
              <w:rPr>
                <w:b/>
                <w:sz w:val="20"/>
              </w:rPr>
            </w:pPr>
            <w:r>
              <w:rPr>
                <w:b/>
                <w:sz w:val="20"/>
              </w:rPr>
              <w:t>Std. Hata</w:t>
            </w:r>
          </w:p>
        </w:tc>
        <w:tc>
          <w:tcPr>
            <w:tcW w:w="1510" w:type="dxa"/>
            <w:tcBorders>
              <w:bottom w:val="single" w:sz="8" w:space="0" w:color="000000"/>
            </w:tcBorders>
          </w:tcPr>
          <w:p>
            <w:pPr>
              <w:pStyle w:val="TableParagraph"/>
              <w:spacing w:line="210" w:lineRule="exact" w:before="5"/>
              <w:ind w:left="426"/>
              <w:rPr>
                <w:b/>
                <w:sz w:val="20"/>
              </w:rPr>
            </w:pPr>
            <w:r>
              <w:rPr>
                <w:b/>
                <w:sz w:val="20"/>
              </w:rPr>
              <w:t>Katsayı</w:t>
            </w:r>
          </w:p>
        </w:tc>
        <w:tc>
          <w:tcPr>
            <w:tcW w:w="1319" w:type="dxa"/>
            <w:tcBorders>
              <w:bottom w:val="single" w:sz="8" w:space="0" w:color="000000"/>
            </w:tcBorders>
          </w:tcPr>
          <w:p>
            <w:pPr>
              <w:pStyle w:val="TableParagraph"/>
              <w:spacing w:line="210" w:lineRule="exact" w:before="5"/>
              <w:ind w:left="169"/>
              <w:rPr>
                <w:b/>
                <w:sz w:val="20"/>
              </w:rPr>
            </w:pPr>
            <w:r>
              <w:rPr>
                <w:b/>
                <w:sz w:val="20"/>
              </w:rPr>
              <w:t>Std. Hata</w:t>
            </w:r>
          </w:p>
        </w:tc>
      </w:tr>
      <w:tr>
        <w:trPr>
          <w:trHeight w:val="234" w:hRule="atLeast"/>
        </w:trPr>
        <w:tc>
          <w:tcPr>
            <w:tcW w:w="3314" w:type="dxa"/>
            <w:tcBorders>
              <w:top w:val="single" w:sz="8" w:space="0" w:color="000000"/>
            </w:tcBorders>
          </w:tcPr>
          <w:p>
            <w:pPr>
              <w:pStyle w:val="TableParagraph"/>
              <w:spacing w:line="210" w:lineRule="exact"/>
              <w:ind w:left="122"/>
              <w:rPr>
                <w:sz w:val="13"/>
              </w:rPr>
            </w:pPr>
            <w:r>
              <w:rPr>
                <w:position w:val="2"/>
                <w:sz w:val="20"/>
              </w:rPr>
              <w:t>Satış Sıralaması</w:t>
            </w:r>
            <w:r>
              <w:rPr>
                <w:sz w:val="13"/>
              </w:rPr>
              <w:t>t-1</w:t>
            </w:r>
          </w:p>
        </w:tc>
        <w:tc>
          <w:tcPr>
            <w:tcW w:w="1323" w:type="dxa"/>
            <w:tcBorders>
              <w:top w:val="single" w:sz="8" w:space="0" w:color="000000"/>
            </w:tcBorders>
          </w:tcPr>
          <w:p>
            <w:pPr>
              <w:pStyle w:val="TableParagraph"/>
              <w:spacing w:line="210" w:lineRule="exact"/>
              <w:ind w:left="221"/>
              <w:rPr>
                <w:sz w:val="20"/>
              </w:rPr>
            </w:pPr>
            <w:r>
              <w:rPr>
                <w:sz w:val="20"/>
              </w:rPr>
              <w:t>,596***</w:t>
            </w:r>
          </w:p>
        </w:tc>
        <w:tc>
          <w:tcPr>
            <w:tcW w:w="1389" w:type="dxa"/>
            <w:tcBorders>
              <w:top w:val="single" w:sz="8" w:space="0" w:color="000000"/>
            </w:tcBorders>
          </w:tcPr>
          <w:p>
            <w:pPr>
              <w:pStyle w:val="TableParagraph"/>
              <w:spacing w:line="210" w:lineRule="exact"/>
              <w:ind w:left="152"/>
              <w:rPr>
                <w:sz w:val="20"/>
              </w:rPr>
            </w:pPr>
            <w:r>
              <w:rPr>
                <w:sz w:val="20"/>
              </w:rPr>
              <w:t>,011</w:t>
            </w:r>
          </w:p>
        </w:tc>
        <w:tc>
          <w:tcPr>
            <w:tcW w:w="1510" w:type="dxa"/>
            <w:tcBorders>
              <w:top w:val="single" w:sz="8" w:space="0" w:color="000000"/>
            </w:tcBorders>
          </w:tcPr>
          <w:p>
            <w:pPr>
              <w:pStyle w:val="TableParagraph"/>
              <w:spacing w:line="210" w:lineRule="exact"/>
              <w:ind w:left="426"/>
              <w:rPr>
                <w:sz w:val="20"/>
              </w:rPr>
            </w:pPr>
            <w:r>
              <w:rPr>
                <w:sz w:val="20"/>
              </w:rPr>
              <w:t>,591***</w:t>
            </w:r>
          </w:p>
        </w:tc>
        <w:tc>
          <w:tcPr>
            <w:tcW w:w="1319" w:type="dxa"/>
            <w:tcBorders>
              <w:top w:val="single" w:sz="8" w:space="0" w:color="000000"/>
            </w:tcBorders>
          </w:tcPr>
          <w:p>
            <w:pPr>
              <w:pStyle w:val="TableParagraph"/>
              <w:spacing w:line="210" w:lineRule="exact"/>
              <w:ind w:left="169"/>
              <w:rPr>
                <w:sz w:val="20"/>
              </w:rPr>
            </w:pPr>
            <w:r>
              <w:rPr>
                <w:sz w:val="20"/>
              </w:rPr>
              <w:t>,011</w:t>
            </w:r>
          </w:p>
        </w:tc>
      </w:tr>
      <w:tr>
        <w:trPr>
          <w:trHeight w:val="230" w:hRule="atLeast"/>
        </w:trPr>
        <w:tc>
          <w:tcPr>
            <w:tcW w:w="3314" w:type="dxa"/>
            <w:shd w:val="clear" w:color="auto" w:fill="F1F1F1"/>
          </w:tcPr>
          <w:p>
            <w:pPr>
              <w:pStyle w:val="TableParagraph"/>
              <w:spacing w:line="210" w:lineRule="exact"/>
              <w:ind w:left="122"/>
              <w:rPr>
                <w:sz w:val="13"/>
              </w:rPr>
            </w:pPr>
            <w:r>
              <w:rPr>
                <w:position w:val="2"/>
                <w:sz w:val="20"/>
              </w:rPr>
              <w:t>Satış Sıralaması</w:t>
            </w:r>
            <w:r>
              <w:rPr>
                <w:sz w:val="13"/>
              </w:rPr>
              <w:t>t-2</w:t>
            </w:r>
          </w:p>
        </w:tc>
        <w:tc>
          <w:tcPr>
            <w:tcW w:w="1323" w:type="dxa"/>
            <w:shd w:val="clear" w:color="auto" w:fill="F1F1F1"/>
          </w:tcPr>
          <w:p>
            <w:pPr>
              <w:pStyle w:val="TableParagraph"/>
              <w:spacing w:line="210" w:lineRule="exact"/>
              <w:ind w:left="221"/>
              <w:rPr>
                <w:sz w:val="20"/>
              </w:rPr>
            </w:pPr>
            <w:r>
              <w:rPr>
                <w:sz w:val="20"/>
              </w:rPr>
              <w:t>,203***</w:t>
            </w:r>
          </w:p>
        </w:tc>
        <w:tc>
          <w:tcPr>
            <w:tcW w:w="1389" w:type="dxa"/>
            <w:shd w:val="clear" w:color="auto" w:fill="F1F1F1"/>
          </w:tcPr>
          <w:p>
            <w:pPr>
              <w:pStyle w:val="TableParagraph"/>
              <w:spacing w:line="210" w:lineRule="exact"/>
              <w:ind w:left="152"/>
              <w:rPr>
                <w:sz w:val="20"/>
              </w:rPr>
            </w:pPr>
            <w:r>
              <w:rPr>
                <w:sz w:val="20"/>
              </w:rPr>
              <w:t>,009</w:t>
            </w:r>
          </w:p>
        </w:tc>
        <w:tc>
          <w:tcPr>
            <w:tcW w:w="1510" w:type="dxa"/>
            <w:shd w:val="clear" w:color="auto" w:fill="F1F1F1"/>
          </w:tcPr>
          <w:p>
            <w:pPr>
              <w:pStyle w:val="TableParagraph"/>
              <w:spacing w:line="210" w:lineRule="exact"/>
              <w:ind w:left="426"/>
              <w:rPr>
                <w:sz w:val="20"/>
              </w:rPr>
            </w:pPr>
            <w:r>
              <w:rPr>
                <w:sz w:val="20"/>
              </w:rPr>
              <w:t>,200***</w:t>
            </w:r>
          </w:p>
        </w:tc>
        <w:tc>
          <w:tcPr>
            <w:tcW w:w="1319" w:type="dxa"/>
            <w:shd w:val="clear" w:color="auto" w:fill="F1F1F1"/>
          </w:tcPr>
          <w:p>
            <w:pPr>
              <w:pStyle w:val="TableParagraph"/>
              <w:spacing w:line="210" w:lineRule="exact"/>
              <w:ind w:left="169"/>
              <w:rPr>
                <w:sz w:val="20"/>
              </w:rPr>
            </w:pPr>
            <w:r>
              <w:rPr>
                <w:sz w:val="20"/>
              </w:rPr>
              <w:t>,009</w:t>
            </w:r>
          </w:p>
        </w:tc>
      </w:tr>
      <w:tr>
        <w:trPr>
          <w:trHeight w:val="230" w:hRule="atLeast"/>
        </w:trPr>
        <w:tc>
          <w:tcPr>
            <w:tcW w:w="3314" w:type="dxa"/>
          </w:tcPr>
          <w:p>
            <w:pPr>
              <w:pStyle w:val="TableParagraph"/>
              <w:spacing w:line="210" w:lineRule="exact"/>
              <w:ind w:left="122"/>
              <w:rPr>
                <w:sz w:val="13"/>
              </w:rPr>
            </w:pPr>
            <w:r>
              <w:rPr>
                <w:position w:val="2"/>
                <w:sz w:val="20"/>
              </w:rPr>
              <w:t>Satış Sıralaması</w:t>
            </w:r>
            <w:r>
              <w:rPr>
                <w:sz w:val="13"/>
              </w:rPr>
              <w:t>t-3</w:t>
            </w:r>
          </w:p>
        </w:tc>
        <w:tc>
          <w:tcPr>
            <w:tcW w:w="1323" w:type="dxa"/>
          </w:tcPr>
          <w:p>
            <w:pPr>
              <w:pStyle w:val="TableParagraph"/>
              <w:spacing w:line="210" w:lineRule="exact"/>
              <w:ind w:left="221"/>
              <w:rPr>
                <w:sz w:val="20"/>
              </w:rPr>
            </w:pPr>
            <w:r>
              <w:rPr>
                <w:sz w:val="20"/>
              </w:rPr>
              <w:t>,108***</w:t>
            </w:r>
          </w:p>
        </w:tc>
        <w:tc>
          <w:tcPr>
            <w:tcW w:w="1389" w:type="dxa"/>
          </w:tcPr>
          <w:p>
            <w:pPr>
              <w:pStyle w:val="TableParagraph"/>
              <w:spacing w:line="210" w:lineRule="exact"/>
              <w:ind w:left="152"/>
              <w:rPr>
                <w:sz w:val="20"/>
              </w:rPr>
            </w:pPr>
            <w:r>
              <w:rPr>
                <w:sz w:val="20"/>
              </w:rPr>
              <w:t>,008</w:t>
            </w:r>
          </w:p>
        </w:tc>
        <w:tc>
          <w:tcPr>
            <w:tcW w:w="1510" w:type="dxa"/>
          </w:tcPr>
          <w:p>
            <w:pPr>
              <w:pStyle w:val="TableParagraph"/>
              <w:spacing w:line="210" w:lineRule="exact"/>
              <w:ind w:left="426"/>
              <w:rPr>
                <w:sz w:val="20"/>
              </w:rPr>
            </w:pPr>
            <w:r>
              <w:rPr>
                <w:sz w:val="20"/>
              </w:rPr>
              <w:t>,108***</w:t>
            </w:r>
          </w:p>
        </w:tc>
        <w:tc>
          <w:tcPr>
            <w:tcW w:w="1319" w:type="dxa"/>
          </w:tcPr>
          <w:p>
            <w:pPr>
              <w:pStyle w:val="TableParagraph"/>
              <w:spacing w:line="210" w:lineRule="exact"/>
              <w:ind w:left="169"/>
              <w:rPr>
                <w:sz w:val="20"/>
              </w:rPr>
            </w:pPr>
            <w:r>
              <w:rPr>
                <w:sz w:val="20"/>
              </w:rPr>
              <w:t>,008</w:t>
            </w:r>
          </w:p>
        </w:tc>
      </w:tr>
      <w:tr>
        <w:trPr>
          <w:trHeight w:val="226" w:hRule="atLeast"/>
        </w:trPr>
        <w:tc>
          <w:tcPr>
            <w:tcW w:w="3314" w:type="dxa"/>
            <w:shd w:val="clear" w:color="auto" w:fill="F1F1F1"/>
          </w:tcPr>
          <w:p>
            <w:pPr>
              <w:pStyle w:val="TableParagraph"/>
              <w:spacing w:line="210" w:lineRule="exact"/>
              <w:ind w:left="122"/>
              <w:rPr>
                <w:sz w:val="20"/>
              </w:rPr>
            </w:pPr>
            <w:r>
              <w:rPr>
                <w:sz w:val="20"/>
              </w:rPr>
              <w:t>Toplam Yorum Sayısı*Mobilya</w:t>
            </w:r>
          </w:p>
        </w:tc>
        <w:tc>
          <w:tcPr>
            <w:tcW w:w="1323" w:type="dxa"/>
            <w:shd w:val="clear" w:color="auto" w:fill="F1F1F1"/>
          </w:tcPr>
          <w:p>
            <w:pPr>
              <w:pStyle w:val="TableParagraph"/>
              <w:spacing w:line="210" w:lineRule="exact"/>
              <w:ind w:left="221"/>
              <w:rPr>
                <w:sz w:val="20"/>
              </w:rPr>
            </w:pPr>
            <w:r>
              <w:rPr>
                <w:sz w:val="20"/>
              </w:rPr>
              <w:t>-,040***</w:t>
            </w:r>
          </w:p>
        </w:tc>
        <w:tc>
          <w:tcPr>
            <w:tcW w:w="1389" w:type="dxa"/>
            <w:shd w:val="clear" w:color="auto" w:fill="F1F1F1"/>
          </w:tcPr>
          <w:p>
            <w:pPr>
              <w:pStyle w:val="TableParagraph"/>
              <w:spacing w:line="210" w:lineRule="exact"/>
              <w:ind w:left="152"/>
              <w:rPr>
                <w:sz w:val="20"/>
              </w:rPr>
            </w:pPr>
            <w:r>
              <w:rPr>
                <w:sz w:val="20"/>
              </w:rPr>
              <w:t>,007</w:t>
            </w:r>
          </w:p>
        </w:tc>
        <w:tc>
          <w:tcPr>
            <w:tcW w:w="1510" w:type="dxa"/>
            <w:shd w:val="clear" w:color="auto" w:fill="F1F1F1"/>
          </w:tcPr>
          <w:p>
            <w:pPr>
              <w:pStyle w:val="TableParagraph"/>
              <w:ind w:left="0"/>
              <w:rPr>
                <w:sz w:val="16"/>
              </w:rPr>
            </w:pPr>
          </w:p>
        </w:tc>
        <w:tc>
          <w:tcPr>
            <w:tcW w:w="1319" w:type="dxa"/>
            <w:shd w:val="clear" w:color="auto" w:fill="F1F1F1"/>
          </w:tcPr>
          <w:p>
            <w:pPr>
              <w:pStyle w:val="TableParagraph"/>
              <w:ind w:left="0"/>
              <w:rPr>
                <w:sz w:val="16"/>
              </w:rPr>
            </w:pPr>
          </w:p>
        </w:tc>
      </w:tr>
      <w:tr>
        <w:trPr>
          <w:trHeight w:val="227" w:hRule="atLeast"/>
        </w:trPr>
        <w:tc>
          <w:tcPr>
            <w:tcW w:w="3314" w:type="dxa"/>
          </w:tcPr>
          <w:p>
            <w:pPr>
              <w:pStyle w:val="TableParagraph"/>
              <w:spacing w:line="208" w:lineRule="exact"/>
              <w:ind w:left="122"/>
              <w:rPr>
                <w:sz w:val="20"/>
              </w:rPr>
            </w:pPr>
            <w:r>
              <w:rPr>
                <w:sz w:val="20"/>
              </w:rPr>
              <w:t>Toplam Yorum Sayısı*Koltuk</w:t>
            </w:r>
          </w:p>
        </w:tc>
        <w:tc>
          <w:tcPr>
            <w:tcW w:w="1323" w:type="dxa"/>
          </w:tcPr>
          <w:p>
            <w:pPr>
              <w:pStyle w:val="TableParagraph"/>
              <w:spacing w:line="208" w:lineRule="exact"/>
              <w:ind w:left="221"/>
              <w:rPr>
                <w:sz w:val="20"/>
              </w:rPr>
            </w:pPr>
            <w:r>
              <w:rPr>
                <w:sz w:val="20"/>
              </w:rPr>
              <w:t>-,017***</w:t>
            </w:r>
          </w:p>
        </w:tc>
        <w:tc>
          <w:tcPr>
            <w:tcW w:w="1389" w:type="dxa"/>
          </w:tcPr>
          <w:p>
            <w:pPr>
              <w:pStyle w:val="TableParagraph"/>
              <w:spacing w:line="208" w:lineRule="exact"/>
              <w:ind w:left="152"/>
              <w:rPr>
                <w:sz w:val="20"/>
              </w:rPr>
            </w:pPr>
            <w:r>
              <w:rPr>
                <w:sz w:val="20"/>
              </w:rPr>
              <w:t>,006</w:t>
            </w:r>
          </w:p>
        </w:tc>
        <w:tc>
          <w:tcPr>
            <w:tcW w:w="1510" w:type="dxa"/>
          </w:tcPr>
          <w:p>
            <w:pPr>
              <w:pStyle w:val="TableParagraph"/>
              <w:ind w:left="0"/>
              <w:rPr>
                <w:sz w:val="16"/>
              </w:rPr>
            </w:pPr>
          </w:p>
        </w:tc>
        <w:tc>
          <w:tcPr>
            <w:tcW w:w="1319" w:type="dxa"/>
          </w:tcPr>
          <w:p>
            <w:pPr>
              <w:pStyle w:val="TableParagraph"/>
              <w:ind w:left="0"/>
              <w:rPr>
                <w:sz w:val="16"/>
              </w:rPr>
            </w:pPr>
          </w:p>
        </w:tc>
      </w:tr>
      <w:tr>
        <w:trPr>
          <w:trHeight w:val="230" w:hRule="atLeast"/>
        </w:trPr>
        <w:tc>
          <w:tcPr>
            <w:tcW w:w="3314" w:type="dxa"/>
            <w:shd w:val="clear" w:color="auto" w:fill="F1F1F1"/>
          </w:tcPr>
          <w:p>
            <w:pPr>
              <w:pStyle w:val="TableParagraph"/>
              <w:spacing w:line="210" w:lineRule="exact"/>
              <w:ind w:left="122"/>
              <w:rPr>
                <w:sz w:val="20"/>
              </w:rPr>
            </w:pPr>
            <w:r>
              <w:rPr>
                <w:sz w:val="20"/>
              </w:rPr>
              <w:t>Toplam Yorum Sayısı*TV</w:t>
            </w:r>
          </w:p>
        </w:tc>
        <w:tc>
          <w:tcPr>
            <w:tcW w:w="1323" w:type="dxa"/>
            <w:shd w:val="clear" w:color="auto" w:fill="F1F1F1"/>
          </w:tcPr>
          <w:p>
            <w:pPr>
              <w:pStyle w:val="TableParagraph"/>
              <w:spacing w:line="210" w:lineRule="exact"/>
              <w:ind w:left="221"/>
              <w:rPr>
                <w:sz w:val="20"/>
              </w:rPr>
            </w:pPr>
            <w:r>
              <w:rPr>
                <w:sz w:val="20"/>
              </w:rPr>
              <w:t>-,044***</w:t>
            </w:r>
          </w:p>
        </w:tc>
        <w:tc>
          <w:tcPr>
            <w:tcW w:w="1389" w:type="dxa"/>
            <w:shd w:val="clear" w:color="auto" w:fill="F1F1F1"/>
          </w:tcPr>
          <w:p>
            <w:pPr>
              <w:pStyle w:val="TableParagraph"/>
              <w:spacing w:line="210" w:lineRule="exact"/>
              <w:ind w:left="152"/>
              <w:rPr>
                <w:sz w:val="20"/>
              </w:rPr>
            </w:pPr>
            <w:r>
              <w:rPr>
                <w:sz w:val="20"/>
              </w:rPr>
              <w:t>,013</w:t>
            </w:r>
          </w:p>
        </w:tc>
        <w:tc>
          <w:tcPr>
            <w:tcW w:w="1510" w:type="dxa"/>
            <w:shd w:val="clear" w:color="auto" w:fill="F1F1F1"/>
          </w:tcPr>
          <w:p>
            <w:pPr>
              <w:pStyle w:val="TableParagraph"/>
              <w:ind w:left="0"/>
              <w:rPr>
                <w:sz w:val="16"/>
              </w:rPr>
            </w:pPr>
          </w:p>
        </w:tc>
        <w:tc>
          <w:tcPr>
            <w:tcW w:w="1319" w:type="dxa"/>
            <w:shd w:val="clear" w:color="auto" w:fill="F1F1F1"/>
          </w:tcPr>
          <w:p>
            <w:pPr>
              <w:pStyle w:val="TableParagraph"/>
              <w:ind w:left="0"/>
              <w:rPr>
                <w:sz w:val="16"/>
              </w:rPr>
            </w:pPr>
          </w:p>
        </w:tc>
      </w:tr>
      <w:tr>
        <w:trPr>
          <w:trHeight w:val="230" w:hRule="atLeast"/>
        </w:trPr>
        <w:tc>
          <w:tcPr>
            <w:tcW w:w="3314" w:type="dxa"/>
          </w:tcPr>
          <w:p>
            <w:pPr>
              <w:pStyle w:val="TableParagraph"/>
              <w:spacing w:line="210" w:lineRule="exact"/>
              <w:ind w:left="122"/>
              <w:rPr>
                <w:sz w:val="20"/>
              </w:rPr>
            </w:pPr>
            <w:r>
              <w:rPr>
                <w:sz w:val="20"/>
              </w:rPr>
              <w:t>Toplam Yorum Sayısı*Dizüstü</w:t>
            </w:r>
          </w:p>
        </w:tc>
        <w:tc>
          <w:tcPr>
            <w:tcW w:w="1323" w:type="dxa"/>
          </w:tcPr>
          <w:p>
            <w:pPr>
              <w:pStyle w:val="TableParagraph"/>
              <w:spacing w:line="210" w:lineRule="exact"/>
              <w:ind w:left="221"/>
              <w:rPr>
                <w:sz w:val="20"/>
              </w:rPr>
            </w:pPr>
            <w:r>
              <w:rPr>
                <w:sz w:val="20"/>
              </w:rPr>
              <w:t>-,042***</w:t>
            </w:r>
          </w:p>
        </w:tc>
        <w:tc>
          <w:tcPr>
            <w:tcW w:w="1389" w:type="dxa"/>
          </w:tcPr>
          <w:p>
            <w:pPr>
              <w:pStyle w:val="TableParagraph"/>
              <w:spacing w:line="210" w:lineRule="exact"/>
              <w:ind w:left="152"/>
              <w:rPr>
                <w:sz w:val="20"/>
              </w:rPr>
            </w:pPr>
            <w:r>
              <w:rPr>
                <w:sz w:val="20"/>
              </w:rPr>
              <w:t>,014</w:t>
            </w:r>
          </w:p>
        </w:tc>
        <w:tc>
          <w:tcPr>
            <w:tcW w:w="1510" w:type="dxa"/>
          </w:tcPr>
          <w:p>
            <w:pPr>
              <w:pStyle w:val="TableParagraph"/>
              <w:ind w:left="0"/>
              <w:rPr>
                <w:sz w:val="16"/>
              </w:rPr>
            </w:pPr>
          </w:p>
        </w:tc>
        <w:tc>
          <w:tcPr>
            <w:tcW w:w="1319" w:type="dxa"/>
          </w:tcPr>
          <w:p>
            <w:pPr>
              <w:pStyle w:val="TableParagraph"/>
              <w:ind w:left="0"/>
              <w:rPr>
                <w:sz w:val="16"/>
              </w:rPr>
            </w:pPr>
          </w:p>
        </w:tc>
      </w:tr>
      <w:tr>
        <w:trPr>
          <w:trHeight w:val="230" w:hRule="atLeast"/>
        </w:trPr>
        <w:tc>
          <w:tcPr>
            <w:tcW w:w="3314" w:type="dxa"/>
            <w:shd w:val="clear" w:color="auto" w:fill="F1F1F1"/>
          </w:tcPr>
          <w:p>
            <w:pPr>
              <w:pStyle w:val="TableParagraph"/>
              <w:spacing w:line="210" w:lineRule="exact"/>
              <w:ind w:left="122"/>
              <w:rPr>
                <w:sz w:val="20"/>
              </w:rPr>
            </w:pPr>
            <w:r>
              <w:rPr>
                <w:sz w:val="20"/>
              </w:rPr>
              <w:t>Ortalama Yorum Puanı*Mobilya</w:t>
            </w:r>
          </w:p>
        </w:tc>
        <w:tc>
          <w:tcPr>
            <w:tcW w:w="1323" w:type="dxa"/>
            <w:shd w:val="clear" w:color="auto" w:fill="F1F1F1"/>
          </w:tcPr>
          <w:p>
            <w:pPr>
              <w:pStyle w:val="TableParagraph"/>
              <w:spacing w:line="210" w:lineRule="exact"/>
              <w:ind w:left="221"/>
              <w:rPr>
                <w:sz w:val="20"/>
              </w:rPr>
            </w:pPr>
            <w:r>
              <w:rPr>
                <w:sz w:val="20"/>
              </w:rPr>
              <w:t>-,037**</w:t>
            </w:r>
          </w:p>
        </w:tc>
        <w:tc>
          <w:tcPr>
            <w:tcW w:w="1389" w:type="dxa"/>
            <w:shd w:val="clear" w:color="auto" w:fill="F1F1F1"/>
          </w:tcPr>
          <w:p>
            <w:pPr>
              <w:pStyle w:val="TableParagraph"/>
              <w:spacing w:line="210" w:lineRule="exact"/>
              <w:ind w:left="152"/>
              <w:rPr>
                <w:sz w:val="20"/>
              </w:rPr>
            </w:pPr>
            <w:r>
              <w:rPr>
                <w:sz w:val="20"/>
              </w:rPr>
              <w:t>,017</w:t>
            </w:r>
          </w:p>
        </w:tc>
        <w:tc>
          <w:tcPr>
            <w:tcW w:w="1510" w:type="dxa"/>
            <w:shd w:val="clear" w:color="auto" w:fill="F1F1F1"/>
          </w:tcPr>
          <w:p>
            <w:pPr>
              <w:pStyle w:val="TableParagraph"/>
              <w:spacing w:line="210" w:lineRule="exact"/>
              <w:ind w:left="426"/>
              <w:rPr>
                <w:sz w:val="20"/>
              </w:rPr>
            </w:pPr>
            <w:r>
              <w:rPr>
                <w:sz w:val="20"/>
              </w:rPr>
              <w:t>-,007</w:t>
            </w:r>
          </w:p>
        </w:tc>
        <w:tc>
          <w:tcPr>
            <w:tcW w:w="1319" w:type="dxa"/>
            <w:shd w:val="clear" w:color="auto" w:fill="F1F1F1"/>
          </w:tcPr>
          <w:p>
            <w:pPr>
              <w:pStyle w:val="TableParagraph"/>
              <w:spacing w:line="210" w:lineRule="exact"/>
              <w:ind w:left="169"/>
              <w:rPr>
                <w:sz w:val="20"/>
              </w:rPr>
            </w:pPr>
            <w:r>
              <w:rPr>
                <w:sz w:val="20"/>
              </w:rPr>
              <w:t>,020</w:t>
            </w:r>
          </w:p>
        </w:tc>
      </w:tr>
      <w:tr>
        <w:trPr>
          <w:trHeight w:val="230" w:hRule="atLeast"/>
        </w:trPr>
        <w:tc>
          <w:tcPr>
            <w:tcW w:w="3314" w:type="dxa"/>
          </w:tcPr>
          <w:p>
            <w:pPr>
              <w:pStyle w:val="TableParagraph"/>
              <w:spacing w:line="210" w:lineRule="exact"/>
              <w:ind w:left="122"/>
              <w:rPr>
                <w:sz w:val="20"/>
              </w:rPr>
            </w:pPr>
            <w:r>
              <w:rPr>
                <w:sz w:val="20"/>
              </w:rPr>
              <w:t>Ortalama Yorum Puanı*Koltuk</w:t>
            </w:r>
          </w:p>
        </w:tc>
        <w:tc>
          <w:tcPr>
            <w:tcW w:w="1323" w:type="dxa"/>
          </w:tcPr>
          <w:p>
            <w:pPr>
              <w:pStyle w:val="TableParagraph"/>
              <w:spacing w:line="210" w:lineRule="exact"/>
              <w:ind w:left="221"/>
              <w:rPr>
                <w:sz w:val="20"/>
              </w:rPr>
            </w:pPr>
            <w:r>
              <w:rPr>
                <w:sz w:val="20"/>
              </w:rPr>
              <w:t>-,046*</w:t>
            </w:r>
          </w:p>
        </w:tc>
        <w:tc>
          <w:tcPr>
            <w:tcW w:w="1389" w:type="dxa"/>
          </w:tcPr>
          <w:p>
            <w:pPr>
              <w:pStyle w:val="TableParagraph"/>
              <w:spacing w:line="210" w:lineRule="exact"/>
              <w:ind w:left="152"/>
              <w:rPr>
                <w:sz w:val="20"/>
              </w:rPr>
            </w:pPr>
            <w:r>
              <w:rPr>
                <w:sz w:val="20"/>
              </w:rPr>
              <w:t>,027</w:t>
            </w:r>
          </w:p>
        </w:tc>
        <w:tc>
          <w:tcPr>
            <w:tcW w:w="1510" w:type="dxa"/>
          </w:tcPr>
          <w:p>
            <w:pPr>
              <w:pStyle w:val="TableParagraph"/>
              <w:spacing w:line="210" w:lineRule="exact"/>
              <w:ind w:left="426"/>
              <w:rPr>
                <w:sz w:val="20"/>
              </w:rPr>
            </w:pPr>
            <w:r>
              <w:rPr>
                <w:sz w:val="20"/>
              </w:rPr>
              <w:t>-,009</w:t>
            </w:r>
          </w:p>
        </w:tc>
        <w:tc>
          <w:tcPr>
            <w:tcW w:w="1319" w:type="dxa"/>
          </w:tcPr>
          <w:p>
            <w:pPr>
              <w:pStyle w:val="TableParagraph"/>
              <w:spacing w:line="210" w:lineRule="exact"/>
              <w:ind w:left="169"/>
              <w:rPr>
                <w:sz w:val="20"/>
              </w:rPr>
            </w:pPr>
            <w:r>
              <w:rPr>
                <w:sz w:val="20"/>
              </w:rPr>
              <w:t>,29</w:t>
            </w:r>
          </w:p>
        </w:tc>
      </w:tr>
      <w:tr>
        <w:trPr>
          <w:trHeight w:val="230" w:hRule="atLeast"/>
        </w:trPr>
        <w:tc>
          <w:tcPr>
            <w:tcW w:w="3314" w:type="dxa"/>
            <w:shd w:val="clear" w:color="auto" w:fill="F1F1F1"/>
          </w:tcPr>
          <w:p>
            <w:pPr>
              <w:pStyle w:val="TableParagraph"/>
              <w:spacing w:line="210" w:lineRule="exact"/>
              <w:ind w:left="122"/>
              <w:rPr>
                <w:sz w:val="20"/>
              </w:rPr>
            </w:pPr>
            <w:r>
              <w:rPr>
                <w:sz w:val="20"/>
              </w:rPr>
              <w:t>Ortalama Yorum Puanı*TV</w:t>
            </w:r>
          </w:p>
        </w:tc>
        <w:tc>
          <w:tcPr>
            <w:tcW w:w="1323" w:type="dxa"/>
            <w:shd w:val="clear" w:color="auto" w:fill="F1F1F1"/>
          </w:tcPr>
          <w:p>
            <w:pPr>
              <w:pStyle w:val="TableParagraph"/>
              <w:spacing w:line="210" w:lineRule="exact"/>
              <w:ind w:left="221"/>
              <w:rPr>
                <w:sz w:val="20"/>
              </w:rPr>
            </w:pPr>
            <w:r>
              <w:rPr>
                <w:sz w:val="20"/>
              </w:rPr>
              <w:t>-,278***</w:t>
            </w:r>
          </w:p>
        </w:tc>
        <w:tc>
          <w:tcPr>
            <w:tcW w:w="1389" w:type="dxa"/>
            <w:shd w:val="clear" w:color="auto" w:fill="F1F1F1"/>
          </w:tcPr>
          <w:p>
            <w:pPr>
              <w:pStyle w:val="TableParagraph"/>
              <w:spacing w:line="210" w:lineRule="exact"/>
              <w:ind w:left="152"/>
              <w:rPr>
                <w:sz w:val="20"/>
              </w:rPr>
            </w:pPr>
            <w:r>
              <w:rPr>
                <w:sz w:val="20"/>
              </w:rPr>
              <w:t>,055</w:t>
            </w:r>
          </w:p>
        </w:tc>
        <w:tc>
          <w:tcPr>
            <w:tcW w:w="1510" w:type="dxa"/>
            <w:shd w:val="clear" w:color="auto" w:fill="F1F1F1"/>
          </w:tcPr>
          <w:p>
            <w:pPr>
              <w:pStyle w:val="TableParagraph"/>
              <w:spacing w:line="210" w:lineRule="exact"/>
              <w:ind w:left="426"/>
              <w:rPr>
                <w:sz w:val="20"/>
              </w:rPr>
            </w:pPr>
            <w:r>
              <w:rPr>
                <w:sz w:val="20"/>
              </w:rPr>
              <w:t>-,317***</w:t>
            </w:r>
          </w:p>
        </w:tc>
        <w:tc>
          <w:tcPr>
            <w:tcW w:w="1319" w:type="dxa"/>
            <w:shd w:val="clear" w:color="auto" w:fill="F1F1F1"/>
          </w:tcPr>
          <w:p>
            <w:pPr>
              <w:pStyle w:val="TableParagraph"/>
              <w:spacing w:line="210" w:lineRule="exact"/>
              <w:ind w:left="169"/>
              <w:rPr>
                <w:sz w:val="20"/>
              </w:rPr>
            </w:pPr>
            <w:r>
              <w:rPr>
                <w:sz w:val="20"/>
              </w:rPr>
              <w:t>,056</w:t>
            </w:r>
          </w:p>
        </w:tc>
      </w:tr>
      <w:tr>
        <w:trPr>
          <w:trHeight w:val="228" w:hRule="atLeast"/>
        </w:trPr>
        <w:tc>
          <w:tcPr>
            <w:tcW w:w="3314" w:type="dxa"/>
          </w:tcPr>
          <w:p>
            <w:pPr>
              <w:pStyle w:val="TableParagraph"/>
              <w:spacing w:line="208" w:lineRule="exact"/>
              <w:ind w:left="122"/>
              <w:rPr>
                <w:sz w:val="20"/>
              </w:rPr>
            </w:pPr>
            <w:r>
              <w:rPr>
                <w:sz w:val="20"/>
              </w:rPr>
              <w:t>Ortalama Yorum Puanı*Dizüstü</w:t>
            </w:r>
          </w:p>
        </w:tc>
        <w:tc>
          <w:tcPr>
            <w:tcW w:w="1323" w:type="dxa"/>
          </w:tcPr>
          <w:p>
            <w:pPr>
              <w:pStyle w:val="TableParagraph"/>
              <w:spacing w:line="208" w:lineRule="exact"/>
              <w:ind w:left="221"/>
              <w:rPr>
                <w:sz w:val="20"/>
              </w:rPr>
            </w:pPr>
            <w:r>
              <w:rPr>
                <w:sz w:val="20"/>
              </w:rPr>
              <w:t>-,369***</w:t>
            </w:r>
          </w:p>
        </w:tc>
        <w:tc>
          <w:tcPr>
            <w:tcW w:w="1389" w:type="dxa"/>
          </w:tcPr>
          <w:p>
            <w:pPr>
              <w:pStyle w:val="TableParagraph"/>
              <w:spacing w:line="208" w:lineRule="exact"/>
              <w:ind w:left="152"/>
              <w:rPr>
                <w:sz w:val="20"/>
              </w:rPr>
            </w:pPr>
            <w:r>
              <w:rPr>
                <w:sz w:val="20"/>
              </w:rPr>
              <w:t>,063</w:t>
            </w:r>
          </w:p>
        </w:tc>
        <w:tc>
          <w:tcPr>
            <w:tcW w:w="1510" w:type="dxa"/>
          </w:tcPr>
          <w:p>
            <w:pPr>
              <w:pStyle w:val="TableParagraph"/>
              <w:spacing w:line="208" w:lineRule="exact"/>
              <w:ind w:left="426"/>
              <w:rPr>
                <w:sz w:val="20"/>
              </w:rPr>
            </w:pPr>
            <w:r>
              <w:rPr>
                <w:sz w:val="20"/>
              </w:rPr>
              <w:t>-,424***</w:t>
            </w:r>
          </w:p>
        </w:tc>
        <w:tc>
          <w:tcPr>
            <w:tcW w:w="1319" w:type="dxa"/>
          </w:tcPr>
          <w:p>
            <w:pPr>
              <w:pStyle w:val="TableParagraph"/>
              <w:spacing w:line="208" w:lineRule="exact"/>
              <w:ind w:left="169"/>
              <w:rPr>
                <w:sz w:val="20"/>
              </w:rPr>
            </w:pPr>
            <w:r>
              <w:rPr>
                <w:sz w:val="20"/>
              </w:rPr>
              <w:t>,065</w:t>
            </w:r>
          </w:p>
        </w:tc>
      </w:tr>
      <w:tr>
        <w:trPr>
          <w:trHeight w:val="230" w:hRule="atLeast"/>
        </w:trPr>
        <w:tc>
          <w:tcPr>
            <w:tcW w:w="3314" w:type="dxa"/>
            <w:shd w:val="clear" w:color="auto" w:fill="F1F1F1"/>
          </w:tcPr>
          <w:p>
            <w:pPr>
              <w:pStyle w:val="TableParagraph"/>
              <w:spacing w:line="211" w:lineRule="exact"/>
              <w:ind w:left="122"/>
              <w:rPr>
                <w:sz w:val="20"/>
              </w:rPr>
            </w:pPr>
            <w:r>
              <w:rPr>
                <w:sz w:val="20"/>
              </w:rPr>
              <w:t>Olumlu Yorum*Mobilya</w:t>
            </w:r>
          </w:p>
        </w:tc>
        <w:tc>
          <w:tcPr>
            <w:tcW w:w="1323" w:type="dxa"/>
            <w:shd w:val="clear" w:color="auto" w:fill="F1F1F1"/>
          </w:tcPr>
          <w:p>
            <w:pPr>
              <w:pStyle w:val="TableParagraph"/>
              <w:ind w:left="0"/>
              <w:rPr>
                <w:sz w:val="16"/>
              </w:rPr>
            </w:pPr>
          </w:p>
        </w:tc>
        <w:tc>
          <w:tcPr>
            <w:tcW w:w="1389" w:type="dxa"/>
            <w:shd w:val="clear" w:color="auto" w:fill="F1F1F1"/>
          </w:tcPr>
          <w:p>
            <w:pPr>
              <w:pStyle w:val="TableParagraph"/>
              <w:ind w:left="0"/>
              <w:rPr>
                <w:sz w:val="16"/>
              </w:rPr>
            </w:pPr>
          </w:p>
        </w:tc>
        <w:tc>
          <w:tcPr>
            <w:tcW w:w="1510" w:type="dxa"/>
            <w:shd w:val="clear" w:color="auto" w:fill="F1F1F1"/>
          </w:tcPr>
          <w:p>
            <w:pPr>
              <w:pStyle w:val="TableParagraph"/>
              <w:spacing w:line="211" w:lineRule="exact"/>
              <w:ind w:left="426"/>
              <w:rPr>
                <w:sz w:val="20"/>
              </w:rPr>
            </w:pPr>
            <w:r>
              <w:rPr>
                <w:sz w:val="20"/>
              </w:rPr>
              <w:t>-,00004***</w:t>
            </w:r>
          </w:p>
        </w:tc>
        <w:tc>
          <w:tcPr>
            <w:tcW w:w="1319" w:type="dxa"/>
            <w:shd w:val="clear" w:color="auto" w:fill="F1F1F1"/>
          </w:tcPr>
          <w:p>
            <w:pPr>
              <w:pStyle w:val="TableParagraph"/>
              <w:spacing w:line="211" w:lineRule="exact"/>
              <w:ind w:left="169"/>
              <w:rPr>
                <w:sz w:val="20"/>
              </w:rPr>
            </w:pPr>
            <w:r>
              <w:rPr>
                <w:sz w:val="20"/>
              </w:rPr>
              <w:t>,00001</w:t>
            </w:r>
          </w:p>
        </w:tc>
      </w:tr>
      <w:tr>
        <w:trPr>
          <w:trHeight w:val="230" w:hRule="atLeast"/>
        </w:trPr>
        <w:tc>
          <w:tcPr>
            <w:tcW w:w="3314" w:type="dxa"/>
          </w:tcPr>
          <w:p>
            <w:pPr>
              <w:pStyle w:val="TableParagraph"/>
              <w:spacing w:line="210" w:lineRule="exact"/>
              <w:ind w:left="122"/>
              <w:rPr>
                <w:sz w:val="20"/>
              </w:rPr>
            </w:pPr>
            <w:r>
              <w:rPr>
                <w:sz w:val="20"/>
              </w:rPr>
              <w:t>Olumlu Yorum*Koltuk</w:t>
            </w:r>
          </w:p>
        </w:tc>
        <w:tc>
          <w:tcPr>
            <w:tcW w:w="1323" w:type="dxa"/>
          </w:tcPr>
          <w:p>
            <w:pPr>
              <w:pStyle w:val="TableParagraph"/>
              <w:ind w:left="0"/>
              <w:rPr>
                <w:sz w:val="16"/>
              </w:rPr>
            </w:pPr>
          </w:p>
        </w:tc>
        <w:tc>
          <w:tcPr>
            <w:tcW w:w="1389" w:type="dxa"/>
          </w:tcPr>
          <w:p>
            <w:pPr>
              <w:pStyle w:val="TableParagraph"/>
              <w:ind w:left="0"/>
              <w:rPr>
                <w:sz w:val="16"/>
              </w:rPr>
            </w:pPr>
          </w:p>
        </w:tc>
        <w:tc>
          <w:tcPr>
            <w:tcW w:w="1510" w:type="dxa"/>
          </w:tcPr>
          <w:p>
            <w:pPr>
              <w:pStyle w:val="TableParagraph"/>
              <w:spacing w:line="210" w:lineRule="exact"/>
              <w:ind w:left="426"/>
              <w:rPr>
                <w:sz w:val="20"/>
              </w:rPr>
            </w:pPr>
            <w:r>
              <w:rPr>
                <w:sz w:val="20"/>
              </w:rPr>
              <w:t>-,0002***</w:t>
            </w:r>
          </w:p>
        </w:tc>
        <w:tc>
          <w:tcPr>
            <w:tcW w:w="1319" w:type="dxa"/>
          </w:tcPr>
          <w:p>
            <w:pPr>
              <w:pStyle w:val="TableParagraph"/>
              <w:spacing w:line="210" w:lineRule="exact"/>
              <w:ind w:left="169"/>
              <w:rPr>
                <w:sz w:val="20"/>
              </w:rPr>
            </w:pPr>
            <w:r>
              <w:rPr>
                <w:sz w:val="20"/>
              </w:rPr>
              <w:t>,00003</w:t>
            </w:r>
          </w:p>
        </w:tc>
      </w:tr>
      <w:tr>
        <w:trPr>
          <w:trHeight w:val="230" w:hRule="atLeast"/>
        </w:trPr>
        <w:tc>
          <w:tcPr>
            <w:tcW w:w="3314" w:type="dxa"/>
            <w:shd w:val="clear" w:color="auto" w:fill="F1F1F1"/>
          </w:tcPr>
          <w:p>
            <w:pPr>
              <w:pStyle w:val="TableParagraph"/>
              <w:spacing w:line="210" w:lineRule="exact"/>
              <w:ind w:left="122"/>
              <w:rPr>
                <w:sz w:val="20"/>
              </w:rPr>
            </w:pPr>
            <w:r>
              <w:rPr>
                <w:sz w:val="20"/>
              </w:rPr>
              <w:t>Olumlu Yorum*TV</w:t>
            </w:r>
          </w:p>
        </w:tc>
        <w:tc>
          <w:tcPr>
            <w:tcW w:w="1323" w:type="dxa"/>
            <w:shd w:val="clear" w:color="auto" w:fill="F1F1F1"/>
          </w:tcPr>
          <w:p>
            <w:pPr>
              <w:pStyle w:val="TableParagraph"/>
              <w:ind w:left="0"/>
              <w:rPr>
                <w:sz w:val="16"/>
              </w:rPr>
            </w:pPr>
          </w:p>
        </w:tc>
        <w:tc>
          <w:tcPr>
            <w:tcW w:w="1389" w:type="dxa"/>
            <w:shd w:val="clear" w:color="auto" w:fill="F1F1F1"/>
          </w:tcPr>
          <w:p>
            <w:pPr>
              <w:pStyle w:val="TableParagraph"/>
              <w:ind w:left="0"/>
              <w:rPr>
                <w:sz w:val="16"/>
              </w:rPr>
            </w:pPr>
          </w:p>
        </w:tc>
        <w:tc>
          <w:tcPr>
            <w:tcW w:w="1510" w:type="dxa"/>
            <w:shd w:val="clear" w:color="auto" w:fill="F1F1F1"/>
          </w:tcPr>
          <w:p>
            <w:pPr>
              <w:pStyle w:val="TableParagraph"/>
              <w:spacing w:line="210" w:lineRule="exact"/>
              <w:ind w:left="426"/>
              <w:rPr>
                <w:sz w:val="20"/>
              </w:rPr>
            </w:pPr>
            <w:r>
              <w:rPr>
                <w:sz w:val="20"/>
              </w:rPr>
              <w:t>-,0001**</w:t>
            </w:r>
          </w:p>
        </w:tc>
        <w:tc>
          <w:tcPr>
            <w:tcW w:w="1319" w:type="dxa"/>
            <w:shd w:val="clear" w:color="auto" w:fill="F1F1F1"/>
          </w:tcPr>
          <w:p>
            <w:pPr>
              <w:pStyle w:val="TableParagraph"/>
              <w:spacing w:line="210" w:lineRule="exact"/>
              <w:ind w:left="169"/>
              <w:rPr>
                <w:sz w:val="20"/>
              </w:rPr>
            </w:pPr>
            <w:r>
              <w:rPr>
                <w:sz w:val="20"/>
              </w:rPr>
              <w:t>,00005</w:t>
            </w:r>
          </w:p>
        </w:tc>
      </w:tr>
      <w:tr>
        <w:trPr>
          <w:trHeight w:val="230" w:hRule="atLeast"/>
        </w:trPr>
        <w:tc>
          <w:tcPr>
            <w:tcW w:w="3314" w:type="dxa"/>
          </w:tcPr>
          <w:p>
            <w:pPr>
              <w:pStyle w:val="TableParagraph"/>
              <w:spacing w:line="210" w:lineRule="exact"/>
              <w:ind w:left="122"/>
              <w:rPr>
                <w:sz w:val="20"/>
              </w:rPr>
            </w:pPr>
            <w:r>
              <w:rPr>
                <w:sz w:val="20"/>
              </w:rPr>
              <w:t>Olumlu Yorum*Dizüstü</w:t>
            </w:r>
          </w:p>
        </w:tc>
        <w:tc>
          <w:tcPr>
            <w:tcW w:w="1323" w:type="dxa"/>
          </w:tcPr>
          <w:p>
            <w:pPr>
              <w:pStyle w:val="TableParagraph"/>
              <w:ind w:left="0"/>
              <w:rPr>
                <w:sz w:val="16"/>
              </w:rPr>
            </w:pPr>
          </w:p>
        </w:tc>
        <w:tc>
          <w:tcPr>
            <w:tcW w:w="1389" w:type="dxa"/>
          </w:tcPr>
          <w:p>
            <w:pPr>
              <w:pStyle w:val="TableParagraph"/>
              <w:ind w:left="0"/>
              <w:rPr>
                <w:sz w:val="16"/>
              </w:rPr>
            </w:pPr>
          </w:p>
        </w:tc>
        <w:tc>
          <w:tcPr>
            <w:tcW w:w="1510" w:type="dxa"/>
          </w:tcPr>
          <w:p>
            <w:pPr>
              <w:pStyle w:val="TableParagraph"/>
              <w:spacing w:line="210" w:lineRule="exact"/>
              <w:ind w:left="426"/>
              <w:rPr>
                <w:sz w:val="20"/>
              </w:rPr>
            </w:pPr>
            <w:r>
              <w:rPr>
                <w:sz w:val="20"/>
              </w:rPr>
              <w:t>-,00003</w:t>
            </w:r>
          </w:p>
        </w:tc>
        <w:tc>
          <w:tcPr>
            <w:tcW w:w="1319" w:type="dxa"/>
          </w:tcPr>
          <w:p>
            <w:pPr>
              <w:pStyle w:val="TableParagraph"/>
              <w:spacing w:line="210" w:lineRule="exact"/>
              <w:ind w:left="169"/>
              <w:rPr>
                <w:sz w:val="20"/>
              </w:rPr>
            </w:pPr>
            <w:r>
              <w:rPr>
                <w:sz w:val="20"/>
              </w:rPr>
              <w:t>,00002</w:t>
            </w:r>
          </w:p>
        </w:tc>
      </w:tr>
      <w:tr>
        <w:trPr>
          <w:trHeight w:val="230" w:hRule="atLeast"/>
        </w:trPr>
        <w:tc>
          <w:tcPr>
            <w:tcW w:w="3314" w:type="dxa"/>
            <w:shd w:val="clear" w:color="auto" w:fill="F1F1F1"/>
          </w:tcPr>
          <w:p>
            <w:pPr>
              <w:pStyle w:val="TableParagraph"/>
              <w:spacing w:line="210" w:lineRule="exact"/>
              <w:ind w:left="122"/>
              <w:rPr>
                <w:sz w:val="20"/>
              </w:rPr>
            </w:pPr>
            <w:r>
              <w:rPr>
                <w:sz w:val="20"/>
              </w:rPr>
              <w:t>Olumsuz Yorum*Mobilya</w:t>
            </w:r>
          </w:p>
        </w:tc>
        <w:tc>
          <w:tcPr>
            <w:tcW w:w="1323" w:type="dxa"/>
            <w:shd w:val="clear" w:color="auto" w:fill="F1F1F1"/>
          </w:tcPr>
          <w:p>
            <w:pPr>
              <w:pStyle w:val="TableParagraph"/>
              <w:ind w:left="0"/>
              <w:rPr>
                <w:sz w:val="16"/>
              </w:rPr>
            </w:pPr>
          </w:p>
        </w:tc>
        <w:tc>
          <w:tcPr>
            <w:tcW w:w="1389" w:type="dxa"/>
            <w:shd w:val="clear" w:color="auto" w:fill="F1F1F1"/>
          </w:tcPr>
          <w:p>
            <w:pPr>
              <w:pStyle w:val="TableParagraph"/>
              <w:ind w:left="0"/>
              <w:rPr>
                <w:sz w:val="16"/>
              </w:rPr>
            </w:pPr>
          </w:p>
        </w:tc>
        <w:tc>
          <w:tcPr>
            <w:tcW w:w="1510" w:type="dxa"/>
            <w:shd w:val="clear" w:color="auto" w:fill="F1F1F1"/>
          </w:tcPr>
          <w:p>
            <w:pPr>
              <w:pStyle w:val="TableParagraph"/>
              <w:spacing w:line="210" w:lineRule="exact"/>
              <w:ind w:left="426"/>
              <w:rPr>
                <w:sz w:val="20"/>
              </w:rPr>
            </w:pPr>
            <w:r>
              <w:rPr>
                <w:sz w:val="20"/>
              </w:rPr>
              <w:t>-,00006</w:t>
            </w:r>
          </w:p>
        </w:tc>
        <w:tc>
          <w:tcPr>
            <w:tcW w:w="1319" w:type="dxa"/>
            <w:shd w:val="clear" w:color="auto" w:fill="F1F1F1"/>
          </w:tcPr>
          <w:p>
            <w:pPr>
              <w:pStyle w:val="TableParagraph"/>
              <w:spacing w:line="210" w:lineRule="exact"/>
              <w:ind w:left="169"/>
              <w:rPr>
                <w:sz w:val="20"/>
              </w:rPr>
            </w:pPr>
            <w:r>
              <w:rPr>
                <w:sz w:val="20"/>
              </w:rPr>
              <w:t>,00004</w:t>
            </w:r>
          </w:p>
        </w:tc>
      </w:tr>
      <w:tr>
        <w:trPr>
          <w:trHeight w:val="227" w:hRule="atLeast"/>
        </w:trPr>
        <w:tc>
          <w:tcPr>
            <w:tcW w:w="3314" w:type="dxa"/>
          </w:tcPr>
          <w:p>
            <w:pPr>
              <w:pStyle w:val="TableParagraph"/>
              <w:spacing w:line="208" w:lineRule="exact"/>
              <w:ind w:left="122"/>
              <w:rPr>
                <w:sz w:val="20"/>
              </w:rPr>
            </w:pPr>
            <w:r>
              <w:rPr>
                <w:sz w:val="20"/>
              </w:rPr>
              <w:t>Olumsuz Yorum*Koltuk</w:t>
            </w:r>
          </w:p>
        </w:tc>
        <w:tc>
          <w:tcPr>
            <w:tcW w:w="1323" w:type="dxa"/>
          </w:tcPr>
          <w:p>
            <w:pPr>
              <w:pStyle w:val="TableParagraph"/>
              <w:ind w:left="0"/>
              <w:rPr>
                <w:sz w:val="16"/>
              </w:rPr>
            </w:pPr>
          </w:p>
        </w:tc>
        <w:tc>
          <w:tcPr>
            <w:tcW w:w="1389" w:type="dxa"/>
          </w:tcPr>
          <w:p>
            <w:pPr>
              <w:pStyle w:val="TableParagraph"/>
              <w:ind w:left="0"/>
              <w:rPr>
                <w:sz w:val="16"/>
              </w:rPr>
            </w:pPr>
          </w:p>
        </w:tc>
        <w:tc>
          <w:tcPr>
            <w:tcW w:w="1510" w:type="dxa"/>
          </w:tcPr>
          <w:p>
            <w:pPr>
              <w:pStyle w:val="TableParagraph"/>
              <w:spacing w:line="208" w:lineRule="exact"/>
              <w:ind w:left="426"/>
              <w:rPr>
                <w:sz w:val="20"/>
              </w:rPr>
            </w:pPr>
            <w:r>
              <w:rPr>
                <w:sz w:val="20"/>
              </w:rPr>
              <w:t>,00009**</w:t>
            </w:r>
          </w:p>
        </w:tc>
        <w:tc>
          <w:tcPr>
            <w:tcW w:w="1319" w:type="dxa"/>
          </w:tcPr>
          <w:p>
            <w:pPr>
              <w:pStyle w:val="TableParagraph"/>
              <w:spacing w:line="208" w:lineRule="exact"/>
              <w:ind w:left="169"/>
              <w:rPr>
                <w:sz w:val="20"/>
              </w:rPr>
            </w:pPr>
            <w:r>
              <w:rPr>
                <w:sz w:val="20"/>
              </w:rPr>
              <w:t>,00004</w:t>
            </w:r>
          </w:p>
        </w:tc>
      </w:tr>
      <w:tr>
        <w:trPr>
          <w:trHeight w:val="230" w:hRule="atLeast"/>
        </w:trPr>
        <w:tc>
          <w:tcPr>
            <w:tcW w:w="3314" w:type="dxa"/>
            <w:shd w:val="clear" w:color="auto" w:fill="F1F1F1"/>
          </w:tcPr>
          <w:p>
            <w:pPr>
              <w:pStyle w:val="TableParagraph"/>
              <w:spacing w:line="210" w:lineRule="exact"/>
              <w:ind w:left="122"/>
              <w:rPr>
                <w:sz w:val="20"/>
              </w:rPr>
            </w:pPr>
            <w:r>
              <w:rPr>
                <w:sz w:val="20"/>
              </w:rPr>
              <w:t>Olumsuz Yorum*TV</w:t>
            </w:r>
          </w:p>
        </w:tc>
        <w:tc>
          <w:tcPr>
            <w:tcW w:w="1323" w:type="dxa"/>
            <w:shd w:val="clear" w:color="auto" w:fill="F1F1F1"/>
          </w:tcPr>
          <w:p>
            <w:pPr>
              <w:pStyle w:val="TableParagraph"/>
              <w:ind w:left="0"/>
              <w:rPr>
                <w:sz w:val="16"/>
              </w:rPr>
            </w:pPr>
          </w:p>
        </w:tc>
        <w:tc>
          <w:tcPr>
            <w:tcW w:w="1389" w:type="dxa"/>
            <w:shd w:val="clear" w:color="auto" w:fill="F1F1F1"/>
          </w:tcPr>
          <w:p>
            <w:pPr>
              <w:pStyle w:val="TableParagraph"/>
              <w:ind w:left="0"/>
              <w:rPr>
                <w:sz w:val="16"/>
              </w:rPr>
            </w:pPr>
          </w:p>
        </w:tc>
        <w:tc>
          <w:tcPr>
            <w:tcW w:w="1510" w:type="dxa"/>
            <w:shd w:val="clear" w:color="auto" w:fill="F1F1F1"/>
          </w:tcPr>
          <w:p>
            <w:pPr>
              <w:pStyle w:val="TableParagraph"/>
              <w:spacing w:line="210" w:lineRule="exact"/>
              <w:ind w:left="426"/>
              <w:rPr>
                <w:sz w:val="20"/>
              </w:rPr>
            </w:pPr>
            <w:r>
              <w:rPr>
                <w:sz w:val="20"/>
              </w:rPr>
              <w:t>-,0002</w:t>
            </w:r>
          </w:p>
        </w:tc>
        <w:tc>
          <w:tcPr>
            <w:tcW w:w="1319" w:type="dxa"/>
            <w:shd w:val="clear" w:color="auto" w:fill="F1F1F1"/>
          </w:tcPr>
          <w:p>
            <w:pPr>
              <w:pStyle w:val="TableParagraph"/>
              <w:spacing w:line="210" w:lineRule="exact"/>
              <w:ind w:left="169"/>
              <w:rPr>
                <w:sz w:val="20"/>
              </w:rPr>
            </w:pPr>
            <w:r>
              <w:rPr>
                <w:sz w:val="20"/>
              </w:rPr>
              <w:t>,00012</w:t>
            </w:r>
          </w:p>
        </w:tc>
      </w:tr>
      <w:tr>
        <w:trPr>
          <w:trHeight w:val="230" w:hRule="atLeast"/>
        </w:trPr>
        <w:tc>
          <w:tcPr>
            <w:tcW w:w="3314" w:type="dxa"/>
          </w:tcPr>
          <w:p>
            <w:pPr>
              <w:pStyle w:val="TableParagraph"/>
              <w:spacing w:line="210" w:lineRule="exact"/>
              <w:ind w:left="122"/>
              <w:rPr>
                <w:sz w:val="20"/>
              </w:rPr>
            </w:pPr>
            <w:r>
              <w:rPr>
                <w:sz w:val="20"/>
              </w:rPr>
              <w:t>Olumsuz Yorum*Dizüstü</w:t>
            </w:r>
          </w:p>
        </w:tc>
        <w:tc>
          <w:tcPr>
            <w:tcW w:w="1323" w:type="dxa"/>
          </w:tcPr>
          <w:p>
            <w:pPr>
              <w:pStyle w:val="TableParagraph"/>
              <w:ind w:left="0"/>
              <w:rPr>
                <w:sz w:val="16"/>
              </w:rPr>
            </w:pPr>
          </w:p>
        </w:tc>
        <w:tc>
          <w:tcPr>
            <w:tcW w:w="1389" w:type="dxa"/>
          </w:tcPr>
          <w:p>
            <w:pPr>
              <w:pStyle w:val="TableParagraph"/>
              <w:ind w:left="0"/>
              <w:rPr>
                <w:sz w:val="16"/>
              </w:rPr>
            </w:pPr>
          </w:p>
        </w:tc>
        <w:tc>
          <w:tcPr>
            <w:tcW w:w="1510" w:type="dxa"/>
          </w:tcPr>
          <w:p>
            <w:pPr>
              <w:pStyle w:val="TableParagraph"/>
              <w:spacing w:line="210" w:lineRule="exact"/>
              <w:ind w:left="426"/>
              <w:rPr>
                <w:sz w:val="20"/>
              </w:rPr>
            </w:pPr>
            <w:r>
              <w:rPr>
                <w:sz w:val="20"/>
              </w:rPr>
              <w:t>-,0001</w:t>
            </w:r>
          </w:p>
        </w:tc>
        <w:tc>
          <w:tcPr>
            <w:tcW w:w="1319" w:type="dxa"/>
          </w:tcPr>
          <w:p>
            <w:pPr>
              <w:pStyle w:val="TableParagraph"/>
              <w:spacing w:line="210" w:lineRule="exact"/>
              <w:ind w:left="169"/>
              <w:rPr>
                <w:sz w:val="20"/>
              </w:rPr>
            </w:pPr>
            <w:r>
              <w:rPr>
                <w:sz w:val="20"/>
              </w:rPr>
              <w:t>,00007</w:t>
            </w:r>
          </w:p>
        </w:tc>
      </w:tr>
      <w:tr>
        <w:trPr>
          <w:trHeight w:val="230" w:hRule="atLeast"/>
        </w:trPr>
        <w:tc>
          <w:tcPr>
            <w:tcW w:w="3314" w:type="dxa"/>
            <w:shd w:val="clear" w:color="auto" w:fill="F1F1F1"/>
          </w:tcPr>
          <w:p>
            <w:pPr>
              <w:pStyle w:val="TableParagraph"/>
              <w:spacing w:line="210" w:lineRule="exact"/>
              <w:ind w:left="122"/>
              <w:rPr>
                <w:sz w:val="20"/>
              </w:rPr>
            </w:pPr>
            <w:r>
              <w:rPr>
                <w:sz w:val="20"/>
              </w:rPr>
              <w:t>Nötr Yorum*Mobilya</w:t>
            </w:r>
          </w:p>
        </w:tc>
        <w:tc>
          <w:tcPr>
            <w:tcW w:w="1323" w:type="dxa"/>
            <w:shd w:val="clear" w:color="auto" w:fill="F1F1F1"/>
          </w:tcPr>
          <w:p>
            <w:pPr>
              <w:pStyle w:val="TableParagraph"/>
              <w:ind w:left="0"/>
              <w:rPr>
                <w:sz w:val="16"/>
              </w:rPr>
            </w:pPr>
          </w:p>
        </w:tc>
        <w:tc>
          <w:tcPr>
            <w:tcW w:w="1389" w:type="dxa"/>
            <w:shd w:val="clear" w:color="auto" w:fill="F1F1F1"/>
          </w:tcPr>
          <w:p>
            <w:pPr>
              <w:pStyle w:val="TableParagraph"/>
              <w:ind w:left="0"/>
              <w:rPr>
                <w:sz w:val="16"/>
              </w:rPr>
            </w:pPr>
          </w:p>
        </w:tc>
        <w:tc>
          <w:tcPr>
            <w:tcW w:w="1510" w:type="dxa"/>
            <w:shd w:val="clear" w:color="auto" w:fill="F1F1F1"/>
          </w:tcPr>
          <w:p>
            <w:pPr>
              <w:pStyle w:val="TableParagraph"/>
              <w:spacing w:line="210" w:lineRule="exact"/>
              <w:ind w:left="426"/>
              <w:rPr>
                <w:sz w:val="20"/>
              </w:rPr>
            </w:pPr>
            <w:r>
              <w:rPr>
                <w:sz w:val="20"/>
              </w:rPr>
              <w:t>-,0003***</w:t>
            </w:r>
          </w:p>
        </w:tc>
        <w:tc>
          <w:tcPr>
            <w:tcW w:w="1319" w:type="dxa"/>
            <w:shd w:val="clear" w:color="auto" w:fill="F1F1F1"/>
          </w:tcPr>
          <w:p>
            <w:pPr>
              <w:pStyle w:val="TableParagraph"/>
              <w:spacing w:line="210" w:lineRule="exact"/>
              <w:ind w:left="169"/>
              <w:rPr>
                <w:sz w:val="20"/>
              </w:rPr>
            </w:pPr>
            <w:r>
              <w:rPr>
                <w:sz w:val="20"/>
              </w:rPr>
              <w:t>,00009</w:t>
            </w:r>
          </w:p>
        </w:tc>
      </w:tr>
      <w:tr>
        <w:trPr>
          <w:trHeight w:val="230" w:hRule="atLeast"/>
        </w:trPr>
        <w:tc>
          <w:tcPr>
            <w:tcW w:w="3314" w:type="dxa"/>
          </w:tcPr>
          <w:p>
            <w:pPr>
              <w:pStyle w:val="TableParagraph"/>
              <w:spacing w:line="210" w:lineRule="exact"/>
              <w:ind w:left="122"/>
              <w:rPr>
                <w:sz w:val="20"/>
              </w:rPr>
            </w:pPr>
            <w:r>
              <w:rPr>
                <w:sz w:val="20"/>
              </w:rPr>
              <w:t>Nötr Yorum*Koltuk</w:t>
            </w:r>
          </w:p>
        </w:tc>
        <w:tc>
          <w:tcPr>
            <w:tcW w:w="1323" w:type="dxa"/>
          </w:tcPr>
          <w:p>
            <w:pPr>
              <w:pStyle w:val="TableParagraph"/>
              <w:ind w:left="0"/>
              <w:rPr>
                <w:sz w:val="16"/>
              </w:rPr>
            </w:pPr>
          </w:p>
        </w:tc>
        <w:tc>
          <w:tcPr>
            <w:tcW w:w="1389" w:type="dxa"/>
          </w:tcPr>
          <w:p>
            <w:pPr>
              <w:pStyle w:val="TableParagraph"/>
              <w:ind w:left="0"/>
              <w:rPr>
                <w:sz w:val="16"/>
              </w:rPr>
            </w:pPr>
          </w:p>
        </w:tc>
        <w:tc>
          <w:tcPr>
            <w:tcW w:w="1510" w:type="dxa"/>
          </w:tcPr>
          <w:p>
            <w:pPr>
              <w:pStyle w:val="TableParagraph"/>
              <w:spacing w:line="210" w:lineRule="exact"/>
              <w:ind w:left="426"/>
              <w:rPr>
                <w:sz w:val="20"/>
              </w:rPr>
            </w:pPr>
            <w:r>
              <w:rPr>
                <w:sz w:val="20"/>
              </w:rPr>
              <w:t>,0004***</w:t>
            </w:r>
          </w:p>
        </w:tc>
        <w:tc>
          <w:tcPr>
            <w:tcW w:w="1319" w:type="dxa"/>
          </w:tcPr>
          <w:p>
            <w:pPr>
              <w:pStyle w:val="TableParagraph"/>
              <w:spacing w:line="210" w:lineRule="exact"/>
              <w:ind w:left="169"/>
              <w:rPr>
                <w:sz w:val="20"/>
              </w:rPr>
            </w:pPr>
            <w:r>
              <w:rPr>
                <w:sz w:val="20"/>
              </w:rPr>
              <w:t>,0001</w:t>
            </w:r>
          </w:p>
        </w:tc>
      </w:tr>
      <w:tr>
        <w:trPr>
          <w:trHeight w:val="227" w:hRule="atLeast"/>
        </w:trPr>
        <w:tc>
          <w:tcPr>
            <w:tcW w:w="3314" w:type="dxa"/>
            <w:shd w:val="clear" w:color="auto" w:fill="F1F1F1"/>
          </w:tcPr>
          <w:p>
            <w:pPr>
              <w:pStyle w:val="TableParagraph"/>
              <w:spacing w:line="208" w:lineRule="exact"/>
              <w:ind w:left="122"/>
              <w:rPr>
                <w:sz w:val="20"/>
              </w:rPr>
            </w:pPr>
            <w:r>
              <w:rPr>
                <w:sz w:val="20"/>
              </w:rPr>
              <w:t>Nötr Yorum*TV</w:t>
            </w:r>
          </w:p>
        </w:tc>
        <w:tc>
          <w:tcPr>
            <w:tcW w:w="1323" w:type="dxa"/>
            <w:shd w:val="clear" w:color="auto" w:fill="F1F1F1"/>
          </w:tcPr>
          <w:p>
            <w:pPr>
              <w:pStyle w:val="TableParagraph"/>
              <w:ind w:left="0"/>
              <w:rPr>
                <w:sz w:val="16"/>
              </w:rPr>
            </w:pPr>
          </w:p>
        </w:tc>
        <w:tc>
          <w:tcPr>
            <w:tcW w:w="1389" w:type="dxa"/>
            <w:shd w:val="clear" w:color="auto" w:fill="F1F1F1"/>
          </w:tcPr>
          <w:p>
            <w:pPr>
              <w:pStyle w:val="TableParagraph"/>
              <w:ind w:left="0"/>
              <w:rPr>
                <w:sz w:val="16"/>
              </w:rPr>
            </w:pPr>
          </w:p>
        </w:tc>
        <w:tc>
          <w:tcPr>
            <w:tcW w:w="1510" w:type="dxa"/>
            <w:shd w:val="clear" w:color="auto" w:fill="F1F1F1"/>
          </w:tcPr>
          <w:p>
            <w:pPr>
              <w:pStyle w:val="TableParagraph"/>
              <w:spacing w:line="208" w:lineRule="exact"/>
              <w:ind w:left="426"/>
              <w:rPr>
                <w:sz w:val="20"/>
              </w:rPr>
            </w:pPr>
            <w:r>
              <w:rPr>
                <w:sz w:val="20"/>
              </w:rPr>
              <w:t>,001***</w:t>
            </w:r>
          </w:p>
        </w:tc>
        <w:tc>
          <w:tcPr>
            <w:tcW w:w="1319" w:type="dxa"/>
            <w:shd w:val="clear" w:color="auto" w:fill="F1F1F1"/>
          </w:tcPr>
          <w:p>
            <w:pPr>
              <w:pStyle w:val="TableParagraph"/>
              <w:spacing w:line="208" w:lineRule="exact"/>
              <w:ind w:left="169"/>
              <w:rPr>
                <w:sz w:val="20"/>
              </w:rPr>
            </w:pPr>
            <w:r>
              <w:rPr>
                <w:sz w:val="20"/>
              </w:rPr>
              <w:t>,0003</w:t>
            </w:r>
          </w:p>
        </w:tc>
      </w:tr>
      <w:tr>
        <w:trPr>
          <w:trHeight w:val="230" w:hRule="atLeast"/>
        </w:trPr>
        <w:tc>
          <w:tcPr>
            <w:tcW w:w="3314" w:type="dxa"/>
          </w:tcPr>
          <w:p>
            <w:pPr>
              <w:pStyle w:val="TableParagraph"/>
              <w:spacing w:line="210" w:lineRule="exact"/>
              <w:ind w:left="122"/>
              <w:rPr>
                <w:sz w:val="20"/>
              </w:rPr>
            </w:pPr>
            <w:r>
              <w:rPr>
                <w:sz w:val="20"/>
              </w:rPr>
              <w:t>Nötr Yorum*Dizüstü</w:t>
            </w:r>
          </w:p>
        </w:tc>
        <w:tc>
          <w:tcPr>
            <w:tcW w:w="1323" w:type="dxa"/>
          </w:tcPr>
          <w:p>
            <w:pPr>
              <w:pStyle w:val="TableParagraph"/>
              <w:ind w:left="0"/>
              <w:rPr>
                <w:sz w:val="16"/>
              </w:rPr>
            </w:pPr>
          </w:p>
        </w:tc>
        <w:tc>
          <w:tcPr>
            <w:tcW w:w="1389" w:type="dxa"/>
          </w:tcPr>
          <w:p>
            <w:pPr>
              <w:pStyle w:val="TableParagraph"/>
              <w:ind w:left="0"/>
              <w:rPr>
                <w:sz w:val="16"/>
              </w:rPr>
            </w:pPr>
          </w:p>
        </w:tc>
        <w:tc>
          <w:tcPr>
            <w:tcW w:w="1510" w:type="dxa"/>
          </w:tcPr>
          <w:p>
            <w:pPr>
              <w:pStyle w:val="TableParagraph"/>
              <w:spacing w:line="210" w:lineRule="exact"/>
              <w:ind w:left="426"/>
              <w:rPr>
                <w:sz w:val="20"/>
              </w:rPr>
            </w:pPr>
            <w:r>
              <w:rPr>
                <w:sz w:val="20"/>
              </w:rPr>
              <w:t>-,00003</w:t>
            </w:r>
          </w:p>
        </w:tc>
        <w:tc>
          <w:tcPr>
            <w:tcW w:w="1319" w:type="dxa"/>
          </w:tcPr>
          <w:p>
            <w:pPr>
              <w:pStyle w:val="TableParagraph"/>
              <w:spacing w:line="210" w:lineRule="exact"/>
              <w:ind w:left="169"/>
              <w:rPr>
                <w:sz w:val="20"/>
              </w:rPr>
            </w:pPr>
            <w:r>
              <w:rPr>
                <w:sz w:val="20"/>
              </w:rPr>
              <w:t>,0002</w:t>
            </w:r>
          </w:p>
        </w:tc>
      </w:tr>
      <w:tr>
        <w:trPr>
          <w:trHeight w:val="230" w:hRule="atLeast"/>
        </w:trPr>
        <w:tc>
          <w:tcPr>
            <w:tcW w:w="3314" w:type="dxa"/>
            <w:shd w:val="clear" w:color="auto" w:fill="F1F1F1"/>
          </w:tcPr>
          <w:p>
            <w:pPr>
              <w:pStyle w:val="TableParagraph"/>
              <w:spacing w:line="210" w:lineRule="exact"/>
              <w:ind w:left="122"/>
              <w:rPr>
                <w:sz w:val="20"/>
              </w:rPr>
            </w:pPr>
            <w:r>
              <w:rPr>
                <w:sz w:val="20"/>
              </w:rPr>
              <w:t>Fiyat</w:t>
            </w:r>
          </w:p>
        </w:tc>
        <w:tc>
          <w:tcPr>
            <w:tcW w:w="1323" w:type="dxa"/>
            <w:shd w:val="clear" w:color="auto" w:fill="F1F1F1"/>
          </w:tcPr>
          <w:p>
            <w:pPr>
              <w:pStyle w:val="TableParagraph"/>
              <w:spacing w:line="210" w:lineRule="exact"/>
              <w:ind w:left="221"/>
              <w:rPr>
                <w:sz w:val="20"/>
              </w:rPr>
            </w:pPr>
            <w:r>
              <w:rPr>
                <w:sz w:val="20"/>
              </w:rPr>
              <w:t>,041***</w:t>
            </w:r>
          </w:p>
        </w:tc>
        <w:tc>
          <w:tcPr>
            <w:tcW w:w="1389" w:type="dxa"/>
            <w:shd w:val="clear" w:color="auto" w:fill="F1F1F1"/>
          </w:tcPr>
          <w:p>
            <w:pPr>
              <w:pStyle w:val="TableParagraph"/>
              <w:spacing w:line="210" w:lineRule="exact"/>
              <w:ind w:left="152"/>
              <w:rPr>
                <w:sz w:val="20"/>
              </w:rPr>
            </w:pPr>
            <w:r>
              <w:rPr>
                <w:sz w:val="20"/>
              </w:rPr>
              <w:t>,009</w:t>
            </w:r>
          </w:p>
        </w:tc>
        <w:tc>
          <w:tcPr>
            <w:tcW w:w="1510" w:type="dxa"/>
            <w:shd w:val="clear" w:color="auto" w:fill="F1F1F1"/>
          </w:tcPr>
          <w:p>
            <w:pPr>
              <w:pStyle w:val="TableParagraph"/>
              <w:spacing w:line="210" w:lineRule="exact"/>
              <w:ind w:left="426"/>
              <w:rPr>
                <w:sz w:val="20"/>
              </w:rPr>
            </w:pPr>
            <w:r>
              <w:rPr>
                <w:sz w:val="20"/>
              </w:rPr>
              <w:t>,056***</w:t>
            </w:r>
          </w:p>
        </w:tc>
        <w:tc>
          <w:tcPr>
            <w:tcW w:w="1319" w:type="dxa"/>
            <w:shd w:val="clear" w:color="auto" w:fill="F1F1F1"/>
          </w:tcPr>
          <w:p>
            <w:pPr>
              <w:pStyle w:val="TableParagraph"/>
              <w:spacing w:line="210" w:lineRule="exact"/>
              <w:ind w:left="169"/>
              <w:rPr>
                <w:sz w:val="20"/>
              </w:rPr>
            </w:pPr>
            <w:r>
              <w:rPr>
                <w:sz w:val="20"/>
              </w:rPr>
              <w:t>,010</w:t>
            </w:r>
          </w:p>
        </w:tc>
      </w:tr>
      <w:tr>
        <w:trPr>
          <w:trHeight w:val="230" w:hRule="atLeast"/>
        </w:trPr>
        <w:tc>
          <w:tcPr>
            <w:tcW w:w="3314" w:type="dxa"/>
          </w:tcPr>
          <w:p>
            <w:pPr>
              <w:pStyle w:val="TableParagraph"/>
              <w:spacing w:line="210" w:lineRule="exact"/>
              <w:ind w:left="122"/>
              <w:rPr>
                <w:sz w:val="20"/>
              </w:rPr>
            </w:pPr>
            <w:r>
              <w:rPr>
                <w:sz w:val="20"/>
              </w:rPr>
              <w:t>İndirim Oranı (%)</w:t>
            </w:r>
          </w:p>
        </w:tc>
        <w:tc>
          <w:tcPr>
            <w:tcW w:w="1323" w:type="dxa"/>
          </w:tcPr>
          <w:p>
            <w:pPr>
              <w:pStyle w:val="TableParagraph"/>
              <w:spacing w:line="210" w:lineRule="exact"/>
              <w:ind w:left="221"/>
              <w:rPr>
                <w:sz w:val="20"/>
              </w:rPr>
            </w:pPr>
            <w:r>
              <w:rPr>
                <w:sz w:val="20"/>
              </w:rPr>
              <w:t>-,049***</w:t>
            </w:r>
          </w:p>
        </w:tc>
        <w:tc>
          <w:tcPr>
            <w:tcW w:w="1389" w:type="dxa"/>
          </w:tcPr>
          <w:p>
            <w:pPr>
              <w:pStyle w:val="TableParagraph"/>
              <w:spacing w:line="210" w:lineRule="exact"/>
              <w:ind w:left="152"/>
              <w:rPr>
                <w:sz w:val="20"/>
              </w:rPr>
            </w:pPr>
            <w:r>
              <w:rPr>
                <w:sz w:val="20"/>
              </w:rPr>
              <w:t>,005</w:t>
            </w:r>
          </w:p>
        </w:tc>
        <w:tc>
          <w:tcPr>
            <w:tcW w:w="1510" w:type="dxa"/>
          </w:tcPr>
          <w:p>
            <w:pPr>
              <w:pStyle w:val="TableParagraph"/>
              <w:spacing w:line="210" w:lineRule="exact"/>
              <w:ind w:left="426"/>
              <w:rPr>
                <w:sz w:val="20"/>
              </w:rPr>
            </w:pPr>
            <w:r>
              <w:rPr>
                <w:sz w:val="20"/>
              </w:rPr>
              <w:t>-,055***</w:t>
            </w:r>
          </w:p>
        </w:tc>
        <w:tc>
          <w:tcPr>
            <w:tcW w:w="1319" w:type="dxa"/>
          </w:tcPr>
          <w:p>
            <w:pPr>
              <w:pStyle w:val="TableParagraph"/>
              <w:spacing w:line="210" w:lineRule="exact"/>
              <w:ind w:left="169"/>
              <w:rPr>
                <w:sz w:val="20"/>
              </w:rPr>
            </w:pPr>
            <w:r>
              <w:rPr>
                <w:sz w:val="20"/>
              </w:rPr>
              <w:t>,005</w:t>
            </w:r>
          </w:p>
        </w:tc>
      </w:tr>
      <w:tr>
        <w:trPr>
          <w:trHeight w:val="230" w:hRule="atLeast"/>
        </w:trPr>
        <w:tc>
          <w:tcPr>
            <w:tcW w:w="3314" w:type="dxa"/>
            <w:tcBorders>
              <w:bottom w:val="single" w:sz="4" w:space="0" w:color="000000"/>
            </w:tcBorders>
            <w:shd w:val="clear" w:color="auto" w:fill="F1F1F1"/>
          </w:tcPr>
          <w:p>
            <w:pPr>
              <w:pStyle w:val="TableParagraph"/>
              <w:spacing w:line="210" w:lineRule="exact"/>
              <w:ind w:left="122"/>
              <w:rPr>
                <w:sz w:val="20"/>
              </w:rPr>
            </w:pPr>
            <w:r>
              <w:rPr>
                <w:sz w:val="20"/>
              </w:rPr>
              <w:t>Sabit</w:t>
            </w:r>
          </w:p>
        </w:tc>
        <w:tc>
          <w:tcPr>
            <w:tcW w:w="1323" w:type="dxa"/>
            <w:tcBorders>
              <w:bottom w:val="single" w:sz="4" w:space="0" w:color="000000"/>
            </w:tcBorders>
            <w:shd w:val="clear" w:color="auto" w:fill="F1F1F1"/>
          </w:tcPr>
          <w:p>
            <w:pPr>
              <w:pStyle w:val="TableParagraph"/>
              <w:spacing w:line="210" w:lineRule="exact"/>
              <w:ind w:left="221"/>
              <w:rPr>
                <w:sz w:val="20"/>
              </w:rPr>
            </w:pPr>
            <w:r>
              <w:rPr>
                <w:sz w:val="20"/>
              </w:rPr>
              <w:t>1,229***</w:t>
            </w:r>
          </w:p>
        </w:tc>
        <w:tc>
          <w:tcPr>
            <w:tcW w:w="1389" w:type="dxa"/>
            <w:tcBorders>
              <w:bottom w:val="single" w:sz="4" w:space="0" w:color="000000"/>
            </w:tcBorders>
            <w:shd w:val="clear" w:color="auto" w:fill="F1F1F1"/>
          </w:tcPr>
          <w:p>
            <w:pPr>
              <w:pStyle w:val="TableParagraph"/>
              <w:spacing w:line="210" w:lineRule="exact"/>
              <w:ind w:left="152"/>
              <w:rPr>
                <w:sz w:val="20"/>
              </w:rPr>
            </w:pPr>
            <w:r>
              <w:rPr>
                <w:sz w:val="20"/>
              </w:rPr>
              <w:t>,175</w:t>
            </w:r>
          </w:p>
        </w:tc>
        <w:tc>
          <w:tcPr>
            <w:tcW w:w="1510" w:type="dxa"/>
            <w:tcBorders>
              <w:bottom w:val="single" w:sz="4" w:space="0" w:color="000000"/>
            </w:tcBorders>
            <w:shd w:val="clear" w:color="auto" w:fill="F1F1F1"/>
          </w:tcPr>
          <w:p>
            <w:pPr>
              <w:pStyle w:val="TableParagraph"/>
              <w:spacing w:line="210" w:lineRule="exact"/>
              <w:ind w:left="426"/>
              <w:rPr>
                <w:sz w:val="20"/>
              </w:rPr>
            </w:pPr>
            <w:r>
              <w:rPr>
                <w:sz w:val="20"/>
              </w:rPr>
              <w:t>1,164***</w:t>
            </w:r>
          </w:p>
        </w:tc>
        <w:tc>
          <w:tcPr>
            <w:tcW w:w="1319" w:type="dxa"/>
            <w:tcBorders>
              <w:bottom w:val="single" w:sz="4" w:space="0" w:color="000000"/>
            </w:tcBorders>
            <w:shd w:val="clear" w:color="auto" w:fill="F1F1F1"/>
          </w:tcPr>
          <w:p>
            <w:pPr>
              <w:pStyle w:val="TableParagraph"/>
              <w:spacing w:line="210" w:lineRule="exact"/>
              <w:ind w:left="169"/>
              <w:rPr>
                <w:sz w:val="20"/>
              </w:rPr>
            </w:pPr>
            <w:r>
              <w:rPr>
                <w:sz w:val="20"/>
              </w:rPr>
              <w:t>,176</w:t>
            </w:r>
          </w:p>
        </w:tc>
      </w:tr>
      <w:tr>
        <w:trPr>
          <w:trHeight w:val="230" w:hRule="atLeast"/>
        </w:trPr>
        <w:tc>
          <w:tcPr>
            <w:tcW w:w="3314" w:type="dxa"/>
            <w:tcBorders>
              <w:top w:val="single" w:sz="4" w:space="0" w:color="000000"/>
            </w:tcBorders>
          </w:tcPr>
          <w:p>
            <w:pPr>
              <w:pStyle w:val="TableParagraph"/>
              <w:spacing w:line="210" w:lineRule="exact"/>
              <w:ind w:left="122"/>
              <w:rPr>
                <w:sz w:val="20"/>
              </w:rPr>
            </w:pPr>
            <w:r>
              <w:rPr>
                <w:sz w:val="20"/>
              </w:rPr>
              <w:t>Wald χ</w:t>
            </w:r>
            <w:r>
              <w:rPr>
                <w:sz w:val="20"/>
                <w:vertAlign w:val="superscript"/>
              </w:rPr>
              <w:t>2</w:t>
            </w:r>
          </w:p>
        </w:tc>
        <w:tc>
          <w:tcPr>
            <w:tcW w:w="1323" w:type="dxa"/>
            <w:tcBorders>
              <w:top w:val="single" w:sz="4" w:space="0" w:color="000000"/>
            </w:tcBorders>
          </w:tcPr>
          <w:p>
            <w:pPr>
              <w:pStyle w:val="TableParagraph"/>
              <w:spacing w:line="210" w:lineRule="exact"/>
              <w:ind w:left="221"/>
              <w:rPr>
                <w:sz w:val="20"/>
              </w:rPr>
            </w:pPr>
            <w:r>
              <w:rPr>
                <w:sz w:val="20"/>
              </w:rPr>
              <w:t>4,3e+05***</w:t>
            </w:r>
          </w:p>
        </w:tc>
        <w:tc>
          <w:tcPr>
            <w:tcW w:w="1389" w:type="dxa"/>
            <w:tcBorders>
              <w:top w:val="single" w:sz="4" w:space="0" w:color="000000"/>
            </w:tcBorders>
          </w:tcPr>
          <w:p>
            <w:pPr>
              <w:pStyle w:val="TableParagraph"/>
              <w:ind w:left="0"/>
              <w:rPr>
                <w:sz w:val="16"/>
              </w:rPr>
            </w:pPr>
          </w:p>
        </w:tc>
        <w:tc>
          <w:tcPr>
            <w:tcW w:w="1510" w:type="dxa"/>
            <w:tcBorders>
              <w:top w:val="single" w:sz="4" w:space="0" w:color="000000"/>
            </w:tcBorders>
          </w:tcPr>
          <w:p>
            <w:pPr>
              <w:pStyle w:val="TableParagraph"/>
              <w:spacing w:line="210" w:lineRule="exact"/>
              <w:ind w:left="426"/>
              <w:rPr>
                <w:sz w:val="20"/>
              </w:rPr>
            </w:pPr>
            <w:r>
              <w:rPr>
                <w:sz w:val="20"/>
              </w:rPr>
              <w:t>5,2e+05***</w:t>
            </w:r>
          </w:p>
        </w:tc>
        <w:tc>
          <w:tcPr>
            <w:tcW w:w="1319" w:type="dxa"/>
            <w:tcBorders>
              <w:top w:val="single" w:sz="4" w:space="0" w:color="000000"/>
            </w:tcBorders>
          </w:tcPr>
          <w:p>
            <w:pPr>
              <w:pStyle w:val="TableParagraph"/>
              <w:ind w:left="0"/>
              <w:rPr>
                <w:sz w:val="16"/>
              </w:rPr>
            </w:pPr>
          </w:p>
        </w:tc>
      </w:tr>
      <w:tr>
        <w:trPr>
          <w:trHeight w:val="230" w:hRule="atLeast"/>
        </w:trPr>
        <w:tc>
          <w:tcPr>
            <w:tcW w:w="3314" w:type="dxa"/>
            <w:shd w:val="clear" w:color="auto" w:fill="F1F1F1"/>
          </w:tcPr>
          <w:p>
            <w:pPr>
              <w:pStyle w:val="TableParagraph"/>
              <w:spacing w:line="210" w:lineRule="exact"/>
              <w:ind w:left="122"/>
              <w:rPr>
                <w:sz w:val="20"/>
              </w:rPr>
            </w:pPr>
            <w:r>
              <w:rPr>
                <w:sz w:val="20"/>
              </w:rPr>
              <w:t>AR (1) p değeri</w:t>
            </w:r>
          </w:p>
        </w:tc>
        <w:tc>
          <w:tcPr>
            <w:tcW w:w="1323" w:type="dxa"/>
            <w:shd w:val="clear" w:color="auto" w:fill="F1F1F1"/>
          </w:tcPr>
          <w:p>
            <w:pPr>
              <w:pStyle w:val="TableParagraph"/>
              <w:spacing w:line="210" w:lineRule="exact"/>
              <w:ind w:left="221"/>
              <w:rPr>
                <w:sz w:val="20"/>
              </w:rPr>
            </w:pPr>
            <w:r>
              <w:rPr>
                <w:sz w:val="20"/>
              </w:rPr>
              <w:t>,0000</w:t>
            </w:r>
          </w:p>
        </w:tc>
        <w:tc>
          <w:tcPr>
            <w:tcW w:w="1389" w:type="dxa"/>
            <w:shd w:val="clear" w:color="auto" w:fill="F1F1F1"/>
          </w:tcPr>
          <w:p>
            <w:pPr>
              <w:pStyle w:val="TableParagraph"/>
              <w:ind w:left="0"/>
              <w:rPr>
                <w:sz w:val="16"/>
              </w:rPr>
            </w:pPr>
          </w:p>
        </w:tc>
        <w:tc>
          <w:tcPr>
            <w:tcW w:w="1510" w:type="dxa"/>
            <w:shd w:val="clear" w:color="auto" w:fill="F1F1F1"/>
          </w:tcPr>
          <w:p>
            <w:pPr>
              <w:pStyle w:val="TableParagraph"/>
              <w:spacing w:line="210" w:lineRule="exact"/>
              <w:ind w:left="426"/>
              <w:rPr>
                <w:sz w:val="20"/>
              </w:rPr>
            </w:pPr>
            <w:r>
              <w:rPr>
                <w:sz w:val="20"/>
              </w:rPr>
              <w:t>,0000</w:t>
            </w:r>
          </w:p>
        </w:tc>
        <w:tc>
          <w:tcPr>
            <w:tcW w:w="1319" w:type="dxa"/>
            <w:shd w:val="clear" w:color="auto" w:fill="F1F1F1"/>
          </w:tcPr>
          <w:p>
            <w:pPr>
              <w:pStyle w:val="TableParagraph"/>
              <w:ind w:left="0"/>
              <w:rPr>
                <w:sz w:val="16"/>
              </w:rPr>
            </w:pPr>
          </w:p>
        </w:tc>
      </w:tr>
      <w:tr>
        <w:trPr>
          <w:trHeight w:val="227" w:hRule="atLeast"/>
        </w:trPr>
        <w:tc>
          <w:tcPr>
            <w:tcW w:w="3314" w:type="dxa"/>
          </w:tcPr>
          <w:p>
            <w:pPr>
              <w:pStyle w:val="TableParagraph"/>
              <w:spacing w:line="208" w:lineRule="exact"/>
              <w:ind w:left="122"/>
              <w:rPr>
                <w:sz w:val="20"/>
              </w:rPr>
            </w:pPr>
            <w:r>
              <w:rPr>
                <w:sz w:val="20"/>
              </w:rPr>
              <w:t>AR (2) p değeri</w:t>
            </w:r>
          </w:p>
        </w:tc>
        <w:tc>
          <w:tcPr>
            <w:tcW w:w="1323" w:type="dxa"/>
          </w:tcPr>
          <w:p>
            <w:pPr>
              <w:pStyle w:val="TableParagraph"/>
              <w:spacing w:line="208" w:lineRule="exact"/>
              <w:ind w:left="221"/>
              <w:rPr>
                <w:sz w:val="20"/>
              </w:rPr>
            </w:pPr>
            <w:r>
              <w:rPr>
                <w:sz w:val="20"/>
              </w:rPr>
              <w:t>,8324</w:t>
            </w:r>
          </w:p>
        </w:tc>
        <w:tc>
          <w:tcPr>
            <w:tcW w:w="1389" w:type="dxa"/>
          </w:tcPr>
          <w:p>
            <w:pPr>
              <w:pStyle w:val="TableParagraph"/>
              <w:ind w:left="0"/>
              <w:rPr>
                <w:sz w:val="16"/>
              </w:rPr>
            </w:pPr>
          </w:p>
        </w:tc>
        <w:tc>
          <w:tcPr>
            <w:tcW w:w="1510" w:type="dxa"/>
          </w:tcPr>
          <w:p>
            <w:pPr>
              <w:pStyle w:val="TableParagraph"/>
              <w:spacing w:line="208" w:lineRule="exact"/>
              <w:ind w:left="426"/>
              <w:rPr>
                <w:sz w:val="20"/>
              </w:rPr>
            </w:pPr>
            <w:r>
              <w:rPr>
                <w:sz w:val="20"/>
              </w:rPr>
              <w:t>,7757</w:t>
            </w:r>
          </w:p>
        </w:tc>
        <w:tc>
          <w:tcPr>
            <w:tcW w:w="1319" w:type="dxa"/>
          </w:tcPr>
          <w:p>
            <w:pPr>
              <w:pStyle w:val="TableParagraph"/>
              <w:ind w:left="0"/>
              <w:rPr>
                <w:sz w:val="16"/>
              </w:rPr>
            </w:pPr>
          </w:p>
        </w:tc>
      </w:tr>
      <w:tr>
        <w:trPr>
          <w:trHeight w:val="230" w:hRule="atLeast"/>
        </w:trPr>
        <w:tc>
          <w:tcPr>
            <w:tcW w:w="3314" w:type="dxa"/>
            <w:shd w:val="clear" w:color="auto" w:fill="F1F1F1"/>
          </w:tcPr>
          <w:p>
            <w:pPr>
              <w:pStyle w:val="TableParagraph"/>
              <w:spacing w:line="210" w:lineRule="exact"/>
              <w:ind w:left="122"/>
              <w:rPr>
                <w:sz w:val="20"/>
              </w:rPr>
            </w:pPr>
            <w:r>
              <w:rPr>
                <w:sz w:val="20"/>
              </w:rPr>
              <w:t>Hansen Testi p değeri</w:t>
            </w:r>
          </w:p>
        </w:tc>
        <w:tc>
          <w:tcPr>
            <w:tcW w:w="1323" w:type="dxa"/>
            <w:shd w:val="clear" w:color="auto" w:fill="F1F1F1"/>
          </w:tcPr>
          <w:p>
            <w:pPr>
              <w:pStyle w:val="TableParagraph"/>
              <w:spacing w:line="210" w:lineRule="exact"/>
              <w:ind w:left="221"/>
              <w:rPr>
                <w:sz w:val="20"/>
              </w:rPr>
            </w:pPr>
            <w:r>
              <w:rPr>
                <w:sz w:val="20"/>
              </w:rPr>
              <w:t>,2951</w:t>
            </w:r>
          </w:p>
        </w:tc>
        <w:tc>
          <w:tcPr>
            <w:tcW w:w="1389" w:type="dxa"/>
            <w:shd w:val="clear" w:color="auto" w:fill="F1F1F1"/>
          </w:tcPr>
          <w:p>
            <w:pPr>
              <w:pStyle w:val="TableParagraph"/>
              <w:ind w:left="0"/>
              <w:rPr>
                <w:sz w:val="16"/>
              </w:rPr>
            </w:pPr>
          </w:p>
        </w:tc>
        <w:tc>
          <w:tcPr>
            <w:tcW w:w="1510" w:type="dxa"/>
            <w:shd w:val="clear" w:color="auto" w:fill="F1F1F1"/>
          </w:tcPr>
          <w:p>
            <w:pPr>
              <w:pStyle w:val="TableParagraph"/>
              <w:spacing w:line="210" w:lineRule="exact"/>
              <w:ind w:left="426"/>
              <w:rPr>
                <w:sz w:val="20"/>
              </w:rPr>
            </w:pPr>
            <w:r>
              <w:rPr>
                <w:sz w:val="20"/>
              </w:rPr>
              <w:t>,2900</w:t>
            </w:r>
          </w:p>
        </w:tc>
        <w:tc>
          <w:tcPr>
            <w:tcW w:w="1319" w:type="dxa"/>
            <w:shd w:val="clear" w:color="auto" w:fill="F1F1F1"/>
          </w:tcPr>
          <w:p>
            <w:pPr>
              <w:pStyle w:val="TableParagraph"/>
              <w:ind w:left="0"/>
              <w:rPr>
                <w:sz w:val="16"/>
              </w:rPr>
            </w:pPr>
          </w:p>
        </w:tc>
      </w:tr>
      <w:tr>
        <w:trPr>
          <w:trHeight w:val="230" w:hRule="atLeast"/>
        </w:trPr>
        <w:tc>
          <w:tcPr>
            <w:tcW w:w="3314" w:type="dxa"/>
          </w:tcPr>
          <w:p>
            <w:pPr>
              <w:pStyle w:val="TableParagraph"/>
              <w:spacing w:line="210" w:lineRule="exact"/>
              <w:ind w:left="122"/>
              <w:rPr>
                <w:sz w:val="20"/>
              </w:rPr>
            </w:pPr>
            <w:r>
              <w:rPr>
                <w:sz w:val="20"/>
              </w:rPr>
              <w:t>Gözlem Sayısı</w:t>
            </w:r>
          </w:p>
        </w:tc>
        <w:tc>
          <w:tcPr>
            <w:tcW w:w="1323" w:type="dxa"/>
          </w:tcPr>
          <w:p>
            <w:pPr>
              <w:pStyle w:val="TableParagraph"/>
              <w:spacing w:line="210" w:lineRule="exact"/>
              <w:ind w:left="221"/>
              <w:rPr>
                <w:sz w:val="20"/>
              </w:rPr>
            </w:pPr>
            <w:r>
              <w:rPr>
                <w:sz w:val="20"/>
              </w:rPr>
              <w:t>4505</w:t>
            </w:r>
          </w:p>
        </w:tc>
        <w:tc>
          <w:tcPr>
            <w:tcW w:w="1389" w:type="dxa"/>
          </w:tcPr>
          <w:p>
            <w:pPr>
              <w:pStyle w:val="TableParagraph"/>
              <w:ind w:left="0"/>
              <w:rPr>
                <w:sz w:val="16"/>
              </w:rPr>
            </w:pPr>
          </w:p>
        </w:tc>
        <w:tc>
          <w:tcPr>
            <w:tcW w:w="1510" w:type="dxa"/>
          </w:tcPr>
          <w:p>
            <w:pPr>
              <w:pStyle w:val="TableParagraph"/>
              <w:spacing w:line="210" w:lineRule="exact"/>
              <w:ind w:left="426"/>
              <w:rPr>
                <w:sz w:val="20"/>
              </w:rPr>
            </w:pPr>
            <w:r>
              <w:rPr>
                <w:sz w:val="20"/>
              </w:rPr>
              <w:t>4505</w:t>
            </w:r>
          </w:p>
        </w:tc>
        <w:tc>
          <w:tcPr>
            <w:tcW w:w="1319" w:type="dxa"/>
          </w:tcPr>
          <w:p>
            <w:pPr>
              <w:pStyle w:val="TableParagraph"/>
              <w:ind w:left="0"/>
              <w:rPr>
                <w:sz w:val="16"/>
              </w:rPr>
            </w:pPr>
          </w:p>
        </w:tc>
      </w:tr>
      <w:tr>
        <w:trPr>
          <w:trHeight w:val="230" w:hRule="atLeast"/>
        </w:trPr>
        <w:tc>
          <w:tcPr>
            <w:tcW w:w="3314" w:type="dxa"/>
            <w:tcBorders>
              <w:bottom w:val="single" w:sz="4" w:space="0" w:color="000000"/>
            </w:tcBorders>
            <w:shd w:val="clear" w:color="auto" w:fill="F1F1F1"/>
          </w:tcPr>
          <w:p>
            <w:pPr>
              <w:pStyle w:val="TableParagraph"/>
              <w:spacing w:line="210" w:lineRule="exact"/>
              <w:ind w:left="122"/>
              <w:rPr>
                <w:sz w:val="20"/>
              </w:rPr>
            </w:pPr>
            <w:r>
              <w:rPr>
                <w:sz w:val="20"/>
              </w:rPr>
              <w:t>Grup Sayısı</w:t>
            </w:r>
          </w:p>
        </w:tc>
        <w:tc>
          <w:tcPr>
            <w:tcW w:w="1323" w:type="dxa"/>
            <w:tcBorders>
              <w:bottom w:val="single" w:sz="4" w:space="0" w:color="000000"/>
            </w:tcBorders>
            <w:shd w:val="clear" w:color="auto" w:fill="F1F1F1"/>
          </w:tcPr>
          <w:p>
            <w:pPr>
              <w:pStyle w:val="TableParagraph"/>
              <w:spacing w:line="210" w:lineRule="exact"/>
              <w:ind w:left="221"/>
              <w:rPr>
                <w:sz w:val="20"/>
              </w:rPr>
            </w:pPr>
            <w:r>
              <w:rPr>
                <w:sz w:val="20"/>
              </w:rPr>
              <w:t>161</w:t>
            </w:r>
          </w:p>
        </w:tc>
        <w:tc>
          <w:tcPr>
            <w:tcW w:w="1389" w:type="dxa"/>
            <w:tcBorders>
              <w:bottom w:val="single" w:sz="4" w:space="0" w:color="000000"/>
            </w:tcBorders>
            <w:shd w:val="clear" w:color="auto" w:fill="F1F1F1"/>
          </w:tcPr>
          <w:p>
            <w:pPr>
              <w:pStyle w:val="TableParagraph"/>
              <w:ind w:left="0"/>
              <w:rPr>
                <w:sz w:val="16"/>
              </w:rPr>
            </w:pPr>
          </w:p>
        </w:tc>
        <w:tc>
          <w:tcPr>
            <w:tcW w:w="1510" w:type="dxa"/>
            <w:tcBorders>
              <w:bottom w:val="single" w:sz="4" w:space="0" w:color="000000"/>
            </w:tcBorders>
            <w:shd w:val="clear" w:color="auto" w:fill="F1F1F1"/>
          </w:tcPr>
          <w:p>
            <w:pPr>
              <w:pStyle w:val="TableParagraph"/>
              <w:spacing w:line="210" w:lineRule="exact"/>
              <w:ind w:left="426"/>
              <w:rPr>
                <w:sz w:val="20"/>
              </w:rPr>
            </w:pPr>
            <w:r>
              <w:rPr>
                <w:sz w:val="20"/>
              </w:rPr>
              <w:t>161</w:t>
            </w:r>
          </w:p>
        </w:tc>
        <w:tc>
          <w:tcPr>
            <w:tcW w:w="1319" w:type="dxa"/>
            <w:tcBorders>
              <w:bottom w:val="single" w:sz="4" w:space="0" w:color="000000"/>
            </w:tcBorders>
            <w:shd w:val="clear" w:color="auto" w:fill="F1F1F1"/>
          </w:tcPr>
          <w:p>
            <w:pPr>
              <w:pStyle w:val="TableParagraph"/>
              <w:ind w:left="0"/>
              <w:rPr>
                <w:sz w:val="16"/>
              </w:rPr>
            </w:pPr>
          </w:p>
        </w:tc>
      </w:tr>
      <w:tr>
        <w:trPr>
          <w:trHeight w:val="690" w:hRule="atLeast"/>
        </w:trPr>
        <w:tc>
          <w:tcPr>
            <w:tcW w:w="3314" w:type="dxa"/>
            <w:tcBorders>
              <w:top w:val="single" w:sz="4" w:space="0" w:color="000000"/>
              <w:bottom w:val="single" w:sz="8" w:space="0" w:color="000000"/>
            </w:tcBorders>
          </w:tcPr>
          <w:p>
            <w:pPr>
              <w:pStyle w:val="TableParagraph"/>
              <w:ind w:left="122"/>
              <w:rPr>
                <w:sz w:val="20"/>
              </w:rPr>
            </w:pPr>
            <w:r>
              <w:rPr>
                <w:sz w:val="20"/>
              </w:rPr>
              <w:t>*** p&lt; ,01</w:t>
            </w:r>
          </w:p>
          <w:p>
            <w:pPr>
              <w:pStyle w:val="TableParagraph"/>
              <w:ind w:left="122"/>
              <w:rPr>
                <w:sz w:val="20"/>
              </w:rPr>
            </w:pPr>
            <w:r>
              <w:rPr>
                <w:sz w:val="20"/>
              </w:rPr>
              <w:t>**p&lt;,05</w:t>
            </w:r>
          </w:p>
          <w:p>
            <w:pPr>
              <w:pStyle w:val="TableParagraph"/>
              <w:spacing w:line="210" w:lineRule="exact" w:before="1"/>
              <w:ind w:left="122"/>
              <w:rPr>
                <w:sz w:val="20"/>
              </w:rPr>
            </w:pPr>
            <w:r>
              <w:rPr>
                <w:sz w:val="20"/>
              </w:rPr>
              <w:t>*p&lt;,10</w:t>
            </w:r>
          </w:p>
        </w:tc>
        <w:tc>
          <w:tcPr>
            <w:tcW w:w="1323" w:type="dxa"/>
            <w:tcBorders>
              <w:top w:val="single" w:sz="4" w:space="0" w:color="000000"/>
              <w:bottom w:val="single" w:sz="8" w:space="0" w:color="000000"/>
            </w:tcBorders>
          </w:tcPr>
          <w:p>
            <w:pPr>
              <w:pStyle w:val="TableParagraph"/>
              <w:ind w:left="0"/>
              <w:rPr>
                <w:sz w:val="20"/>
              </w:rPr>
            </w:pPr>
          </w:p>
        </w:tc>
        <w:tc>
          <w:tcPr>
            <w:tcW w:w="1389" w:type="dxa"/>
            <w:tcBorders>
              <w:top w:val="single" w:sz="4" w:space="0" w:color="000000"/>
              <w:bottom w:val="single" w:sz="8" w:space="0" w:color="000000"/>
            </w:tcBorders>
          </w:tcPr>
          <w:p>
            <w:pPr>
              <w:pStyle w:val="TableParagraph"/>
              <w:ind w:left="0"/>
              <w:rPr>
                <w:sz w:val="20"/>
              </w:rPr>
            </w:pPr>
          </w:p>
        </w:tc>
        <w:tc>
          <w:tcPr>
            <w:tcW w:w="1510" w:type="dxa"/>
            <w:tcBorders>
              <w:top w:val="single" w:sz="4" w:space="0" w:color="000000"/>
              <w:bottom w:val="single" w:sz="8" w:space="0" w:color="000000"/>
            </w:tcBorders>
          </w:tcPr>
          <w:p>
            <w:pPr>
              <w:pStyle w:val="TableParagraph"/>
              <w:ind w:left="0"/>
              <w:rPr>
                <w:sz w:val="20"/>
              </w:rPr>
            </w:pPr>
          </w:p>
        </w:tc>
        <w:tc>
          <w:tcPr>
            <w:tcW w:w="1319" w:type="dxa"/>
            <w:tcBorders>
              <w:top w:val="single" w:sz="4" w:space="0" w:color="000000"/>
              <w:bottom w:val="single" w:sz="8" w:space="0" w:color="000000"/>
            </w:tcBorders>
          </w:tcPr>
          <w:p>
            <w:pPr>
              <w:pStyle w:val="TableParagraph"/>
              <w:ind w:left="0"/>
              <w:rPr>
                <w:sz w:val="20"/>
              </w:rPr>
            </w:pPr>
          </w:p>
        </w:tc>
      </w:tr>
    </w:tbl>
    <w:p>
      <w:pPr>
        <w:pStyle w:val="BodyText"/>
        <w:spacing w:before="9"/>
        <w:ind w:left="0"/>
        <w:jc w:val="left"/>
        <w:rPr>
          <w:sz w:val="35"/>
        </w:rPr>
      </w:pPr>
    </w:p>
    <w:p>
      <w:pPr>
        <w:pStyle w:val="BodyText"/>
        <w:spacing w:line="360" w:lineRule="auto"/>
        <w:ind w:right="312" w:firstLine="708"/>
      </w:pPr>
      <w:r>
        <w:rPr/>
        <w:t>Olumlu, olumsuz ve nötr yorumlar bağlamında ise tüm kategorilerde bulgular farklılık göstermektedir. Mobilya kategorisinde, tüm katsayılar negatif olmasına karşın olumlu ve nötr yorum katsayıları istatistiksel olarak anlamlıdır. Bu sonuçla, mobilya kategorisinde olumlu ve nötr yorumların satışlar ile pozitif ilişkili olduğuna yönelik kanıt mevcutken, olumsuz yorumlar ile satışlar arasındaki ilişki için yeterli kanıt bulunamamıştır. Koltuk</w:t>
      </w:r>
      <w:r>
        <w:rPr>
          <w:spacing w:val="-14"/>
        </w:rPr>
        <w:t> </w:t>
      </w:r>
      <w:r>
        <w:rPr/>
        <w:t>kategorisinde</w:t>
      </w:r>
      <w:r>
        <w:rPr>
          <w:spacing w:val="-15"/>
        </w:rPr>
        <w:t> </w:t>
      </w:r>
      <w:r>
        <w:rPr/>
        <w:t>ise,</w:t>
      </w:r>
      <w:r>
        <w:rPr>
          <w:spacing w:val="-11"/>
        </w:rPr>
        <w:t> </w:t>
      </w:r>
      <w:r>
        <w:rPr/>
        <w:t>tüm</w:t>
      </w:r>
      <w:r>
        <w:rPr>
          <w:spacing w:val="-14"/>
        </w:rPr>
        <w:t> </w:t>
      </w:r>
      <w:r>
        <w:rPr/>
        <w:t>katsayılar</w:t>
      </w:r>
      <w:r>
        <w:rPr>
          <w:spacing w:val="-14"/>
        </w:rPr>
        <w:t> </w:t>
      </w:r>
      <w:r>
        <w:rPr/>
        <w:t>istatistiksel</w:t>
      </w:r>
      <w:r>
        <w:rPr>
          <w:spacing w:val="-14"/>
        </w:rPr>
        <w:t> </w:t>
      </w:r>
      <w:r>
        <w:rPr/>
        <w:t>olarak</w:t>
      </w:r>
      <w:r>
        <w:rPr>
          <w:spacing w:val="-11"/>
        </w:rPr>
        <w:t> </w:t>
      </w:r>
      <w:r>
        <w:rPr/>
        <w:t>anlamlıdır.</w:t>
      </w:r>
      <w:r>
        <w:rPr>
          <w:spacing w:val="-15"/>
        </w:rPr>
        <w:t> </w:t>
      </w:r>
      <w:r>
        <w:rPr/>
        <w:t>Bu</w:t>
      </w:r>
      <w:r>
        <w:rPr>
          <w:spacing w:val="-10"/>
        </w:rPr>
        <w:t> </w:t>
      </w:r>
      <w:r>
        <w:rPr/>
        <w:t>kategoride,</w:t>
      </w:r>
      <w:r>
        <w:rPr>
          <w:spacing w:val="-15"/>
        </w:rPr>
        <w:t> </w:t>
      </w:r>
      <w:r>
        <w:rPr/>
        <w:t>olumlu yorum katsayısı negatiftir ve olumlu yorumlar ile satışlar arasında pozitif ilişkiye işaret etmektedir.</w:t>
      </w:r>
      <w:r>
        <w:rPr>
          <w:spacing w:val="17"/>
        </w:rPr>
        <w:t> </w:t>
      </w:r>
      <w:r>
        <w:rPr/>
        <w:t>Öte</w:t>
      </w:r>
      <w:r>
        <w:rPr>
          <w:spacing w:val="16"/>
        </w:rPr>
        <w:t> </w:t>
      </w:r>
      <w:r>
        <w:rPr/>
        <w:t>yandan,</w:t>
      </w:r>
      <w:r>
        <w:rPr>
          <w:spacing w:val="17"/>
        </w:rPr>
        <w:t> </w:t>
      </w:r>
      <w:r>
        <w:rPr/>
        <w:t>koltuk</w:t>
      </w:r>
      <w:r>
        <w:rPr>
          <w:spacing w:val="17"/>
        </w:rPr>
        <w:t> </w:t>
      </w:r>
      <w:r>
        <w:rPr/>
        <w:t>kategorisinde</w:t>
      </w:r>
      <w:r>
        <w:rPr>
          <w:spacing w:val="17"/>
        </w:rPr>
        <w:t> </w:t>
      </w:r>
      <w:r>
        <w:rPr/>
        <w:t>olumsuz</w:t>
      </w:r>
      <w:r>
        <w:rPr>
          <w:spacing w:val="17"/>
        </w:rPr>
        <w:t> </w:t>
      </w:r>
      <w:r>
        <w:rPr/>
        <w:t>ve</w:t>
      </w:r>
      <w:r>
        <w:rPr>
          <w:spacing w:val="17"/>
        </w:rPr>
        <w:t> </w:t>
      </w:r>
      <w:r>
        <w:rPr/>
        <w:t>nötr</w:t>
      </w:r>
      <w:r>
        <w:rPr>
          <w:spacing w:val="17"/>
        </w:rPr>
        <w:t> </w:t>
      </w:r>
      <w:r>
        <w:rPr/>
        <w:t>yorumların</w:t>
      </w:r>
      <w:r>
        <w:rPr>
          <w:spacing w:val="17"/>
        </w:rPr>
        <w:t> </w:t>
      </w:r>
      <w:r>
        <w:rPr/>
        <w:t>katsayıları</w:t>
      </w:r>
    </w:p>
    <w:p>
      <w:pPr>
        <w:spacing w:after="0" w:line="360" w:lineRule="auto"/>
        <w:sectPr>
          <w:pgSz w:w="12240" w:h="15840"/>
          <w:pgMar w:header="718" w:footer="0" w:top="1300" w:bottom="280" w:left="1720" w:right="820"/>
        </w:sectPr>
      </w:pPr>
    </w:p>
    <w:p>
      <w:pPr>
        <w:pStyle w:val="BodyText"/>
        <w:spacing w:line="360" w:lineRule="auto" w:before="100"/>
        <w:ind w:right="313"/>
      </w:pPr>
      <w:r>
        <w:rPr/>
        <w:t>pozitiftir</w:t>
      </w:r>
      <w:r>
        <w:rPr>
          <w:spacing w:val="-14"/>
        </w:rPr>
        <w:t> </w:t>
      </w:r>
      <w:r>
        <w:rPr/>
        <w:t>ve</w:t>
      </w:r>
      <w:r>
        <w:rPr>
          <w:spacing w:val="-14"/>
        </w:rPr>
        <w:t> </w:t>
      </w:r>
      <w:r>
        <w:rPr/>
        <w:t>satışlar</w:t>
      </w:r>
      <w:r>
        <w:rPr>
          <w:spacing w:val="-15"/>
        </w:rPr>
        <w:t> </w:t>
      </w:r>
      <w:r>
        <w:rPr/>
        <w:t>ile</w:t>
      </w:r>
      <w:r>
        <w:rPr>
          <w:spacing w:val="-14"/>
        </w:rPr>
        <w:t> </w:t>
      </w:r>
      <w:r>
        <w:rPr/>
        <w:t>olumsuz</w:t>
      </w:r>
      <w:r>
        <w:rPr>
          <w:spacing w:val="-14"/>
        </w:rPr>
        <w:t> </w:t>
      </w:r>
      <w:r>
        <w:rPr/>
        <w:t>ve</w:t>
      </w:r>
      <w:r>
        <w:rPr>
          <w:spacing w:val="-15"/>
        </w:rPr>
        <w:t> </w:t>
      </w:r>
      <w:r>
        <w:rPr/>
        <w:t>nötr</w:t>
      </w:r>
      <w:r>
        <w:rPr>
          <w:spacing w:val="-14"/>
        </w:rPr>
        <w:t> </w:t>
      </w:r>
      <w:r>
        <w:rPr/>
        <w:t>yorumların</w:t>
      </w:r>
      <w:r>
        <w:rPr>
          <w:spacing w:val="-12"/>
        </w:rPr>
        <w:t> </w:t>
      </w:r>
      <w:r>
        <w:rPr/>
        <w:t>negatif</w:t>
      </w:r>
      <w:r>
        <w:rPr>
          <w:spacing w:val="-14"/>
        </w:rPr>
        <w:t> </w:t>
      </w:r>
      <w:r>
        <w:rPr/>
        <w:t>ilişkili</w:t>
      </w:r>
      <w:r>
        <w:rPr>
          <w:spacing w:val="-13"/>
        </w:rPr>
        <w:t> </w:t>
      </w:r>
      <w:r>
        <w:rPr/>
        <w:t>olduklarını</w:t>
      </w:r>
      <w:r>
        <w:rPr>
          <w:spacing w:val="-14"/>
        </w:rPr>
        <w:t> </w:t>
      </w:r>
      <w:r>
        <w:rPr/>
        <w:t>göstermektedir. Televizyon kategorisinde ise, olumlu ve nötr yorum katsayıları istatistiksel olarak anlamlı bulunmuştur. Olumlu yorum katsayısı negatiftir ve satışlar ile olumlu yorumlar arasında pozitif ilişki olduğunu göstermektedir. Nötr yorum katsayısı ise pozitiftir ve nötr yorumlar ile satışlar arasında negatif ilişkiyi işaret etmektedir. Televizyon kategorisinde olumsuz yorumlar ile satışlar arasında ilişki olduğuna yönelik kanıt bulunamamıştır. Son olarak, dizüstü bilgisayar kategorisi için ise, olumlu, olumsuz ve nötr yorum katsayıları istatistiksel olarak anlamlı değildir. Bu sonuçla, dizüstü bilgisayarlarda olumlu, olumsuz ve nötr yorumlar ile satış arasında herhangi bir ilişkiden söz etmek mümkün</w:t>
      </w:r>
      <w:r>
        <w:rPr>
          <w:spacing w:val="-12"/>
        </w:rPr>
        <w:t> </w:t>
      </w:r>
      <w:r>
        <w:rPr/>
        <w:t>değildir.</w:t>
      </w:r>
    </w:p>
    <w:p>
      <w:pPr>
        <w:pStyle w:val="BodyText"/>
        <w:spacing w:line="360" w:lineRule="auto"/>
        <w:ind w:right="308" w:firstLine="708"/>
      </w:pPr>
      <w:r>
        <w:rPr/>
        <w:t>Tablo 10’daki sonuçlardan yola çıkarak, ürün kategorilerinde, bağımsız değişkenler ile satışlar arasındaki ilişkiler Tablo 11’de özetlenmiştir. Parantez içindeki işaretler ilişkinin yönünü göstermektedir. İstatistiksel olarak anlamlı bulunmayan ilişkilere ait hücreler boş bırakılmıştır. Tablo 11’de görüldüğü üzere sadece koltuk kategorisinde tüm bağımsız değişkenler ile satışlar arasındaki ilişkiler anlamlı bulunmuştur. Öte yandan, dizüstü bilgisayar kategorisinde sadece iki değişken (toplam yorum sayısı ve ortalama yorum</w:t>
      </w:r>
      <w:r>
        <w:rPr>
          <w:spacing w:val="-42"/>
        </w:rPr>
        <w:t> </w:t>
      </w:r>
      <w:r>
        <w:rPr/>
        <w:t>puanı) ile</w:t>
      </w:r>
      <w:r>
        <w:rPr>
          <w:spacing w:val="-13"/>
        </w:rPr>
        <w:t> </w:t>
      </w:r>
      <w:r>
        <w:rPr/>
        <w:t>satışlar</w:t>
      </w:r>
      <w:r>
        <w:rPr>
          <w:spacing w:val="-12"/>
        </w:rPr>
        <w:t> </w:t>
      </w:r>
      <w:r>
        <w:rPr/>
        <w:t>arasında</w:t>
      </w:r>
      <w:r>
        <w:rPr>
          <w:spacing w:val="-13"/>
        </w:rPr>
        <w:t> </w:t>
      </w:r>
      <w:r>
        <w:rPr/>
        <w:t>ilişki</w:t>
      </w:r>
      <w:r>
        <w:rPr>
          <w:spacing w:val="-10"/>
        </w:rPr>
        <w:t> </w:t>
      </w:r>
      <w:r>
        <w:rPr/>
        <w:t>tespit</w:t>
      </w:r>
      <w:r>
        <w:rPr>
          <w:spacing w:val="-11"/>
        </w:rPr>
        <w:t> </w:t>
      </w:r>
      <w:r>
        <w:rPr/>
        <w:t>edilmiştir.</w:t>
      </w:r>
      <w:r>
        <w:rPr>
          <w:spacing w:val="-12"/>
        </w:rPr>
        <w:t> </w:t>
      </w:r>
      <w:r>
        <w:rPr/>
        <w:t>Mobilya</w:t>
      </w:r>
      <w:r>
        <w:rPr>
          <w:spacing w:val="-15"/>
        </w:rPr>
        <w:t> </w:t>
      </w:r>
      <w:r>
        <w:rPr/>
        <w:t>ve</w:t>
      </w:r>
      <w:r>
        <w:rPr>
          <w:spacing w:val="-12"/>
        </w:rPr>
        <w:t> </w:t>
      </w:r>
      <w:r>
        <w:rPr/>
        <w:t>TV</w:t>
      </w:r>
      <w:r>
        <w:rPr>
          <w:spacing w:val="-13"/>
        </w:rPr>
        <w:t> </w:t>
      </w:r>
      <w:r>
        <w:rPr/>
        <w:t>kategorilerinde</w:t>
      </w:r>
      <w:r>
        <w:rPr>
          <w:spacing w:val="-12"/>
        </w:rPr>
        <w:t> </w:t>
      </w:r>
      <w:r>
        <w:rPr/>
        <w:t>ise</w:t>
      </w:r>
      <w:r>
        <w:rPr>
          <w:spacing w:val="-13"/>
        </w:rPr>
        <w:t> </w:t>
      </w:r>
      <w:r>
        <w:rPr/>
        <w:t>sadece</w:t>
      </w:r>
      <w:r>
        <w:rPr>
          <w:spacing w:val="-12"/>
        </w:rPr>
        <w:t> </w:t>
      </w:r>
      <w:r>
        <w:rPr/>
        <w:t>olumsuz yorum ile satışlar arasında ilişki istatsitiksel olarak anlamlı bulunamamıştır. Ayrıca, Tablo 11’de görüldüğü üzere nötr yorum ile satışlar arasındaki ilişkinin yönü kategoriler arasında farklılık</w:t>
      </w:r>
      <w:r>
        <w:rPr>
          <w:spacing w:val="-1"/>
        </w:rPr>
        <w:t> </w:t>
      </w:r>
      <w:r>
        <w:rPr/>
        <w:t>göstermektedir.</w:t>
      </w:r>
    </w:p>
    <w:p>
      <w:pPr>
        <w:pStyle w:val="BodyText"/>
        <w:spacing w:before="162"/>
      </w:pPr>
      <w:r>
        <w:rPr>
          <w:b/>
        </w:rPr>
        <w:t>Tablo 11: </w:t>
      </w:r>
      <w:r>
        <w:rPr/>
        <w:t>Ürün kategorilerinde bağımsız değişkenler ile satışlar arasındaki ilişkilerin özeti</w:t>
      </w:r>
    </w:p>
    <w:tbl>
      <w:tblPr>
        <w:tblW w:w="0" w:type="auto"/>
        <w:jc w:val="left"/>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87"/>
        <w:gridCol w:w="1359"/>
        <w:gridCol w:w="1358"/>
        <w:gridCol w:w="1356"/>
        <w:gridCol w:w="1363"/>
      </w:tblGrid>
      <w:tr>
        <w:trPr>
          <w:trHeight w:val="275" w:hRule="atLeast"/>
        </w:trPr>
        <w:tc>
          <w:tcPr>
            <w:tcW w:w="3387" w:type="dxa"/>
            <w:tcBorders>
              <w:top w:val="single" w:sz="4" w:space="0" w:color="000000"/>
              <w:left w:val="single" w:sz="4" w:space="0" w:color="000000"/>
              <w:bottom w:val="single" w:sz="4" w:space="0" w:color="000000"/>
            </w:tcBorders>
          </w:tcPr>
          <w:p>
            <w:pPr>
              <w:pStyle w:val="TableParagraph"/>
              <w:ind w:left="0"/>
              <w:rPr>
                <w:sz w:val="20"/>
              </w:rPr>
            </w:pPr>
          </w:p>
        </w:tc>
        <w:tc>
          <w:tcPr>
            <w:tcW w:w="1359" w:type="dxa"/>
            <w:tcBorders>
              <w:top w:val="single" w:sz="4" w:space="0" w:color="000000"/>
              <w:bottom w:val="single" w:sz="4" w:space="0" w:color="000000"/>
            </w:tcBorders>
            <w:shd w:val="clear" w:color="auto" w:fill="F1F1F1"/>
          </w:tcPr>
          <w:p>
            <w:pPr>
              <w:pStyle w:val="TableParagraph"/>
              <w:spacing w:line="256" w:lineRule="exact"/>
              <w:ind w:left="236" w:right="228"/>
              <w:jc w:val="center"/>
              <w:rPr>
                <w:b/>
                <w:sz w:val="24"/>
              </w:rPr>
            </w:pPr>
            <w:r>
              <w:rPr>
                <w:b/>
                <w:sz w:val="24"/>
              </w:rPr>
              <w:t>Mobilya</w:t>
            </w:r>
          </w:p>
        </w:tc>
        <w:tc>
          <w:tcPr>
            <w:tcW w:w="1358" w:type="dxa"/>
            <w:tcBorders>
              <w:top w:val="single" w:sz="4" w:space="0" w:color="000000"/>
              <w:bottom w:val="single" w:sz="4" w:space="0" w:color="000000"/>
            </w:tcBorders>
          </w:tcPr>
          <w:p>
            <w:pPr>
              <w:pStyle w:val="TableParagraph"/>
              <w:spacing w:line="256" w:lineRule="exact"/>
              <w:ind w:left="270" w:right="260"/>
              <w:jc w:val="center"/>
              <w:rPr>
                <w:b/>
                <w:sz w:val="24"/>
              </w:rPr>
            </w:pPr>
            <w:r>
              <w:rPr>
                <w:b/>
                <w:sz w:val="24"/>
              </w:rPr>
              <w:t>Koltuk</w:t>
            </w:r>
          </w:p>
        </w:tc>
        <w:tc>
          <w:tcPr>
            <w:tcW w:w="1356" w:type="dxa"/>
            <w:tcBorders>
              <w:top w:val="single" w:sz="4" w:space="0" w:color="000000"/>
              <w:bottom w:val="single" w:sz="4" w:space="0" w:color="000000"/>
            </w:tcBorders>
            <w:shd w:val="clear" w:color="auto" w:fill="F1F1F1"/>
          </w:tcPr>
          <w:p>
            <w:pPr>
              <w:pStyle w:val="TableParagraph"/>
              <w:spacing w:line="256" w:lineRule="exact"/>
              <w:ind w:left="516"/>
              <w:rPr>
                <w:b/>
                <w:sz w:val="24"/>
              </w:rPr>
            </w:pPr>
            <w:r>
              <w:rPr>
                <w:b/>
                <w:sz w:val="24"/>
              </w:rPr>
              <w:t>TV</w:t>
            </w:r>
          </w:p>
        </w:tc>
        <w:tc>
          <w:tcPr>
            <w:tcW w:w="1363" w:type="dxa"/>
            <w:tcBorders>
              <w:top w:val="single" w:sz="4" w:space="0" w:color="000000"/>
              <w:bottom w:val="single" w:sz="4" w:space="0" w:color="000000"/>
              <w:right w:val="single" w:sz="4" w:space="0" w:color="000000"/>
            </w:tcBorders>
          </w:tcPr>
          <w:p>
            <w:pPr>
              <w:pStyle w:val="TableParagraph"/>
              <w:spacing w:line="256" w:lineRule="exact"/>
              <w:ind w:left="270" w:right="260"/>
              <w:jc w:val="center"/>
              <w:rPr>
                <w:b/>
                <w:sz w:val="24"/>
              </w:rPr>
            </w:pPr>
            <w:r>
              <w:rPr>
                <w:b/>
                <w:sz w:val="24"/>
              </w:rPr>
              <w:t>Dizüstü</w:t>
            </w:r>
          </w:p>
        </w:tc>
      </w:tr>
      <w:tr>
        <w:trPr>
          <w:trHeight w:val="280" w:hRule="atLeast"/>
        </w:trPr>
        <w:tc>
          <w:tcPr>
            <w:tcW w:w="3387" w:type="dxa"/>
            <w:tcBorders>
              <w:top w:val="single" w:sz="4" w:space="0" w:color="000000"/>
              <w:left w:val="single" w:sz="4" w:space="0" w:color="000000"/>
            </w:tcBorders>
          </w:tcPr>
          <w:p>
            <w:pPr>
              <w:pStyle w:val="TableParagraph"/>
              <w:spacing w:line="260" w:lineRule="exact"/>
              <w:rPr>
                <w:b/>
                <w:sz w:val="24"/>
              </w:rPr>
            </w:pPr>
            <w:r>
              <w:rPr>
                <w:b/>
                <w:sz w:val="24"/>
              </w:rPr>
              <w:t>Toplam yorum sayısı</w:t>
            </w:r>
          </w:p>
        </w:tc>
        <w:tc>
          <w:tcPr>
            <w:tcW w:w="1359" w:type="dxa"/>
            <w:tcBorders>
              <w:top w:val="single" w:sz="4" w:space="0" w:color="000000"/>
            </w:tcBorders>
            <w:shd w:val="clear" w:color="auto" w:fill="F1F1F1"/>
          </w:tcPr>
          <w:p>
            <w:pPr>
              <w:pStyle w:val="TableParagraph"/>
              <w:spacing w:line="260" w:lineRule="exact"/>
              <w:ind w:left="232" w:right="228"/>
              <w:jc w:val="center"/>
              <w:rPr>
                <w:sz w:val="24"/>
              </w:rPr>
            </w:pPr>
            <w:r>
              <w:rPr>
                <w:sz w:val="24"/>
              </w:rPr>
              <w:t>(+)</w:t>
            </w:r>
          </w:p>
        </w:tc>
        <w:tc>
          <w:tcPr>
            <w:tcW w:w="1358" w:type="dxa"/>
            <w:tcBorders>
              <w:top w:val="single" w:sz="4" w:space="0" w:color="000000"/>
            </w:tcBorders>
          </w:tcPr>
          <w:p>
            <w:pPr>
              <w:pStyle w:val="TableParagraph"/>
              <w:spacing w:line="260" w:lineRule="exact"/>
              <w:ind w:left="265" w:right="260"/>
              <w:jc w:val="center"/>
              <w:rPr>
                <w:sz w:val="24"/>
              </w:rPr>
            </w:pPr>
            <w:r>
              <w:rPr>
                <w:sz w:val="24"/>
              </w:rPr>
              <w:t>(+)</w:t>
            </w:r>
          </w:p>
        </w:tc>
        <w:tc>
          <w:tcPr>
            <w:tcW w:w="1356" w:type="dxa"/>
            <w:tcBorders>
              <w:top w:val="single" w:sz="4" w:space="0" w:color="000000"/>
            </w:tcBorders>
            <w:shd w:val="clear" w:color="auto" w:fill="F1F1F1"/>
          </w:tcPr>
          <w:p>
            <w:pPr>
              <w:pStyle w:val="TableParagraph"/>
              <w:spacing w:line="260" w:lineRule="exact"/>
              <w:ind w:left="535"/>
              <w:rPr>
                <w:sz w:val="24"/>
              </w:rPr>
            </w:pPr>
            <w:r>
              <w:rPr>
                <w:sz w:val="24"/>
              </w:rPr>
              <w:t>(+)</w:t>
            </w:r>
          </w:p>
        </w:tc>
        <w:tc>
          <w:tcPr>
            <w:tcW w:w="1363" w:type="dxa"/>
            <w:tcBorders>
              <w:top w:val="single" w:sz="4" w:space="0" w:color="000000"/>
              <w:right w:val="single" w:sz="4" w:space="0" w:color="000000"/>
            </w:tcBorders>
          </w:tcPr>
          <w:p>
            <w:pPr>
              <w:pStyle w:val="TableParagraph"/>
              <w:spacing w:line="260" w:lineRule="exact"/>
              <w:ind w:left="270" w:right="258"/>
              <w:jc w:val="center"/>
              <w:rPr>
                <w:sz w:val="24"/>
              </w:rPr>
            </w:pPr>
            <w:r>
              <w:rPr>
                <w:sz w:val="24"/>
              </w:rPr>
              <w:t>(+)</w:t>
            </w:r>
          </w:p>
        </w:tc>
      </w:tr>
      <w:tr>
        <w:trPr>
          <w:trHeight w:val="276" w:hRule="atLeast"/>
        </w:trPr>
        <w:tc>
          <w:tcPr>
            <w:tcW w:w="3387" w:type="dxa"/>
            <w:tcBorders>
              <w:left w:val="single" w:sz="4" w:space="0" w:color="000000"/>
            </w:tcBorders>
          </w:tcPr>
          <w:p>
            <w:pPr>
              <w:pStyle w:val="TableParagraph"/>
              <w:spacing w:line="256" w:lineRule="exact"/>
              <w:rPr>
                <w:b/>
                <w:sz w:val="24"/>
              </w:rPr>
            </w:pPr>
            <w:r>
              <w:rPr>
                <w:b/>
                <w:sz w:val="24"/>
              </w:rPr>
              <w:t>Ortalama yorum puanı</w:t>
            </w:r>
          </w:p>
        </w:tc>
        <w:tc>
          <w:tcPr>
            <w:tcW w:w="1359" w:type="dxa"/>
            <w:shd w:val="clear" w:color="auto" w:fill="F1F1F1"/>
          </w:tcPr>
          <w:p>
            <w:pPr>
              <w:pStyle w:val="TableParagraph"/>
              <w:spacing w:line="256" w:lineRule="exact"/>
              <w:ind w:left="232" w:right="228"/>
              <w:jc w:val="center"/>
              <w:rPr>
                <w:sz w:val="24"/>
              </w:rPr>
            </w:pPr>
            <w:r>
              <w:rPr>
                <w:sz w:val="24"/>
              </w:rPr>
              <w:t>(+)*</w:t>
            </w:r>
          </w:p>
        </w:tc>
        <w:tc>
          <w:tcPr>
            <w:tcW w:w="1358" w:type="dxa"/>
          </w:tcPr>
          <w:p>
            <w:pPr>
              <w:pStyle w:val="TableParagraph"/>
              <w:spacing w:line="256" w:lineRule="exact"/>
              <w:ind w:left="264" w:right="260"/>
              <w:jc w:val="center"/>
              <w:rPr>
                <w:sz w:val="24"/>
              </w:rPr>
            </w:pPr>
            <w:r>
              <w:rPr>
                <w:sz w:val="24"/>
              </w:rPr>
              <w:t>(+)*</w:t>
            </w:r>
          </w:p>
        </w:tc>
        <w:tc>
          <w:tcPr>
            <w:tcW w:w="1356" w:type="dxa"/>
            <w:shd w:val="clear" w:color="auto" w:fill="F1F1F1"/>
          </w:tcPr>
          <w:p>
            <w:pPr>
              <w:pStyle w:val="TableParagraph"/>
              <w:spacing w:line="256" w:lineRule="exact"/>
              <w:ind w:left="535"/>
              <w:rPr>
                <w:sz w:val="24"/>
              </w:rPr>
            </w:pPr>
            <w:r>
              <w:rPr>
                <w:sz w:val="24"/>
              </w:rPr>
              <w:t>(+)</w:t>
            </w:r>
          </w:p>
        </w:tc>
        <w:tc>
          <w:tcPr>
            <w:tcW w:w="1363" w:type="dxa"/>
            <w:tcBorders>
              <w:right w:val="single" w:sz="4" w:space="0" w:color="000000"/>
            </w:tcBorders>
          </w:tcPr>
          <w:p>
            <w:pPr>
              <w:pStyle w:val="TableParagraph"/>
              <w:spacing w:line="256" w:lineRule="exact"/>
              <w:ind w:left="270" w:right="258"/>
              <w:jc w:val="center"/>
              <w:rPr>
                <w:sz w:val="24"/>
              </w:rPr>
            </w:pPr>
            <w:r>
              <w:rPr>
                <w:sz w:val="24"/>
              </w:rPr>
              <w:t>(+)</w:t>
            </w:r>
          </w:p>
        </w:tc>
      </w:tr>
      <w:tr>
        <w:trPr>
          <w:trHeight w:val="275" w:hRule="atLeast"/>
        </w:trPr>
        <w:tc>
          <w:tcPr>
            <w:tcW w:w="3387" w:type="dxa"/>
            <w:tcBorders>
              <w:left w:val="single" w:sz="4" w:space="0" w:color="000000"/>
            </w:tcBorders>
          </w:tcPr>
          <w:p>
            <w:pPr>
              <w:pStyle w:val="TableParagraph"/>
              <w:spacing w:line="256" w:lineRule="exact"/>
              <w:rPr>
                <w:b/>
                <w:sz w:val="24"/>
              </w:rPr>
            </w:pPr>
            <w:r>
              <w:rPr>
                <w:b/>
                <w:sz w:val="24"/>
              </w:rPr>
              <w:t>Olumlu yorum</w:t>
            </w:r>
          </w:p>
        </w:tc>
        <w:tc>
          <w:tcPr>
            <w:tcW w:w="1359" w:type="dxa"/>
            <w:shd w:val="clear" w:color="auto" w:fill="F1F1F1"/>
          </w:tcPr>
          <w:p>
            <w:pPr>
              <w:pStyle w:val="TableParagraph"/>
              <w:spacing w:line="256" w:lineRule="exact"/>
              <w:ind w:left="232" w:right="228"/>
              <w:jc w:val="center"/>
              <w:rPr>
                <w:sz w:val="24"/>
              </w:rPr>
            </w:pPr>
            <w:r>
              <w:rPr>
                <w:sz w:val="24"/>
              </w:rPr>
              <w:t>(+)</w:t>
            </w:r>
          </w:p>
        </w:tc>
        <w:tc>
          <w:tcPr>
            <w:tcW w:w="1358" w:type="dxa"/>
          </w:tcPr>
          <w:p>
            <w:pPr>
              <w:pStyle w:val="TableParagraph"/>
              <w:spacing w:line="256" w:lineRule="exact"/>
              <w:ind w:left="265" w:right="260"/>
              <w:jc w:val="center"/>
              <w:rPr>
                <w:sz w:val="24"/>
              </w:rPr>
            </w:pPr>
            <w:r>
              <w:rPr>
                <w:sz w:val="24"/>
              </w:rPr>
              <w:t>(+)</w:t>
            </w:r>
          </w:p>
        </w:tc>
        <w:tc>
          <w:tcPr>
            <w:tcW w:w="1356" w:type="dxa"/>
            <w:shd w:val="clear" w:color="auto" w:fill="F1F1F1"/>
          </w:tcPr>
          <w:p>
            <w:pPr>
              <w:pStyle w:val="TableParagraph"/>
              <w:spacing w:line="256" w:lineRule="exact"/>
              <w:ind w:left="535"/>
              <w:rPr>
                <w:sz w:val="24"/>
              </w:rPr>
            </w:pPr>
            <w:r>
              <w:rPr>
                <w:sz w:val="24"/>
              </w:rPr>
              <w:t>(+)</w:t>
            </w:r>
          </w:p>
        </w:tc>
        <w:tc>
          <w:tcPr>
            <w:tcW w:w="1363" w:type="dxa"/>
            <w:tcBorders>
              <w:right w:val="single" w:sz="4" w:space="0" w:color="000000"/>
            </w:tcBorders>
          </w:tcPr>
          <w:p>
            <w:pPr>
              <w:pStyle w:val="TableParagraph"/>
              <w:ind w:left="0"/>
              <w:rPr>
                <w:sz w:val="20"/>
              </w:rPr>
            </w:pPr>
          </w:p>
        </w:tc>
      </w:tr>
      <w:tr>
        <w:trPr>
          <w:trHeight w:val="275" w:hRule="atLeast"/>
        </w:trPr>
        <w:tc>
          <w:tcPr>
            <w:tcW w:w="3387" w:type="dxa"/>
            <w:tcBorders>
              <w:left w:val="single" w:sz="4" w:space="0" w:color="000000"/>
            </w:tcBorders>
          </w:tcPr>
          <w:p>
            <w:pPr>
              <w:pStyle w:val="TableParagraph"/>
              <w:spacing w:line="256" w:lineRule="exact"/>
              <w:rPr>
                <w:b/>
                <w:sz w:val="24"/>
              </w:rPr>
            </w:pPr>
            <w:r>
              <w:rPr>
                <w:b/>
                <w:sz w:val="24"/>
              </w:rPr>
              <w:t>Olumsuz yorum</w:t>
            </w:r>
          </w:p>
        </w:tc>
        <w:tc>
          <w:tcPr>
            <w:tcW w:w="1359" w:type="dxa"/>
            <w:shd w:val="clear" w:color="auto" w:fill="F1F1F1"/>
          </w:tcPr>
          <w:p>
            <w:pPr>
              <w:pStyle w:val="TableParagraph"/>
              <w:ind w:left="0"/>
              <w:rPr>
                <w:sz w:val="20"/>
              </w:rPr>
            </w:pPr>
          </w:p>
        </w:tc>
        <w:tc>
          <w:tcPr>
            <w:tcW w:w="1358" w:type="dxa"/>
          </w:tcPr>
          <w:p>
            <w:pPr>
              <w:pStyle w:val="TableParagraph"/>
              <w:spacing w:line="256" w:lineRule="exact"/>
              <w:ind w:left="267" w:right="260"/>
              <w:jc w:val="center"/>
              <w:rPr>
                <w:sz w:val="24"/>
              </w:rPr>
            </w:pPr>
            <w:r>
              <w:rPr>
                <w:sz w:val="24"/>
              </w:rPr>
              <w:t>(-)</w:t>
            </w:r>
          </w:p>
        </w:tc>
        <w:tc>
          <w:tcPr>
            <w:tcW w:w="1356" w:type="dxa"/>
            <w:shd w:val="clear" w:color="auto" w:fill="F1F1F1"/>
          </w:tcPr>
          <w:p>
            <w:pPr>
              <w:pStyle w:val="TableParagraph"/>
              <w:ind w:left="0"/>
              <w:rPr>
                <w:sz w:val="20"/>
              </w:rPr>
            </w:pPr>
          </w:p>
        </w:tc>
        <w:tc>
          <w:tcPr>
            <w:tcW w:w="1363" w:type="dxa"/>
            <w:tcBorders>
              <w:right w:val="single" w:sz="4" w:space="0" w:color="000000"/>
            </w:tcBorders>
          </w:tcPr>
          <w:p>
            <w:pPr>
              <w:pStyle w:val="TableParagraph"/>
              <w:ind w:left="0"/>
              <w:rPr>
                <w:sz w:val="20"/>
              </w:rPr>
            </w:pPr>
          </w:p>
        </w:tc>
      </w:tr>
      <w:tr>
        <w:trPr>
          <w:trHeight w:val="271" w:hRule="atLeast"/>
        </w:trPr>
        <w:tc>
          <w:tcPr>
            <w:tcW w:w="3387" w:type="dxa"/>
            <w:tcBorders>
              <w:left w:val="single" w:sz="4" w:space="0" w:color="000000"/>
              <w:bottom w:val="single" w:sz="4" w:space="0" w:color="000000"/>
            </w:tcBorders>
          </w:tcPr>
          <w:p>
            <w:pPr>
              <w:pStyle w:val="TableParagraph"/>
              <w:spacing w:line="252" w:lineRule="exact"/>
              <w:rPr>
                <w:b/>
                <w:sz w:val="24"/>
              </w:rPr>
            </w:pPr>
            <w:r>
              <w:rPr>
                <w:b/>
                <w:sz w:val="24"/>
              </w:rPr>
              <w:t>Nötr yorum</w:t>
            </w:r>
          </w:p>
        </w:tc>
        <w:tc>
          <w:tcPr>
            <w:tcW w:w="1359" w:type="dxa"/>
            <w:tcBorders>
              <w:bottom w:val="single" w:sz="4" w:space="0" w:color="000000"/>
            </w:tcBorders>
            <w:shd w:val="clear" w:color="auto" w:fill="F1F1F1"/>
          </w:tcPr>
          <w:p>
            <w:pPr>
              <w:pStyle w:val="TableParagraph"/>
              <w:spacing w:line="252" w:lineRule="exact"/>
              <w:ind w:left="232" w:right="228"/>
              <w:jc w:val="center"/>
              <w:rPr>
                <w:sz w:val="24"/>
              </w:rPr>
            </w:pPr>
            <w:r>
              <w:rPr>
                <w:sz w:val="24"/>
              </w:rPr>
              <w:t>(+)</w:t>
            </w:r>
          </w:p>
        </w:tc>
        <w:tc>
          <w:tcPr>
            <w:tcW w:w="1358" w:type="dxa"/>
            <w:tcBorders>
              <w:bottom w:val="single" w:sz="4" w:space="0" w:color="000000"/>
            </w:tcBorders>
          </w:tcPr>
          <w:p>
            <w:pPr>
              <w:pStyle w:val="TableParagraph"/>
              <w:spacing w:line="252" w:lineRule="exact"/>
              <w:ind w:left="267" w:right="260"/>
              <w:jc w:val="center"/>
              <w:rPr>
                <w:sz w:val="24"/>
              </w:rPr>
            </w:pPr>
            <w:r>
              <w:rPr>
                <w:sz w:val="24"/>
              </w:rPr>
              <w:t>(-)</w:t>
            </w:r>
          </w:p>
        </w:tc>
        <w:tc>
          <w:tcPr>
            <w:tcW w:w="1356" w:type="dxa"/>
            <w:tcBorders>
              <w:bottom w:val="single" w:sz="4" w:space="0" w:color="000000"/>
            </w:tcBorders>
            <w:shd w:val="clear" w:color="auto" w:fill="F1F1F1"/>
          </w:tcPr>
          <w:p>
            <w:pPr>
              <w:pStyle w:val="TableParagraph"/>
              <w:spacing w:line="252" w:lineRule="exact"/>
              <w:ind w:left="564"/>
              <w:rPr>
                <w:sz w:val="24"/>
              </w:rPr>
            </w:pPr>
            <w:r>
              <w:rPr>
                <w:sz w:val="24"/>
              </w:rPr>
              <w:t>(-)</w:t>
            </w:r>
          </w:p>
        </w:tc>
        <w:tc>
          <w:tcPr>
            <w:tcW w:w="1363" w:type="dxa"/>
            <w:tcBorders>
              <w:bottom w:val="single" w:sz="4" w:space="0" w:color="000000"/>
              <w:right w:val="single" w:sz="4" w:space="0" w:color="000000"/>
            </w:tcBorders>
          </w:tcPr>
          <w:p>
            <w:pPr>
              <w:pStyle w:val="TableParagraph"/>
              <w:ind w:left="0"/>
              <w:rPr>
                <w:sz w:val="20"/>
              </w:rPr>
            </w:pPr>
          </w:p>
        </w:tc>
      </w:tr>
      <w:tr>
        <w:trPr>
          <w:trHeight w:val="690" w:hRule="atLeast"/>
        </w:trPr>
        <w:tc>
          <w:tcPr>
            <w:tcW w:w="8823" w:type="dxa"/>
            <w:gridSpan w:val="5"/>
            <w:tcBorders>
              <w:top w:val="single" w:sz="4" w:space="0" w:color="000000"/>
              <w:left w:val="single" w:sz="4" w:space="0" w:color="000000"/>
              <w:bottom w:val="single" w:sz="4" w:space="0" w:color="000000"/>
              <w:right w:val="single" w:sz="4" w:space="0" w:color="000000"/>
            </w:tcBorders>
          </w:tcPr>
          <w:p>
            <w:pPr>
              <w:pStyle w:val="TableParagraph"/>
              <w:rPr>
                <w:sz w:val="20"/>
              </w:rPr>
            </w:pPr>
            <w:r>
              <w:rPr>
                <w:sz w:val="20"/>
              </w:rPr>
              <w:t>* Sadece Denklem (8) sonuçlarına göre anlamlı ilişki tespit edilmiştir.</w:t>
            </w:r>
          </w:p>
          <w:p>
            <w:pPr>
              <w:pStyle w:val="TableParagraph"/>
              <w:spacing w:line="230" w:lineRule="atLeast"/>
              <w:rPr>
                <w:sz w:val="20"/>
              </w:rPr>
            </w:pPr>
            <w:r>
              <w:rPr>
                <w:sz w:val="20"/>
              </w:rPr>
              <w:t>Not: (+) pozitif ilişkiyi, (-) negatif ilişkiyi temsil etmektedir. İstatistiksel olarak anlamlı bulunmayan ilişkilere ait hücreler boş bırakılmıştır.</w:t>
            </w:r>
          </w:p>
        </w:tc>
      </w:tr>
    </w:tbl>
    <w:p>
      <w:pPr>
        <w:pStyle w:val="BodyText"/>
        <w:spacing w:before="9"/>
        <w:ind w:left="0"/>
        <w:jc w:val="left"/>
        <w:rPr>
          <w:sz w:val="20"/>
        </w:rPr>
      </w:pPr>
    </w:p>
    <w:p>
      <w:pPr>
        <w:pStyle w:val="BodyText"/>
        <w:spacing w:line="360" w:lineRule="auto"/>
        <w:ind w:right="311" w:firstLine="708"/>
      </w:pPr>
      <w:r>
        <w:rPr/>
        <w:t>Ürün kategorileri arasında, hacim ve değerlik değişkenleri ile satışlar arasındaki ilişkilerin</w:t>
      </w:r>
      <w:r>
        <w:rPr>
          <w:spacing w:val="-9"/>
        </w:rPr>
        <w:t> </w:t>
      </w:r>
      <w:r>
        <w:rPr/>
        <w:t>farklılık</w:t>
      </w:r>
      <w:r>
        <w:rPr>
          <w:spacing w:val="-10"/>
        </w:rPr>
        <w:t> </w:t>
      </w:r>
      <w:r>
        <w:rPr/>
        <w:t>gösterip</w:t>
      </w:r>
      <w:r>
        <w:rPr>
          <w:spacing w:val="-10"/>
        </w:rPr>
        <w:t> </w:t>
      </w:r>
      <w:r>
        <w:rPr/>
        <w:t>göstermediği</w:t>
      </w:r>
      <w:r>
        <w:rPr>
          <w:spacing w:val="-8"/>
        </w:rPr>
        <w:t> </w:t>
      </w:r>
      <w:r>
        <w:rPr/>
        <w:t>Wald</w:t>
      </w:r>
      <w:r>
        <w:rPr>
          <w:spacing w:val="-9"/>
        </w:rPr>
        <w:t> </w:t>
      </w:r>
      <w:r>
        <w:rPr/>
        <w:t>χ</w:t>
      </w:r>
      <w:r>
        <w:rPr>
          <w:vertAlign w:val="superscript"/>
        </w:rPr>
        <w:t>2</w:t>
      </w:r>
      <w:r>
        <w:rPr>
          <w:spacing w:val="-8"/>
          <w:vertAlign w:val="baseline"/>
        </w:rPr>
        <w:t> </w:t>
      </w:r>
      <w:r>
        <w:rPr>
          <w:vertAlign w:val="baseline"/>
        </w:rPr>
        <w:t>testi</w:t>
      </w:r>
      <w:r>
        <w:rPr>
          <w:spacing w:val="-8"/>
          <w:vertAlign w:val="baseline"/>
        </w:rPr>
        <w:t> </w:t>
      </w:r>
      <w:r>
        <w:rPr>
          <w:vertAlign w:val="baseline"/>
        </w:rPr>
        <w:t>ile</w:t>
      </w:r>
      <w:r>
        <w:rPr>
          <w:spacing w:val="-10"/>
          <w:vertAlign w:val="baseline"/>
        </w:rPr>
        <w:t> </w:t>
      </w:r>
      <w:r>
        <w:rPr>
          <w:vertAlign w:val="baseline"/>
        </w:rPr>
        <w:t>test</w:t>
      </w:r>
      <w:r>
        <w:rPr>
          <w:spacing w:val="-9"/>
          <w:vertAlign w:val="baseline"/>
        </w:rPr>
        <w:t> </w:t>
      </w:r>
      <w:r>
        <w:rPr>
          <w:vertAlign w:val="baseline"/>
        </w:rPr>
        <w:t>edilmiştir</w:t>
      </w:r>
      <w:r>
        <w:rPr>
          <w:spacing w:val="-10"/>
          <w:vertAlign w:val="baseline"/>
        </w:rPr>
        <w:t> </w:t>
      </w:r>
      <w:r>
        <w:rPr>
          <w:vertAlign w:val="baseline"/>
        </w:rPr>
        <w:t>(bk.</w:t>
      </w:r>
      <w:r>
        <w:rPr>
          <w:spacing w:val="-10"/>
          <w:vertAlign w:val="baseline"/>
        </w:rPr>
        <w:t> </w:t>
      </w:r>
      <w:r>
        <w:rPr>
          <w:vertAlign w:val="baseline"/>
        </w:rPr>
        <w:t>Tablo</w:t>
      </w:r>
      <w:r>
        <w:rPr>
          <w:spacing w:val="-9"/>
          <w:vertAlign w:val="baseline"/>
        </w:rPr>
        <w:t> </w:t>
      </w:r>
      <w:r>
        <w:rPr>
          <w:vertAlign w:val="baseline"/>
        </w:rPr>
        <w:t>12).</w:t>
      </w:r>
      <w:r>
        <w:rPr>
          <w:spacing w:val="-10"/>
          <w:vertAlign w:val="baseline"/>
        </w:rPr>
        <w:t> </w:t>
      </w:r>
      <w:r>
        <w:rPr>
          <w:vertAlign w:val="baseline"/>
        </w:rPr>
        <w:t>Wald χ</w:t>
      </w:r>
      <w:r>
        <w:rPr>
          <w:vertAlign w:val="superscript"/>
        </w:rPr>
        <w:t>2</w:t>
      </w:r>
      <w:r>
        <w:rPr>
          <w:vertAlign w:val="baseline"/>
        </w:rPr>
        <w:t> testinin sıfır hipotezi, ilgili değişkenlerin (örn. Olumlu Yorum*TV ve Olumlu Yorum*Koltuk) katsayılarının eşit olduğunu belirtmektedir. Dolayısıyla, ürün</w:t>
      </w:r>
      <w:r>
        <w:rPr>
          <w:spacing w:val="53"/>
          <w:vertAlign w:val="baseline"/>
        </w:rPr>
        <w:t> </w:t>
      </w:r>
      <w:r>
        <w:rPr>
          <w:vertAlign w:val="baseline"/>
        </w:rPr>
        <w:t>kategorileri</w:t>
      </w:r>
    </w:p>
    <w:p>
      <w:pPr>
        <w:spacing w:after="0" w:line="360" w:lineRule="auto"/>
        <w:sectPr>
          <w:pgSz w:w="12240" w:h="15840"/>
          <w:pgMar w:header="718" w:footer="0" w:top="1300" w:bottom="280" w:left="1720" w:right="820"/>
        </w:sectPr>
      </w:pPr>
    </w:p>
    <w:p>
      <w:pPr>
        <w:pStyle w:val="BodyText"/>
        <w:spacing w:line="360" w:lineRule="auto" w:before="100"/>
        <w:ind w:right="312"/>
        <w:jc w:val="left"/>
      </w:pPr>
      <w:r>
        <w:rPr/>
        <w:t>arasında, hacim ve değerlik değişkenleri ile satışlar arasındaki ilişkilerin farklı olduğunu kabul etmek için sıfır hipotezi reddedilmelidir.</w:t>
      </w:r>
    </w:p>
    <w:p>
      <w:pPr>
        <w:pStyle w:val="BodyText"/>
        <w:spacing w:before="159"/>
        <w:ind w:right="312"/>
        <w:jc w:val="left"/>
      </w:pPr>
      <w:r>
        <w:rPr>
          <w:b/>
        </w:rPr>
        <w:t>Tablo 12: </w:t>
      </w:r>
      <w:r>
        <w:rPr/>
        <w:t>Hacim ve Değerlik Değişkenlerinin Etkisinin Ürün Kategorileri Arasında Kıyaslanması</w:t>
      </w: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8"/>
        <w:gridCol w:w="1549"/>
        <w:gridCol w:w="1418"/>
        <w:gridCol w:w="1221"/>
        <w:gridCol w:w="1418"/>
        <w:gridCol w:w="1373"/>
      </w:tblGrid>
      <w:tr>
        <w:trPr>
          <w:trHeight w:val="690" w:hRule="atLeast"/>
        </w:trPr>
        <w:tc>
          <w:tcPr>
            <w:tcW w:w="1728" w:type="dxa"/>
            <w:tcBorders>
              <w:top w:val="single" w:sz="4" w:space="0" w:color="7E7E7E"/>
              <w:bottom w:val="single" w:sz="4" w:space="0" w:color="7E7E7E"/>
            </w:tcBorders>
          </w:tcPr>
          <w:p>
            <w:pPr>
              <w:pStyle w:val="TableParagraph"/>
              <w:ind w:left="0"/>
              <w:rPr>
                <w:sz w:val="22"/>
              </w:rPr>
            </w:pPr>
          </w:p>
        </w:tc>
        <w:tc>
          <w:tcPr>
            <w:tcW w:w="1549" w:type="dxa"/>
            <w:tcBorders>
              <w:top w:val="single" w:sz="4" w:space="0" w:color="7E7E7E"/>
              <w:bottom w:val="single" w:sz="4" w:space="0" w:color="7E7E7E"/>
            </w:tcBorders>
          </w:tcPr>
          <w:p>
            <w:pPr>
              <w:pStyle w:val="TableParagraph"/>
              <w:spacing w:line="230" w:lineRule="atLeast"/>
              <w:ind w:left="238" w:right="53"/>
              <w:rPr>
                <w:b/>
                <w:sz w:val="20"/>
              </w:rPr>
            </w:pPr>
            <w:r>
              <w:rPr>
                <w:b/>
                <w:sz w:val="20"/>
              </w:rPr>
              <w:t>Toplam Yorum Sayısı (χ</w:t>
            </w:r>
            <w:r>
              <w:rPr>
                <w:b/>
                <w:sz w:val="20"/>
                <w:vertAlign w:val="superscript"/>
              </w:rPr>
              <w:t>2</w:t>
            </w:r>
            <w:r>
              <w:rPr>
                <w:b/>
                <w:sz w:val="20"/>
                <w:vertAlign w:val="baseline"/>
              </w:rPr>
              <w:t>)</w:t>
            </w:r>
          </w:p>
        </w:tc>
        <w:tc>
          <w:tcPr>
            <w:tcW w:w="1418" w:type="dxa"/>
            <w:tcBorders>
              <w:top w:val="single" w:sz="4" w:space="0" w:color="7E7E7E"/>
              <w:bottom w:val="single" w:sz="4" w:space="0" w:color="7E7E7E"/>
            </w:tcBorders>
          </w:tcPr>
          <w:p>
            <w:pPr>
              <w:pStyle w:val="TableParagraph"/>
              <w:spacing w:line="230" w:lineRule="atLeast"/>
              <w:rPr>
                <w:b/>
                <w:sz w:val="20"/>
              </w:rPr>
            </w:pPr>
            <w:r>
              <w:rPr>
                <w:b/>
                <w:sz w:val="20"/>
              </w:rPr>
              <w:t>Ortalama Yorum Puanı (χ</w:t>
            </w:r>
            <w:r>
              <w:rPr>
                <w:b/>
                <w:sz w:val="20"/>
                <w:vertAlign w:val="superscript"/>
              </w:rPr>
              <w:t>2</w:t>
            </w:r>
            <w:r>
              <w:rPr>
                <w:b/>
                <w:sz w:val="20"/>
                <w:vertAlign w:val="baseline"/>
              </w:rPr>
              <w:t>)</w:t>
            </w:r>
          </w:p>
        </w:tc>
        <w:tc>
          <w:tcPr>
            <w:tcW w:w="1221" w:type="dxa"/>
            <w:tcBorders>
              <w:top w:val="single" w:sz="4" w:space="0" w:color="7E7E7E"/>
              <w:bottom w:val="single" w:sz="4" w:space="0" w:color="7E7E7E"/>
            </w:tcBorders>
          </w:tcPr>
          <w:p>
            <w:pPr>
              <w:pStyle w:val="TableParagraph"/>
              <w:ind w:left="105" w:right="144"/>
              <w:rPr>
                <w:b/>
                <w:sz w:val="20"/>
              </w:rPr>
            </w:pPr>
            <w:r>
              <w:rPr>
                <w:b/>
                <w:sz w:val="20"/>
              </w:rPr>
              <w:t>Olumlu Yorum (χ</w:t>
            </w:r>
            <w:r>
              <w:rPr>
                <w:b/>
                <w:sz w:val="20"/>
                <w:vertAlign w:val="superscript"/>
              </w:rPr>
              <w:t>2</w:t>
            </w:r>
            <w:r>
              <w:rPr>
                <w:b/>
                <w:sz w:val="20"/>
                <w:vertAlign w:val="baseline"/>
              </w:rPr>
              <w:t>)</w:t>
            </w:r>
          </w:p>
        </w:tc>
        <w:tc>
          <w:tcPr>
            <w:tcW w:w="1418" w:type="dxa"/>
            <w:tcBorders>
              <w:top w:val="single" w:sz="4" w:space="0" w:color="7E7E7E"/>
              <w:bottom w:val="single" w:sz="4" w:space="0" w:color="7E7E7E"/>
            </w:tcBorders>
          </w:tcPr>
          <w:p>
            <w:pPr>
              <w:pStyle w:val="TableParagraph"/>
              <w:ind w:left="159" w:right="287"/>
              <w:rPr>
                <w:b/>
                <w:sz w:val="20"/>
              </w:rPr>
            </w:pPr>
            <w:r>
              <w:rPr>
                <w:b/>
                <w:sz w:val="20"/>
              </w:rPr>
              <w:t>Olumsuz Yorum (χ</w:t>
            </w:r>
            <w:r>
              <w:rPr>
                <w:b/>
                <w:sz w:val="20"/>
                <w:vertAlign w:val="superscript"/>
              </w:rPr>
              <w:t>2</w:t>
            </w:r>
            <w:r>
              <w:rPr>
                <w:b/>
                <w:sz w:val="20"/>
                <w:vertAlign w:val="baseline"/>
              </w:rPr>
              <w:t>)</w:t>
            </w:r>
          </w:p>
        </w:tc>
        <w:tc>
          <w:tcPr>
            <w:tcW w:w="1373" w:type="dxa"/>
            <w:tcBorders>
              <w:top w:val="single" w:sz="4" w:space="0" w:color="7E7E7E"/>
              <w:bottom w:val="single" w:sz="4" w:space="0" w:color="7E7E7E"/>
            </w:tcBorders>
          </w:tcPr>
          <w:p>
            <w:pPr>
              <w:pStyle w:val="TableParagraph"/>
              <w:ind w:left="301" w:right="100"/>
              <w:rPr>
                <w:b/>
                <w:sz w:val="20"/>
              </w:rPr>
            </w:pPr>
            <w:r>
              <w:rPr>
                <w:b/>
                <w:sz w:val="20"/>
              </w:rPr>
              <w:t>Nötr Yorum (χ</w:t>
            </w:r>
            <w:r>
              <w:rPr>
                <w:b/>
                <w:sz w:val="20"/>
                <w:vertAlign w:val="superscript"/>
              </w:rPr>
              <w:t>2</w:t>
            </w:r>
            <w:r>
              <w:rPr>
                <w:b/>
                <w:sz w:val="20"/>
                <w:vertAlign w:val="baseline"/>
              </w:rPr>
              <w:t>)</w:t>
            </w:r>
          </w:p>
        </w:tc>
      </w:tr>
      <w:tr>
        <w:trPr>
          <w:trHeight w:val="230" w:hRule="atLeast"/>
        </w:trPr>
        <w:tc>
          <w:tcPr>
            <w:tcW w:w="1728" w:type="dxa"/>
            <w:tcBorders>
              <w:top w:val="single" w:sz="4" w:space="0" w:color="7E7E7E"/>
            </w:tcBorders>
            <w:shd w:val="clear" w:color="auto" w:fill="F1F1F1"/>
          </w:tcPr>
          <w:p>
            <w:pPr>
              <w:pStyle w:val="TableParagraph"/>
              <w:spacing w:line="210" w:lineRule="exact"/>
              <w:ind w:left="122"/>
              <w:rPr>
                <w:sz w:val="20"/>
              </w:rPr>
            </w:pPr>
            <w:r>
              <w:rPr>
                <w:sz w:val="20"/>
              </w:rPr>
              <w:t>Mobilya-Dizüstü</w:t>
            </w:r>
          </w:p>
        </w:tc>
        <w:tc>
          <w:tcPr>
            <w:tcW w:w="1549" w:type="dxa"/>
            <w:tcBorders>
              <w:top w:val="single" w:sz="4" w:space="0" w:color="7E7E7E"/>
            </w:tcBorders>
            <w:shd w:val="clear" w:color="auto" w:fill="F1F1F1"/>
          </w:tcPr>
          <w:p>
            <w:pPr>
              <w:pStyle w:val="TableParagraph"/>
              <w:spacing w:line="210" w:lineRule="exact"/>
              <w:ind w:left="238"/>
              <w:rPr>
                <w:sz w:val="20"/>
              </w:rPr>
            </w:pPr>
            <w:r>
              <w:rPr>
                <w:sz w:val="20"/>
              </w:rPr>
              <w:t>,04</w:t>
            </w:r>
          </w:p>
        </w:tc>
        <w:tc>
          <w:tcPr>
            <w:tcW w:w="1418" w:type="dxa"/>
            <w:tcBorders>
              <w:top w:val="single" w:sz="4" w:space="0" w:color="7E7E7E"/>
            </w:tcBorders>
            <w:shd w:val="clear" w:color="auto" w:fill="F1F1F1"/>
          </w:tcPr>
          <w:p>
            <w:pPr>
              <w:pStyle w:val="TableParagraph"/>
              <w:spacing w:line="210" w:lineRule="exact"/>
              <w:rPr>
                <w:sz w:val="20"/>
              </w:rPr>
            </w:pPr>
            <w:r>
              <w:rPr>
                <w:sz w:val="20"/>
              </w:rPr>
              <w:t>34,60***</w:t>
            </w:r>
          </w:p>
        </w:tc>
        <w:tc>
          <w:tcPr>
            <w:tcW w:w="1221" w:type="dxa"/>
            <w:tcBorders>
              <w:top w:val="single" w:sz="4" w:space="0" w:color="7E7E7E"/>
            </w:tcBorders>
            <w:shd w:val="clear" w:color="auto" w:fill="F1F1F1"/>
          </w:tcPr>
          <w:p>
            <w:pPr>
              <w:pStyle w:val="TableParagraph"/>
              <w:spacing w:line="210" w:lineRule="exact"/>
              <w:ind w:left="105"/>
              <w:rPr>
                <w:sz w:val="20"/>
              </w:rPr>
            </w:pPr>
            <w:r>
              <w:rPr>
                <w:sz w:val="20"/>
              </w:rPr>
              <w:t>,11</w:t>
            </w:r>
          </w:p>
        </w:tc>
        <w:tc>
          <w:tcPr>
            <w:tcW w:w="1418" w:type="dxa"/>
            <w:tcBorders>
              <w:top w:val="single" w:sz="4" w:space="0" w:color="7E7E7E"/>
            </w:tcBorders>
            <w:shd w:val="clear" w:color="auto" w:fill="F1F1F1"/>
          </w:tcPr>
          <w:p>
            <w:pPr>
              <w:pStyle w:val="TableParagraph"/>
              <w:spacing w:line="210" w:lineRule="exact"/>
              <w:ind w:left="159"/>
              <w:rPr>
                <w:sz w:val="20"/>
              </w:rPr>
            </w:pPr>
            <w:r>
              <w:rPr>
                <w:sz w:val="20"/>
              </w:rPr>
              <w:t>,24</w:t>
            </w:r>
          </w:p>
        </w:tc>
        <w:tc>
          <w:tcPr>
            <w:tcW w:w="1373" w:type="dxa"/>
            <w:tcBorders>
              <w:top w:val="single" w:sz="4" w:space="0" w:color="7E7E7E"/>
            </w:tcBorders>
            <w:shd w:val="clear" w:color="auto" w:fill="F1F1F1"/>
          </w:tcPr>
          <w:p>
            <w:pPr>
              <w:pStyle w:val="TableParagraph"/>
              <w:spacing w:line="210" w:lineRule="exact"/>
              <w:ind w:left="301"/>
              <w:rPr>
                <w:sz w:val="20"/>
              </w:rPr>
            </w:pPr>
            <w:r>
              <w:rPr>
                <w:sz w:val="20"/>
              </w:rPr>
              <w:t>1,14</w:t>
            </w:r>
          </w:p>
        </w:tc>
      </w:tr>
      <w:tr>
        <w:trPr>
          <w:trHeight w:val="230" w:hRule="atLeast"/>
        </w:trPr>
        <w:tc>
          <w:tcPr>
            <w:tcW w:w="1728" w:type="dxa"/>
          </w:tcPr>
          <w:p>
            <w:pPr>
              <w:pStyle w:val="TableParagraph"/>
              <w:spacing w:line="210" w:lineRule="exact"/>
              <w:ind w:left="122"/>
              <w:rPr>
                <w:sz w:val="20"/>
              </w:rPr>
            </w:pPr>
            <w:r>
              <w:rPr>
                <w:sz w:val="20"/>
              </w:rPr>
              <w:t>Mobilya-Koltuk</w:t>
            </w:r>
          </w:p>
        </w:tc>
        <w:tc>
          <w:tcPr>
            <w:tcW w:w="1549" w:type="dxa"/>
          </w:tcPr>
          <w:p>
            <w:pPr>
              <w:pStyle w:val="TableParagraph"/>
              <w:spacing w:line="210" w:lineRule="exact"/>
              <w:ind w:left="238"/>
              <w:rPr>
                <w:sz w:val="20"/>
              </w:rPr>
            </w:pPr>
            <w:r>
              <w:rPr>
                <w:sz w:val="20"/>
              </w:rPr>
              <w:t>8,76***</w:t>
            </w:r>
          </w:p>
        </w:tc>
        <w:tc>
          <w:tcPr>
            <w:tcW w:w="1418" w:type="dxa"/>
          </w:tcPr>
          <w:p>
            <w:pPr>
              <w:pStyle w:val="TableParagraph"/>
              <w:spacing w:line="210" w:lineRule="exact"/>
              <w:rPr>
                <w:sz w:val="20"/>
              </w:rPr>
            </w:pPr>
            <w:r>
              <w:rPr>
                <w:sz w:val="20"/>
              </w:rPr>
              <w:t>0,23</w:t>
            </w:r>
          </w:p>
        </w:tc>
        <w:tc>
          <w:tcPr>
            <w:tcW w:w="1221" w:type="dxa"/>
          </w:tcPr>
          <w:p>
            <w:pPr>
              <w:pStyle w:val="TableParagraph"/>
              <w:spacing w:line="210" w:lineRule="exact"/>
              <w:ind w:left="105"/>
              <w:rPr>
                <w:sz w:val="20"/>
              </w:rPr>
            </w:pPr>
            <w:r>
              <w:rPr>
                <w:sz w:val="20"/>
              </w:rPr>
              <w:t>19,77***</w:t>
            </w:r>
          </w:p>
        </w:tc>
        <w:tc>
          <w:tcPr>
            <w:tcW w:w="1418" w:type="dxa"/>
          </w:tcPr>
          <w:p>
            <w:pPr>
              <w:pStyle w:val="TableParagraph"/>
              <w:spacing w:line="210" w:lineRule="exact"/>
              <w:ind w:left="159"/>
              <w:rPr>
                <w:sz w:val="20"/>
              </w:rPr>
            </w:pPr>
            <w:r>
              <w:rPr>
                <w:sz w:val="20"/>
              </w:rPr>
              <w:t>8,29***</w:t>
            </w:r>
          </w:p>
        </w:tc>
        <w:tc>
          <w:tcPr>
            <w:tcW w:w="1373" w:type="dxa"/>
          </w:tcPr>
          <w:p>
            <w:pPr>
              <w:pStyle w:val="TableParagraph"/>
              <w:spacing w:line="210" w:lineRule="exact"/>
              <w:ind w:left="301"/>
              <w:rPr>
                <w:sz w:val="20"/>
              </w:rPr>
            </w:pPr>
            <w:r>
              <w:rPr>
                <w:sz w:val="20"/>
              </w:rPr>
              <w:t>18,74***</w:t>
            </w:r>
          </w:p>
        </w:tc>
      </w:tr>
      <w:tr>
        <w:trPr>
          <w:trHeight w:val="230" w:hRule="atLeast"/>
        </w:trPr>
        <w:tc>
          <w:tcPr>
            <w:tcW w:w="1728" w:type="dxa"/>
            <w:shd w:val="clear" w:color="auto" w:fill="F1F1F1"/>
          </w:tcPr>
          <w:p>
            <w:pPr>
              <w:pStyle w:val="TableParagraph"/>
              <w:spacing w:line="210" w:lineRule="exact"/>
              <w:ind w:left="122"/>
              <w:rPr>
                <w:sz w:val="20"/>
              </w:rPr>
            </w:pPr>
            <w:r>
              <w:rPr>
                <w:sz w:val="20"/>
              </w:rPr>
              <w:t>Mobilya-TV</w:t>
            </w:r>
          </w:p>
        </w:tc>
        <w:tc>
          <w:tcPr>
            <w:tcW w:w="1549" w:type="dxa"/>
            <w:shd w:val="clear" w:color="auto" w:fill="F1F1F1"/>
          </w:tcPr>
          <w:p>
            <w:pPr>
              <w:pStyle w:val="TableParagraph"/>
              <w:spacing w:line="210" w:lineRule="exact"/>
              <w:ind w:left="238"/>
              <w:rPr>
                <w:sz w:val="20"/>
              </w:rPr>
            </w:pPr>
            <w:r>
              <w:rPr>
                <w:sz w:val="20"/>
              </w:rPr>
              <w:t>,12</w:t>
            </w:r>
          </w:p>
        </w:tc>
        <w:tc>
          <w:tcPr>
            <w:tcW w:w="1418" w:type="dxa"/>
            <w:shd w:val="clear" w:color="auto" w:fill="F1F1F1"/>
          </w:tcPr>
          <w:p>
            <w:pPr>
              <w:pStyle w:val="TableParagraph"/>
              <w:spacing w:line="210" w:lineRule="exact"/>
              <w:rPr>
                <w:sz w:val="20"/>
              </w:rPr>
            </w:pPr>
            <w:r>
              <w:rPr>
                <w:sz w:val="20"/>
              </w:rPr>
              <w:t>22,84***</w:t>
            </w:r>
          </w:p>
        </w:tc>
        <w:tc>
          <w:tcPr>
            <w:tcW w:w="1221" w:type="dxa"/>
            <w:shd w:val="clear" w:color="auto" w:fill="F1F1F1"/>
          </w:tcPr>
          <w:p>
            <w:pPr>
              <w:pStyle w:val="TableParagraph"/>
              <w:spacing w:line="210" w:lineRule="exact"/>
              <w:ind w:left="105"/>
              <w:rPr>
                <w:sz w:val="20"/>
              </w:rPr>
            </w:pPr>
            <w:r>
              <w:rPr>
                <w:sz w:val="20"/>
              </w:rPr>
              <w:t>3,38**</w:t>
            </w:r>
          </w:p>
        </w:tc>
        <w:tc>
          <w:tcPr>
            <w:tcW w:w="1418" w:type="dxa"/>
            <w:shd w:val="clear" w:color="auto" w:fill="F1F1F1"/>
          </w:tcPr>
          <w:p>
            <w:pPr>
              <w:pStyle w:val="TableParagraph"/>
              <w:spacing w:line="210" w:lineRule="exact"/>
              <w:ind w:left="159"/>
              <w:rPr>
                <w:sz w:val="20"/>
              </w:rPr>
            </w:pPr>
            <w:r>
              <w:rPr>
                <w:sz w:val="20"/>
              </w:rPr>
              <w:t>,48</w:t>
            </w:r>
          </w:p>
        </w:tc>
        <w:tc>
          <w:tcPr>
            <w:tcW w:w="1373" w:type="dxa"/>
            <w:shd w:val="clear" w:color="auto" w:fill="F1F1F1"/>
          </w:tcPr>
          <w:p>
            <w:pPr>
              <w:pStyle w:val="TableParagraph"/>
              <w:spacing w:line="210" w:lineRule="exact"/>
              <w:ind w:left="301"/>
              <w:rPr>
                <w:sz w:val="20"/>
              </w:rPr>
            </w:pPr>
            <w:r>
              <w:rPr>
                <w:sz w:val="20"/>
              </w:rPr>
              <w:t>15,76***</w:t>
            </w:r>
          </w:p>
        </w:tc>
      </w:tr>
      <w:tr>
        <w:trPr>
          <w:trHeight w:val="230" w:hRule="atLeast"/>
        </w:trPr>
        <w:tc>
          <w:tcPr>
            <w:tcW w:w="1728" w:type="dxa"/>
          </w:tcPr>
          <w:p>
            <w:pPr>
              <w:pStyle w:val="TableParagraph"/>
              <w:spacing w:line="210" w:lineRule="exact"/>
              <w:ind w:left="122"/>
              <w:rPr>
                <w:sz w:val="20"/>
              </w:rPr>
            </w:pPr>
            <w:r>
              <w:rPr>
                <w:sz w:val="20"/>
              </w:rPr>
              <w:t>Koltuk-Dizüstü</w:t>
            </w:r>
          </w:p>
        </w:tc>
        <w:tc>
          <w:tcPr>
            <w:tcW w:w="1549" w:type="dxa"/>
          </w:tcPr>
          <w:p>
            <w:pPr>
              <w:pStyle w:val="TableParagraph"/>
              <w:spacing w:line="210" w:lineRule="exact"/>
              <w:ind w:left="238"/>
              <w:rPr>
                <w:sz w:val="20"/>
              </w:rPr>
            </w:pPr>
            <w:r>
              <w:rPr>
                <w:sz w:val="20"/>
              </w:rPr>
              <w:t>2,71*</w:t>
            </w:r>
          </w:p>
        </w:tc>
        <w:tc>
          <w:tcPr>
            <w:tcW w:w="1418" w:type="dxa"/>
          </w:tcPr>
          <w:p>
            <w:pPr>
              <w:pStyle w:val="TableParagraph"/>
              <w:spacing w:line="210" w:lineRule="exact"/>
              <w:rPr>
                <w:sz w:val="20"/>
              </w:rPr>
            </w:pPr>
            <w:r>
              <w:rPr>
                <w:sz w:val="20"/>
              </w:rPr>
              <w:t>31,44***</w:t>
            </w:r>
          </w:p>
        </w:tc>
        <w:tc>
          <w:tcPr>
            <w:tcW w:w="1221" w:type="dxa"/>
          </w:tcPr>
          <w:p>
            <w:pPr>
              <w:pStyle w:val="TableParagraph"/>
              <w:spacing w:line="210" w:lineRule="exact"/>
              <w:ind w:left="105"/>
              <w:rPr>
                <w:sz w:val="20"/>
              </w:rPr>
            </w:pPr>
            <w:r>
              <w:rPr>
                <w:sz w:val="20"/>
              </w:rPr>
              <w:t>15,99***</w:t>
            </w:r>
          </w:p>
        </w:tc>
        <w:tc>
          <w:tcPr>
            <w:tcW w:w="1418" w:type="dxa"/>
          </w:tcPr>
          <w:p>
            <w:pPr>
              <w:pStyle w:val="TableParagraph"/>
              <w:spacing w:line="210" w:lineRule="exact"/>
              <w:ind w:left="159"/>
              <w:rPr>
                <w:sz w:val="20"/>
              </w:rPr>
            </w:pPr>
            <w:r>
              <w:rPr>
                <w:sz w:val="20"/>
              </w:rPr>
              <w:t>5,68**</w:t>
            </w:r>
          </w:p>
        </w:tc>
        <w:tc>
          <w:tcPr>
            <w:tcW w:w="1373" w:type="dxa"/>
          </w:tcPr>
          <w:p>
            <w:pPr>
              <w:pStyle w:val="TableParagraph"/>
              <w:spacing w:line="210" w:lineRule="exact"/>
              <w:ind w:left="301"/>
              <w:rPr>
                <w:sz w:val="20"/>
              </w:rPr>
            </w:pPr>
            <w:r>
              <w:rPr>
                <w:sz w:val="20"/>
              </w:rPr>
              <w:t>3,34*</w:t>
            </w:r>
          </w:p>
        </w:tc>
      </w:tr>
      <w:tr>
        <w:trPr>
          <w:trHeight w:val="228" w:hRule="atLeast"/>
        </w:trPr>
        <w:tc>
          <w:tcPr>
            <w:tcW w:w="1728" w:type="dxa"/>
            <w:shd w:val="clear" w:color="auto" w:fill="F1F1F1"/>
          </w:tcPr>
          <w:p>
            <w:pPr>
              <w:pStyle w:val="TableParagraph"/>
              <w:spacing w:line="208" w:lineRule="exact"/>
              <w:ind w:left="122"/>
              <w:rPr>
                <w:sz w:val="20"/>
              </w:rPr>
            </w:pPr>
            <w:r>
              <w:rPr>
                <w:sz w:val="20"/>
              </w:rPr>
              <w:t>Koltuk-TV</w:t>
            </w:r>
          </w:p>
        </w:tc>
        <w:tc>
          <w:tcPr>
            <w:tcW w:w="1549" w:type="dxa"/>
            <w:shd w:val="clear" w:color="auto" w:fill="F1F1F1"/>
          </w:tcPr>
          <w:p>
            <w:pPr>
              <w:pStyle w:val="TableParagraph"/>
              <w:spacing w:line="208" w:lineRule="exact"/>
              <w:ind w:left="238"/>
              <w:rPr>
                <w:sz w:val="20"/>
              </w:rPr>
            </w:pPr>
            <w:r>
              <w:rPr>
                <w:sz w:val="20"/>
              </w:rPr>
              <w:t>3.41*</w:t>
            </w:r>
          </w:p>
        </w:tc>
        <w:tc>
          <w:tcPr>
            <w:tcW w:w="1418" w:type="dxa"/>
            <w:shd w:val="clear" w:color="auto" w:fill="F1F1F1"/>
          </w:tcPr>
          <w:p>
            <w:pPr>
              <w:pStyle w:val="TableParagraph"/>
              <w:spacing w:line="208" w:lineRule="exact"/>
              <w:rPr>
                <w:sz w:val="20"/>
              </w:rPr>
            </w:pPr>
            <w:r>
              <w:rPr>
                <w:sz w:val="20"/>
              </w:rPr>
              <w:t>21,46***</w:t>
            </w:r>
          </w:p>
        </w:tc>
        <w:tc>
          <w:tcPr>
            <w:tcW w:w="1221" w:type="dxa"/>
            <w:shd w:val="clear" w:color="auto" w:fill="F1F1F1"/>
          </w:tcPr>
          <w:p>
            <w:pPr>
              <w:pStyle w:val="TableParagraph"/>
              <w:spacing w:line="208" w:lineRule="exact"/>
              <w:ind w:left="105"/>
              <w:rPr>
                <w:sz w:val="20"/>
              </w:rPr>
            </w:pPr>
            <w:r>
              <w:rPr>
                <w:sz w:val="20"/>
              </w:rPr>
              <w:t>,93</w:t>
            </w:r>
          </w:p>
        </w:tc>
        <w:tc>
          <w:tcPr>
            <w:tcW w:w="1418" w:type="dxa"/>
            <w:shd w:val="clear" w:color="auto" w:fill="F1F1F1"/>
          </w:tcPr>
          <w:p>
            <w:pPr>
              <w:pStyle w:val="TableParagraph"/>
              <w:spacing w:line="208" w:lineRule="exact"/>
              <w:ind w:left="159"/>
              <w:rPr>
                <w:sz w:val="20"/>
              </w:rPr>
            </w:pPr>
            <w:r>
              <w:rPr>
                <w:sz w:val="20"/>
              </w:rPr>
              <w:t>3.77*</w:t>
            </w:r>
          </w:p>
        </w:tc>
        <w:tc>
          <w:tcPr>
            <w:tcW w:w="1373" w:type="dxa"/>
            <w:shd w:val="clear" w:color="auto" w:fill="F1F1F1"/>
          </w:tcPr>
          <w:p>
            <w:pPr>
              <w:pStyle w:val="TableParagraph"/>
              <w:spacing w:line="208" w:lineRule="exact"/>
              <w:ind w:left="301"/>
              <w:rPr>
                <w:sz w:val="20"/>
              </w:rPr>
            </w:pPr>
            <w:r>
              <w:rPr>
                <w:sz w:val="20"/>
              </w:rPr>
              <w:t>4,51**</w:t>
            </w:r>
          </w:p>
        </w:tc>
      </w:tr>
      <w:tr>
        <w:trPr>
          <w:trHeight w:val="230" w:hRule="atLeast"/>
        </w:trPr>
        <w:tc>
          <w:tcPr>
            <w:tcW w:w="1728" w:type="dxa"/>
            <w:tcBorders>
              <w:bottom w:val="single" w:sz="4" w:space="0" w:color="7E7E7E"/>
            </w:tcBorders>
          </w:tcPr>
          <w:p>
            <w:pPr>
              <w:pStyle w:val="TableParagraph"/>
              <w:spacing w:line="210" w:lineRule="exact"/>
              <w:ind w:left="122"/>
              <w:rPr>
                <w:sz w:val="20"/>
              </w:rPr>
            </w:pPr>
            <w:r>
              <w:rPr>
                <w:sz w:val="20"/>
              </w:rPr>
              <w:t>TV-Dizüstü</w:t>
            </w:r>
          </w:p>
        </w:tc>
        <w:tc>
          <w:tcPr>
            <w:tcW w:w="1549" w:type="dxa"/>
            <w:tcBorders>
              <w:bottom w:val="single" w:sz="4" w:space="0" w:color="7E7E7E"/>
            </w:tcBorders>
          </w:tcPr>
          <w:p>
            <w:pPr>
              <w:pStyle w:val="TableParagraph"/>
              <w:spacing w:line="210" w:lineRule="exact"/>
              <w:ind w:left="238"/>
              <w:rPr>
                <w:sz w:val="20"/>
              </w:rPr>
            </w:pPr>
            <w:r>
              <w:rPr>
                <w:sz w:val="20"/>
              </w:rPr>
              <w:t>,01</w:t>
            </w:r>
          </w:p>
        </w:tc>
        <w:tc>
          <w:tcPr>
            <w:tcW w:w="1418" w:type="dxa"/>
            <w:tcBorders>
              <w:bottom w:val="single" w:sz="4" w:space="0" w:color="7E7E7E"/>
            </w:tcBorders>
          </w:tcPr>
          <w:p>
            <w:pPr>
              <w:pStyle w:val="TableParagraph"/>
              <w:spacing w:line="210" w:lineRule="exact"/>
              <w:rPr>
                <w:sz w:val="20"/>
              </w:rPr>
            </w:pPr>
            <w:r>
              <w:rPr>
                <w:sz w:val="20"/>
              </w:rPr>
              <w:t>3,67**</w:t>
            </w:r>
          </w:p>
        </w:tc>
        <w:tc>
          <w:tcPr>
            <w:tcW w:w="1221" w:type="dxa"/>
            <w:tcBorders>
              <w:bottom w:val="single" w:sz="4" w:space="0" w:color="7E7E7E"/>
            </w:tcBorders>
          </w:tcPr>
          <w:p>
            <w:pPr>
              <w:pStyle w:val="TableParagraph"/>
              <w:spacing w:line="210" w:lineRule="exact"/>
              <w:ind w:left="105"/>
              <w:rPr>
                <w:sz w:val="20"/>
              </w:rPr>
            </w:pPr>
            <w:r>
              <w:rPr>
                <w:sz w:val="20"/>
              </w:rPr>
              <w:t>3,47**</w:t>
            </w:r>
          </w:p>
        </w:tc>
        <w:tc>
          <w:tcPr>
            <w:tcW w:w="1418" w:type="dxa"/>
            <w:tcBorders>
              <w:bottom w:val="single" w:sz="4" w:space="0" w:color="7E7E7E"/>
            </w:tcBorders>
          </w:tcPr>
          <w:p>
            <w:pPr>
              <w:pStyle w:val="TableParagraph"/>
              <w:spacing w:line="210" w:lineRule="exact"/>
              <w:ind w:left="159"/>
              <w:rPr>
                <w:sz w:val="20"/>
              </w:rPr>
            </w:pPr>
            <w:r>
              <w:rPr>
                <w:sz w:val="20"/>
              </w:rPr>
              <w:t>,11</w:t>
            </w:r>
          </w:p>
        </w:tc>
        <w:tc>
          <w:tcPr>
            <w:tcW w:w="1373" w:type="dxa"/>
            <w:tcBorders>
              <w:bottom w:val="single" w:sz="4" w:space="0" w:color="7E7E7E"/>
            </w:tcBorders>
          </w:tcPr>
          <w:p>
            <w:pPr>
              <w:pStyle w:val="TableParagraph"/>
              <w:spacing w:line="210" w:lineRule="exact"/>
              <w:ind w:left="301"/>
              <w:rPr>
                <w:sz w:val="20"/>
              </w:rPr>
            </w:pPr>
            <w:r>
              <w:rPr>
                <w:sz w:val="20"/>
              </w:rPr>
              <w:t>7,43***</w:t>
            </w:r>
          </w:p>
        </w:tc>
      </w:tr>
      <w:tr>
        <w:trPr>
          <w:trHeight w:val="921" w:hRule="atLeast"/>
        </w:trPr>
        <w:tc>
          <w:tcPr>
            <w:tcW w:w="3277" w:type="dxa"/>
            <w:gridSpan w:val="2"/>
            <w:tcBorders>
              <w:top w:val="single" w:sz="4" w:space="0" w:color="7E7E7E"/>
              <w:bottom w:val="single" w:sz="4" w:space="0" w:color="7E7E7E"/>
            </w:tcBorders>
          </w:tcPr>
          <w:p>
            <w:pPr>
              <w:pStyle w:val="TableParagraph"/>
              <w:spacing w:before="1"/>
              <w:ind w:left="122"/>
              <w:rPr>
                <w:sz w:val="20"/>
              </w:rPr>
            </w:pPr>
            <w:r>
              <w:rPr>
                <w:sz w:val="20"/>
              </w:rPr>
              <w:t>*** p&lt; ,01</w:t>
            </w:r>
          </w:p>
          <w:p>
            <w:pPr>
              <w:pStyle w:val="TableParagraph"/>
              <w:ind w:left="122"/>
              <w:rPr>
                <w:sz w:val="20"/>
              </w:rPr>
            </w:pPr>
            <w:r>
              <w:rPr>
                <w:sz w:val="20"/>
              </w:rPr>
              <w:t>**p&lt;,05</w:t>
            </w:r>
          </w:p>
          <w:p>
            <w:pPr>
              <w:pStyle w:val="TableParagraph"/>
              <w:ind w:left="122"/>
              <w:rPr>
                <w:sz w:val="20"/>
              </w:rPr>
            </w:pPr>
            <w:r>
              <w:rPr>
                <w:sz w:val="20"/>
              </w:rPr>
              <w:t>*p&lt;,10</w:t>
            </w:r>
          </w:p>
          <w:p>
            <w:pPr>
              <w:pStyle w:val="TableParagraph"/>
              <w:spacing w:line="210" w:lineRule="exact" w:before="1"/>
              <w:ind w:left="122"/>
              <w:rPr>
                <w:sz w:val="20"/>
              </w:rPr>
            </w:pPr>
            <w:r>
              <w:rPr>
                <w:sz w:val="20"/>
              </w:rPr>
              <w:t>Not: Wald χ</w:t>
            </w:r>
            <w:r>
              <w:rPr>
                <w:sz w:val="20"/>
                <w:vertAlign w:val="superscript"/>
              </w:rPr>
              <w:t>2</w:t>
            </w:r>
            <w:r>
              <w:rPr>
                <w:sz w:val="20"/>
                <w:vertAlign w:val="baseline"/>
              </w:rPr>
              <w:t> testi kullanılmıştır.</w:t>
            </w:r>
          </w:p>
        </w:tc>
        <w:tc>
          <w:tcPr>
            <w:tcW w:w="1418" w:type="dxa"/>
            <w:tcBorders>
              <w:top w:val="single" w:sz="4" w:space="0" w:color="7E7E7E"/>
              <w:bottom w:val="single" w:sz="4" w:space="0" w:color="7E7E7E"/>
            </w:tcBorders>
          </w:tcPr>
          <w:p>
            <w:pPr>
              <w:pStyle w:val="TableParagraph"/>
              <w:ind w:left="0"/>
              <w:rPr>
                <w:sz w:val="22"/>
              </w:rPr>
            </w:pPr>
          </w:p>
        </w:tc>
        <w:tc>
          <w:tcPr>
            <w:tcW w:w="1221" w:type="dxa"/>
            <w:tcBorders>
              <w:top w:val="single" w:sz="4" w:space="0" w:color="7E7E7E"/>
              <w:bottom w:val="single" w:sz="4" w:space="0" w:color="7E7E7E"/>
            </w:tcBorders>
          </w:tcPr>
          <w:p>
            <w:pPr>
              <w:pStyle w:val="TableParagraph"/>
              <w:ind w:left="0"/>
              <w:rPr>
                <w:sz w:val="22"/>
              </w:rPr>
            </w:pPr>
          </w:p>
        </w:tc>
        <w:tc>
          <w:tcPr>
            <w:tcW w:w="1418" w:type="dxa"/>
            <w:tcBorders>
              <w:top w:val="single" w:sz="4" w:space="0" w:color="7E7E7E"/>
              <w:bottom w:val="single" w:sz="4" w:space="0" w:color="7E7E7E"/>
            </w:tcBorders>
          </w:tcPr>
          <w:p>
            <w:pPr>
              <w:pStyle w:val="TableParagraph"/>
              <w:ind w:left="0"/>
              <w:rPr>
                <w:sz w:val="22"/>
              </w:rPr>
            </w:pPr>
          </w:p>
        </w:tc>
        <w:tc>
          <w:tcPr>
            <w:tcW w:w="1373" w:type="dxa"/>
            <w:tcBorders>
              <w:top w:val="single" w:sz="4" w:space="0" w:color="7E7E7E"/>
              <w:bottom w:val="single" w:sz="4" w:space="0" w:color="7E7E7E"/>
            </w:tcBorders>
          </w:tcPr>
          <w:p>
            <w:pPr>
              <w:pStyle w:val="TableParagraph"/>
              <w:ind w:left="0"/>
              <w:rPr>
                <w:sz w:val="22"/>
              </w:rPr>
            </w:pPr>
          </w:p>
        </w:tc>
      </w:tr>
    </w:tbl>
    <w:p>
      <w:pPr>
        <w:pStyle w:val="BodyText"/>
        <w:spacing w:before="9"/>
        <w:ind w:left="0"/>
        <w:jc w:val="left"/>
        <w:rPr>
          <w:sz w:val="35"/>
        </w:rPr>
      </w:pPr>
    </w:p>
    <w:p>
      <w:pPr>
        <w:pStyle w:val="BodyText"/>
        <w:spacing w:line="360" w:lineRule="auto"/>
        <w:ind w:right="310" w:firstLine="708"/>
      </w:pPr>
      <w:r>
        <w:rPr/>
        <w:t>Tablo 12’deki sonuçlara göre, toplam yorum sayısı ile satışlar arasındaki ilişki anlamında koltuk kategorisinin diğer kategorilerden anlamlı şekilde farklılaşmaktadır. Ancak, diğer üç kategori arasında toplam yorum sayısı ile satışlar arasındaki ilişki</w:t>
      </w:r>
      <w:r>
        <w:rPr>
          <w:spacing w:val="-32"/>
        </w:rPr>
        <w:t> </w:t>
      </w:r>
      <w:r>
        <w:rPr/>
        <w:t>açısından </w:t>
      </w:r>
      <w:r>
        <w:rPr>
          <w:position w:val="2"/>
        </w:rPr>
        <w:t>anlamlı farklılıklar tespit edilememiştir. Bu sonuçlar ile H</w:t>
      </w:r>
      <w:r>
        <w:rPr>
          <w:sz w:val="16"/>
        </w:rPr>
        <w:t>2b</w:t>
      </w:r>
      <w:r>
        <w:rPr>
          <w:position w:val="2"/>
        </w:rPr>
        <w:t>, H</w:t>
      </w:r>
      <w:r>
        <w:rPr>
          <w:sz w:val="16"/>
        </w:rPr>
        <w:t>2d </w:t>
      </w:r>
      <w:r>
        <w:rPr>
          <w:position w:val="2"/>
        </w:rPr>
        <w:t>ve H</w:t>
      </w:r>
      <w:r>
        <w:rPr>
          <w:sz w:val="16"/>
        </w:rPr>
        <w:t>2e </w:t>
      </w:r>
      <w:r>
        <w:rPr>
          <w:position w:val="2"/>
        </w:rPr>
        <w:t>hipotezleri desteklenmiş, H</w:t>
      </w:r>
      <w:r>
        <w:rPr>
          <w:sz w:val="16"/>
        </w:rPr>
        <w:t>2a</w:t>
      </w:r>
      <w:r>
        <w:rPr>
          <w:position w:val="2"/>
        </w:rPr>
        <w:t>, H</w:t>
      </w:r>
      <w:r>
        <w:rPr>
          <w:sz w:val="16"/>
        </w:rPr>
        <w:t>2c </w:t>
      </w:r>
      <w:r>
        <w:rPr>
          <w:position w:val="2"/>
        </w:rPr>
        <w:t>ve H</w:t>
      </w:r>
      <w:r>
        <w:rPr>
          <w:sz w:val="16"/>
        </w:rPr>
        <w:t>2f </w:t>
      </w:r>
      <w:r>
        <w:rPr>
          <w:position w:val="2"/>
        </w:rPr>
        <w:t>hipotezleri</w:t>
      </w:r>
      <w:r>
        <w:rPr>
          <w:spacing w:val="-23"/>
          <w:position w:val="2"/>
        </w:rPr>
        <w:t> </w:t>
      </w:r>
      <w:r>
        <w:rPr>
          <w:position w:val="2"/>
        </w:rPr>
        <w:t>reddedilmiştir.</w:t>
      </w:r>
    </w:p>
    <w:p>
      <w:pPr>
        <w:pStyle w:val="BodyText"/>
        <w:spacing w:line="360" w:lineRule="auto"/>
        <w:ind w:right="309" w:firstLine="708"/>
      </w:pPr>
      <w:r>
        <w:rPr/>
        <w:t>Ortalama</w:t>
      </w:r>
      <w:r>
        <w:rPr>
          <w:spacing w:val="-10"/>
        </w:rPr>
        <w:t> </w:t>
      </w:r>
      <w:r>
        <w:rPr/>
        <w:t>yorum</w:t>
      </w:r>
      <w:r>
        <w:rPr>
          <w:spacing w:val="-10"/>
        </w:rPr>
        <w:t> </w:t>
      </w:r>
      <w:r>
        <w:rPr/>
        <w:t>puanı</w:t>
      </w:r>
      <w:r>
        <w:rPr>
          <w:spacing w:val="-9"/>
        </w:rPr>
        <w:t> </w:t>
      </w:r>
      <w:r>
        <w:rPr/>
        <w:t>ile</w:t>
      </w:r>
      <w:r>
        <w:rPr>
          <w:spacing w:val="-7"/>
        </w:rPr>
        <w:t> </w:t>
      </w:r>
      <w:r>
        <w:rPr/>
        <w:t>satışlar</w:t>
      </w:r>
      <w:r>
        <w:rPr>
          <w:spacing w:val="-11"/>
        </w:rPr>
        <w:t> </w:t>
      </w:r>
      <w:r>
        <w:rPr/>
        <w:t>arasındaki</w:t>
      </w:r>
      <w:r>
        <w:rPr>
          <w:spacing w:val="-10"/>
        </w:rPr>
        <w:t> </w:t>
      </w:r>
      <w:r>
        <w:rPr/>
        <w:t>ilişki</w:t>
      </w:r>
      <w:r>
        <w:rPr>
          <w:spacing w:val="-9"/>
        </w:rPr>
        <w:t> </w:t>
      </w:r>
      <w:r>
        <w:rPr/>
        <w:t>bağlamında</w:t>
      </w:r>
      <w:r>
        <w:rPr>
          <w:spacing w:val="-9"/>
        </w:rPr>
        <w:t> </w:t>
      </w:r>
      <w:r>
        <w:rPr/>
        <w:t>ise,</w:t>
      </w:r>
      <w:r>
        <w:rPr>
          <w:spacing w:val="-10"/>
        </w:rPr>
        <w:t> </w:t>
      </w:r>
      <w:r>
        <w:rPr/>
        <w:t>sadece</w:t>
      </w:r>
      <w:r>
        <w:rPr>
          <w:spacing w:val="-11"/>
        </w:rPr>
        <w:t> </w:t>
      </w:r>
      <w:r>
        <w:rPr/>
        <w:t>mobilya</w:t>
      </w:r>
      <w:r>
        <w:rPr>
          <w:spacing w:val="-10"/>
        </w:rPr>
        <w:t> </w:t>
      </w:r>
      <w:r>
        <w:rPr/>
        <w:t>ile koltuk kategorileri arasında anlamlı bir farklılık tespit edilememiş olup, diğer tüm ikili karşılaştırmalarda ortalama yorum puanı ile satışlar arasındaki ilişkinin farklı olduğu </w:t>
      </w:r>
      <w:r>
        <w:rPr>
          <w:position w:val="2"/>
        </w:rPr>
        <w:t>bulunmuştur. Bu sonuçlar ile, H</w:t>
      </w:r>
      <w:r>
        <w:rPr>
          <w:sz w:val="16"/>
        </w:rPr>
        <w:t>7a</w:t>
      </w:r>
      <w:r>
        <w:rPr>
          <w:position w:val="2"/>
        </w:rPr>
        <w:t>, H</w:t>
      </w:r>
      <w:r>
        <w:rPr>
          <w:sz w:val="16"/>
        </w:rPr>
        <w:t>7c</w:t>
      </w:r>
      <w:r>
        <w:rPr>
          <w:position w:val="2"/>
        </w:rPr>
        <w:t>, H</w:t>
      </w:r>
      <w:r>
        <w:rPr>
          <w:sz w:val="16"/>
        </w:rPr>
        <w:t>7d</w:t>
      </w:r>
      <w:r>
        <w:rPr>
          <w:position w:val="2"/>
        </w:rPr>
        <w:t>, H</w:t>
      </w:r>
      <w:r>
        <w:rPr>
          <w:sz w:val="16"/>
        </w:rPr>
        <w:t>7e </w:t>
      </w:r>
      <w:r>
        <w:rPr>
          <w:position w:val="2"/>
        </w:rPr>
        <w:t>ve H</w:t>
      </w:r>
      <w:r>
        <w:rPr>
          <w:sz w:val="16"/>
        </w:rPr>
        <w:t>7f </w:t>
      </w:r>
      <w:r>
        <w:rPr>
          <w:position w:val="2"/>
        </w:rPr>
        <w:t>hipotezleri desteklenmiş,</w:t>
      </w:r>
      <w:r>
        <w:rPr>
          <w:spacing w:val="-39"/>
          <w:position w:val="2"/>
        </w:rPr>
        <w:t> </w:t>
      </w:r>
      <w:r>
        <w:rPr>
          <w:position w:val="2"/>
        </w:rPr>
        <w:t>H</w:t>
      </w:r>
      <w:r>
        <w:rPr>
          <w:sz w:val="16"/>
        </w:rPr>
        <w:t>7b </w:t>
      </w:r>
      <w:r>
        <w:rPr>
          <w:position w:val="2"/>
        </w:rPr>
        <w:t>hipotezi </w:t>
      </w:r>
      <w:r>
        <w:rPr/>
        <w:t>reddedilmiştir.</w:t>
      </w:r>
    </w:p>
    <w:p>
      <w:pPr>
        <w:pStyle w:val="BodyText"/>
        <w:spacing w:line="360" w:lineRule="auto"/>
        <w:ind w:right="308" w:firstLine="708"/>
      </w:pPr>
      <w:r>
        <w:rPr/>
        <w:t>Olumlu</w:t>
      </w:r>
      <w:r>
        <w:rPr>
          <w:spacing w:val="-13"/>
        </w:rPr>
        <w:t> </w:t>
      </w:r>
      <w:r>
        <w:rPr/>
        <w:t>yorumlar</w:t>
      </w:r>
      <w:r>
        <w:rPr>
          <w:spacing w:val="-14"/>
        </w:rPr>
        <w:t> </w:t>
      </w:r>
      <w:r>
        <w:rPr/>
        <w:t>ile</w:t>
      </w:r>
      <w:r>
        <w:rPr>
          <w:spacing w:val="-14"/>
        </w:rPr>
        <w:t> </w:t>
      </w:r>
      <w:r>
        <w:rPr/>
        <w:t>satışlar</w:t>
      </w:r>
      <w:r>
        <w:rPr>
          <w:spacing w:val="-13"/>
        </w:rPr>
        <w:t> </w:t>
      </w:r>
      <w:r>
        <w:rPr/>
        <w:t>arasındaki</w:t>
      </w:r>
      <w:r>
        <w:rPr>
          <w:spacing w:val="-13"/>
        </w:rPr>
        <w:t> </w:t>
      </w:r>
      <w:r>
        <w:rPr/>
        <w:t>ilişki</w:t>
      </w:r>
      <w:r>
        <w:rPr>
          <w:spacing w:val="-11"/>
        </w:rPr>
        <w:t> </w:t>
      </w:r>
      <w:r>
        <w:rPr/>
        <w:t>açısından,</w:t>
      </w:r>
      <w:r>
        <w:rPr>
          <w:spacing w:val="-10"/>
        </w:rPr>
        <w:t> </w:t>
      </w:r>
      <w:r>
        <w:rPr/>
        <w:t>mobilya</w:t>
      </w:r>
      <w:r>
        <w:rPr>
          <w:spacing w:val="-12"/>
        </w:rPr>
        <w:t> </w:t>
      </w:r>
      <w:r>
        <w:rPr/>
        <w:t>ile</w:t>
      </w:r>
      <w:r>
        <w:rPr>
          <w:spacing w:val="-13"/>
        </w:rPr>
        <w:t> </w:t>
      </w:r>
      <w:r>
        <w:rPr/>
        <w:t>dizüstü</w:t>
      </w:r>
      <w:r>
        <w:rPr>
          <w:spacing w:val="-13"/>
        </w:rPr>
        <w:t> </w:t>
      </w:r>
      <w:r>
        <w:rPr/>
        <w:t>kategorisi ve televizyon kategorisi ile koltuk kategorisi arasında anlamlı farklılık tespit edilememiştir. </w:t>
      </w:r>
      <w:r>
        <w:rPr>
          <w:position w:val="2"/>
        </w:rPr>
        <w:t>Diğer ikili karşılaştırmalarda anlamlı farklılık bulunmuştur. Bu sonuçlar ile, H</w:t>
      </w:r>
      <w:r>
        <w:rPr>
          <w:sz w:val="16"/>
        </w:rPr>
        <w:t>8b, </w:t>
      </w:r>
      <w:r>
        <w:rPr>
          <w:position w:val="2"/>
        </w:rPr>
        <w:t>H</w:t>
      </w:r>
      <w:r>
        <w:rPr>
          <w:sz w:val="16"/>
        </w:rPr>
        <w:t>8c</w:t>
      </w:r>
      <w:r>
        <w:rPr>
          <w:position w:val="2"/>
        </w:rPr>
        <w:t>, H</w:t>
      </w:r>
      <w:r>
        <w:rPr>
          <w:sz w:val="16"/>
        </w:rPr>
        <w:t>8d </w:t>
      </w:r>
      <w:r>
        <w:rPr>
          <w:spacing w:val="-3"/>
          <w:position w:val="2"/>
        </w:rPr>
        <w:t>ve </w:t>
      </w:r>
      <w:r>
        <w:rPr>
          <w:position w:val="2"/>
        </w:rPr>
        <w:t>H</w:t>
      </w:r>
      <w:r>
        <w:rPr>
          <w:sz w:val="16"/>
        </w:rPr>
        <w:t>8f </w:t>
      </w:r>
      <w:r>
        <w:rPr>
          <w:position w:val="2"/>
        </w:rPr>
        <w:t>hipotezleri desteklenmiş, H</w:t>
      </w:r>
      <w:r>
        <w:rPr>
          <w:sz w:val="16"/>
        </w:rPr>
        <w:t>8a </w:t>
      </w:r>
      <w:r>
        <w:rPr>
          <w:position w:val="2"/>
        </w:rPr>
        <w:t>ve H</w:t>
      </w:r>
      <w:r>
        <w:rPr>
          <w:sz w:val="16"/>
        </w:rPr>
        <w:t>8e</w:t>
      </w:r>
      <w:r>
        <w:rPr>
          <w:spacing w:val="-23"/>
          <w:sz w:val="16"/>
        </w:rPr>
        <w:t> </w:t>
      </w:r>
      <w:r>
        <w:rPr>
          <w:position w:val="2"/>
        </w:rPr>
        <w:t>reddedilmiştir.</w:t>
      </w:r>
    </w:p>
    <w:p>
      <w:pPr>
        <w:pStyle w:val="BodyText"/>
        <w:spacing w:line="360" w:lineRule="auto"/>
        <w:ind w:right="309" w:firstLine="708"/>
      </w:pPr>
      <w:r>
        <w:rPr/>
        <w:t>Olumsuz yorumlar ile satışlar arasındaki ilişki de ise, koltuk kategorisi ile diğer katgoriler arasında anlamlı farklılık bulunmuştur. Olumsuz yorumlar ile satışlar arasındaki ilişki bağlamında, diğer kategoriler arasında anlamlı bir farklılık tespit edilememiştir. Bu </w:t>
      </w:r>
      <w:r>
        <w:rPr>
          <w:position w:val="2"/>
        </w:rPr>
        <w:t>sonuçlar ile, H</w:t>
      </w:r>
      <w:r>
        <w:rPr>
          <w:sz w:val="16"/>
        </w:rPr>
        <w:t>9b</w:t>
      </w:r>
      <w:r>
        <w:rPr>
          <w:position w:val="2"/>
        </w:rPr>
        <w:t>, H</w:t>
      </w:r>
      <w:r>
        <w:rPr>
          <w:sz w:val="16"/>
        </w:rPr>
        <w:t>9d </w:t>
      </w:r>
      <w:r>
        <w:rPr>
          <w:position w:val="2"/>
        </w:rPr>
        <w:t>ve H</w:t>
      </w:r>
      <w:r>
        <w:rPr>
          <w:sz w:val="16"/>
        </w:rPr>
        <w:t>9e </w:t>
      </w:r>
      <w:r>
        <w:rPr>
          <w:position w:val="2"/>
        </w:rPr>
        <w:t>desteklenmiş, H</w:t>
      </w:r>
      <w:r>
        <w:rPr>
          <w:sz w:val="16"/>
        </w:rPr>
        <w:t>9a</w:t>
      </w:r>
      <w:r>
        <w:rPr>
          <w:position w:val="2"/>
        </w:rPr>
        <w:t>, H</w:t>
      </w:r>
      <w:r>
        <w:rPr>
          <w:sz w:val="16"/>
        </w:rPr>
        <w:t>9c </w:t>
      </w:r>
      <w:r>
        <w:rPr>
          <w:position w:val="2"/>
        </w:rPr>
        <w:t>ve H</w:t>
      </w:r>
      <w:r>
        <w:rPr>
          <w:sz w:val="16"/>
        </w:rPr>
        <w:t>9f </w:t>
      </w:r>
      <w:r>
        <w:rPr>
          <w:position w:val="2"/>
        </w:rPr>
        <w:t>hipotezleri reddedilmiştir.</w:t>
      </w:r>
    </w:p>
    <w:p>
      <w:pPr>
        <w:spacing w:after="0" w:line="360" w:lineRule="auto"/>
        <w:sectPr>
          <w:pgSz w:w="12240" w:h="15840"/>
          <w:pgMar w:header="718" w:footer="0" w:top="1300" w:bottom="280" w:left="1720" w:right="820"/>
        </w:sectPr>
      </w:pPr>
    </w:p>
    <w:p>
      <w:pPr>
        <w:pStyle w:val="BodyText"/>
        <w:spacing w:line="360" w:lineRule="auto" w:before="100"/>
        <w:ind w:right="309" w:firstLine="708"/>
      </w:pPr>
      <w:r>
        <w:rPr/>
        <w:t>Son</w:t>
      </w:r>
      <w:r>
        <w:rPr>
          <w:spacing w:val="-7"/>
        </w:rPr>
        <w:t> </w:t>
      </w:r>
      <w:r>
        <w:rPr/>
        <w:t>olarak,</w:t>
      </w:r>
      <w:r>
        <w:rPr>
          <w:spacing w:val="-6"/>
        </w:rPr>
        <w:t> </w:t>
      </w:r>
      <w:r>
        <w:rPr/>
        <w:t>nötr</w:t>
      </w:r>
      <w:r>
        <w:rPr>
          <w:spacing w:val="-7"/>
        </w:rPr>
        <w:t> </w:t>
      </w:r>
      <w:r>
        <w:rPr/>
        <w:t>yorumlar</w:t>
      </w:r>
      <w:r>
        <w:rPr>
          <w:spacing w:val="-8"/>
        </w:rPr>
        <w:t> </w:t>
      </w:r>
      <w:r>
        <w:rPr/>
        <w:t>ile</w:t>
      </w:r>
      <w:r>
        <w:rPr>
          <w:spacing w:val="-7"/>
        </w:rPr>
        <w:t> </w:t>
      </w:r>
      <w:r>
        <w:rPr/>
        <w:t>satışlar</w:t>
      </w:r>
      <w:r>
        <w:rPr>
          <w:spacing w:val="-7"/>
        </w:rPr>
        <w:t> </w:t>
      </w:r>
      <w:r>
        <w:rPr/>
        <w:t>arasındaki</w:t>
      </w:r>
      <w:r>
        <w:rPr>
          <w:spacing w:val="-7"/>
        </w:rPr>
        <w:t> </w:t>
      </w:r>
      <w:r>
        <w:rPr/>
        <w:t>ilişki</w:t>
      </w:r>
      <w:r>
        <w:rPr>
          <w:spacing w:val="-5"/>
        </w:rPr>
        <w:t> </w:t>
      </w:r>
      <w:r>
        <w:rPr/>
        <w:t>bağlamında</w:t>
      </w:r>
      <w:r>
        <w:rPr>
          <w:spacing w:val="-7"/>
        </w:rPr>
        <w:t> </w:t>
      </w:r>
      <w:r>
        <w:rPr/>
        <w:t>da,</w:t>
      </w:r>
      <w:r>
        <w:rPr>
          <w:spacing w:val="-3"/>
        </w:rPr>
        <w:t> </w:t>
      </w:r>
      <w:r>
        <w:rPr/>
        <w:t>sadece</w:t>
      </w:r>
      <w:r>
        <w:rPr>
          <w:spacing w:val="-7"/>
        </w:rPr>
        <w:t> </w:t>
      </w:r>
      <w:r>
        <w:rPr/>
        <w:t>mobilya ile</w:t>
      </w:r>
      <w:r>
        <w:rPr>
          <w:spacing w:val="-18"/>
        </w:rPr>
        <w:t> </w:t>
      </w:r>
      <w:r>
        <w:rPr/>
        <w:t>dizüstü</w:t>
      </w:r>
      <w:r>
        <w:rPr>
          <w:spacing w:val="-17"/>
        </w:rPr>
        <w:t> </w:t>
      </w:r>
      <w:r>
        <w:rPr/>
        <w:t>kategorileri</w:t>
      </w:r>
      <w:r>
        <w:rPr>
          <w:spacing w:val="-14"/>
        </w:rPr>
        <w:t> </w:t>
      </w:r>
      <w:r>
        <w:rPr/>
        <w:t>arasında</w:t>
      </w:r>
      <w:r>
        <w:rPr>
          <w:spacing w:val="-17"/>
        </w:rPr>
        <w:t> </w:t>
      </w:r>
      <w:r>
        <w:rPr/>
        <w:t>anlamlı</w:t>
      </w:r>
      <w:r>
        <w:rPr>
          <w:spacing w:val="-16"/>
        </w:rPr>
        <w:t> </w:t>
      </w:r>
      <w:r>
        <w:rPr/>
        <w:t>farklılık</w:t>
      </w:r>
      <w:r>
        <w:rPr>
          <w:spacing w:val="-16"/>
        </w:rPr>
        <w:t> </w:t>
      </w:r>
      <w:r>
        <w:rPr/>
        <w:t>bulunamamıştır.</w:t>
      </w:r>
      <w:r>
        <w:rPr>
          <w:spacing w:val="-13"/>
        </w:rPr>
        <w:t> </w:t>
      </w:r>
      <w:r>
        <w:rPr/>
        <w:t>Diğer</w:t>
      </w:r>
      <w:r>
        <w:rPr>
          <w:spacing w:val="-17"/>
        </w:rPr>
        <w:t> </w:t>
      </w:r>
      <w:r>
        <w:rPr/>
        <w:t>iki</w:t>
      </w:r>
      <w:r>
        <w:rPr>
          <w:spacing w:val="-13"/>
        </w:rPr>
        <w:t> </w:t>
      </w:r>
      <w:r>
        <w:rPr/>
        <w:t>karşılaştırmalarda nötr yorumlar ile satışlar arasındaki ilişki için istatistiksel olarak anlamlı farklılıklar tespit </w:t>
      </w:r>
      <w:r>
        <w:rPr>
          <w:position w:val="2"/>
        </w:rPr>
        <w:t>edilmiştir. Bu sonuçlar ile, H</w:t>
      </w:r>
      <w:r>
        <w:rPr>
          <w:sz w:val="16"/>
        </w:rPr>
        <w:t>10b </w:t>
      </w:r>
      <w:r>
        <w:rPr>
          <w:position w:val="2"/>
        </w:rPr>
        <w:t>, H</w:t>
      </w:r>
      <w:r>
        <w:rPr>
          <w:sz w:val="16"/>
        </w:rPr>
        <w:t>10c</w:t>
      </w:r>
      <w:r>
        <w:rPr>
          <w:position w:val="2"/>
        </w:rPr>
        <w:t>, H</w:t>
      </w:r>
      <w:r>
        <w:rPr>
          <w:sz w:val="16"/>
        </w:rPr>
        <w:t>10d</w:t>
      </w:r>
      <w:r>
        <w:rPr>
          <w:position w:val="2"/>
        </w:rPr>
        <w:t>, H</w:t>
      </w:r>
      <w:r>
        <w:rPr>
          <w:sz w:val="16"/>
        </w:rPr>
        <w:t>10e </w:t>
      </w:r>
      <w:r>
        <w:rPr>
          <w:position w:val="2"/>
        </w:rPr>
        <w:t>ve H</w:t>
      </w:r>
      <w:r>
        <w:rPr>
          <w:sz w:val="16"/>
        </w:rPr>
        <w:t>10f </w:t>
      </w:r>
      <w:r>
        <w:rPr>
          <w:position w:val="2"/>
        </w:rPr>
        <w:t>hipotezleri desteklenmiş, H</w:t>
      </w:r>
      <w:r>
        <w:rPr>
          <w:sz w:val="16"/>
        </w:rPr>
        <w:t>10a </w:t>
      </w:r>
      <w:r>
        <w:rPr/>
        <w:t>reddedilmiştir.</w:t>
      </w:r>
    </w:p>
    <w:p>
      <w:pPr>
        <w:pStyle w:val="BodyText"/>
        <w:spacing w:line="360" w:lineRule="auto"/>
        <w:ind w:right="311" w:firstLine="708"/>
      </w:pPr>
      <w:r>
        <w:rPr/>
        <w:t>Tablo 13’te Amazon.com uygulmasındaki tüm hipotez testlerinin sonuçları sunulmuştur.</w:t>
      </w:r>
    </w:p>
    <w:p>
      <w:pPr>
        <w:spacing w:before="0"/>
        <w:ind w:left="548" w:right="0" w:firstLine="0"/>
        <w:jc w:val="both"/>
        <w:rPr>
          <w:sz w:val="24"/>
        </w:rPr>
      </w:pPr>
      <w:r>
        <w:rPr>
          <w:b/>
          <w:sz w:val="24"/>
        </w:rPr>
        <w:t>Tablo 13: </w:t>
      </w:r>
      <w:r>
        <w:rPr>
          <w:sz w:val="24"/>
        </w:rPr>
        <w:t>Hipotez testleri sonuçları</w:t>
      </w:r>
    </w:p>
    <w:p>
      <w:pPr>
        <w:pStyle w:val="BodyText"/>
        <w:spacing w:before="10"/>
        <w:ind w:left="0"/>
        <w:jc w:val="left"/>
        <w:rPr>
          <w:sz w:val="11"/>
        </w:rPr>
      </w:pPr>
    </w:p>
    <w:tbl>
      <w:tblPr>
        <w:tblW w:w="0" w:type="auto"/>
        <w:jc w:val="left"/>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86"/>
        <w:gridCol w:w="846"/>
      </w:tblGrid>
      <w:tr>
        <w:trPr>
          <w:trHeight w:val="229" w:hRule="atLeast"/>
        </w:trPr>
        <w:tc>
          <w:tcPr>
            <w:tcW w:w="8086" w:type="dxa"/>
            <w:tcBorders>
              <w:top w:val="single" w:sz="8" w:space="0" w:color="000000"/>
              <w:bottom w:val="single" w:sz="4" w:space="0" w:color="000000"/>
            </w:tcBorders>
          </w:tcPr>
          <w:p>
            <w:pPr>
              <w:pStyle w:val="TableParagraph"/>
              <w:spacing w:line="210" w:lineRule="exact"/>
              <w:rPr>
                <w:b/>
                <w:sz w:val="20"/>
              </w:rPr>
            </w:pPr>
            <w:r>
              <w:rPr>
                <w:b/>
                <w:sz w:val="20"/>
              </w:rPr>
              <w:t>Hipotez</w:t>
            </w:r>
          </w:p>
        </w:tc>
        <w:tc>
          <w:tcPr>
            <w:tcW w:w="846" w:type="dxa"/>
            <w:tcBorders>
              <w:top w:val="single" w:sz="8" w:space="0" w:color="000000"/>
              <w:bottom w:val="single" w:sz="4" w:space="0" w:color="000000"/>
            </w:tcBorders>
          </w:tcPr>
          <w:p>
            <w:pPr>
              <w:pStyle w:val="TableParagraph"/>
              <w:spacing w:line="210" w:lineRule="exact"/>
              <w:ind w:left="91" w:right="91"/>
              <w:jc w:val="center"/>
              <w:rPr>
                <w:b/>
                <w:sz w:val="20"/>
              </w:rPr>
            </w:pPr>
            <w:r>
              <w:rPr>
                <w:b/>
                <w:sz w:val="20"/>
              </w:rPr>
              <w:t>Sonuç*</w:t>
            </w:r>
          </w:p>
        </w:tc>
      </w:tr>
      <w:tr>
        <w:trPr>
          <w:trHeight w:val="230" w:hRule="atLeast"/>
        </w:trPr>
        <w:tc>
          <w:tcPr>
            <w:tcW w:w="8086" w:type="dxa"/>
            <w:tcBorders>
              <w:top w:val="single" w:sz="4" w:space="0" w:color="000000"/>
              <w:bottom w:val="single" w:sz="4" w:space="0" w:color="000000"/>
            </w:tcBorders>
          </w:tcPr>
          <w:p>
            <w:pPr>
              <w:pStyle w:val="TableParagraph"/>
              <w:spacing w:line="211" w:lineRule="exact"/>
              <w:rPr>
                <w:sz w:val="20"/>
              </w:rPr>
            </w:pPr>
            <w:r>
              <w:rPr>
                <w:b/>
                <w:position w:val="1"/>
                <w:sz w:val="20"/>
              </w:rPr>
              <w:t>H</w:t>
            </w:r>
            <w:r>
              <w:rPr>
                <w:b/>
                <w:sz w:val="13"/>
              </w:rPr>
              <w:t>1</w:t>
            </w:r>
            <w:r>
              <w:rPr>
                <w:b/>
                <w:position w:val="1"/>
                <w:sz w:val="20"/>
              </w:rPr>
              <w:t>: </w:t>
            </w:r>
            <w:r>
              <w:rPr>
                <w:position w:val="1"/>
                <w:sz w:val="20"/>
              </w:rPr>
              <w:t>Yorum sayısı ile satışlar arasında pozitif ilişki bulunmaktadır.</w:t>
            </w:r>
          </w:p>
        </w:tc>
        <w:tc>
          <w:tcPr>
            <w:tcW w:w="846" w:type="dxa"/>
            <w:tcBorders>
              <w:top w:val="single" w:sz="4" w:space="0" w:color="000000"/>
              <w:bottom w:val="single" w:sz="4" w:space="0" w:color="000000"/>
            </w:tcBorders>
          </w:tcPr>
          <w:p>
            <w:pPr>
              <w:pStyle w:val="TableParagraph"/>
              <w:spacing w:line="210" w:lineRule="exact"/>
              <w:ind w:left="91" w:right="91"/>
              <w:jc w:val="center"/>
              <w:rPr>
                <w:sz w:val="20"/>
              </w:rPr>
            </w:pPr>
            <w:r>
              <w:rPr>
                <w:sz w:val="20"/>
              </w:rPr>
              <w:t>(+)</w:t>
            </w:r>
          </w:p>
        </w:tc>
      </w:tr>
      <w:tr>
        <w:trPr>
          <w:trHeight w:val="460" w:hRule="atLeast"/>
        </w:trPr>
        <w:tc>
          <w:tcPr>
            <w:tcW w:w="8086" w:type="dxa"/>
            <w:tcBorders>
              <w:top w:val="single" w:sz="4" w:space="0" w:color="000000"/>
              <w:bottom w:val="single" w:sz="4" w:space="0" w:color="000000"/>
            </w:tcBorders>
          </w:tcPr>
          <w:p>
            <w:pPr>
              <w:pStyle w:val="TableParagraph"/>
              <w:spacing w:line="220" w:lineRule="exact" w:before="20"/>
              <w:rPr>
                <w:sz w:val="20"/>
              </w:rPr>
            </w:pPr>
            <w:r>
              <w:rPr>
                <w:b/>
                <w:position w:val="1"/>
                <w:sz w:val="20"/>
              </w:rPr>
              <w:t>H</w:t>
            </w:r>
            <w:r>
              <w:rPr>
                <w:b/>
                <w:sz w:val="13"/>
              </w:rPr>
              <w:t>2a</w:t>
            </w:r>
            <w:r>
              <w:rPr>
                <w:b/>
                <w:position w:val="1"/>
                <w:sz w:val="20"/>
              </w:rPr>
              <w:t>: </w:t>
            </w:r>
            <w:r>
              <w:rPr>
                <w:position w:val="1"/>
                <w:sz w:val="20"/>
              </w:rPr>
              <w:t>Mobilya ve dizüstü kategorileri için, yorum sayısı ile ürün satışı arasındaki ilişki farklılık </w:t>
            </w:r>
            <w:r>
              <w:rPr>
                <w:sz w:val="20"/>
              </w:rPr>
              <w:t>gösterir.</w:t>
            </w:r>
          </w:p>
        </w:tc>
        <w:tc>
          <w:tcPr>
            <w:tcW w:w="846" w:type="dxa"/>
            <w:tcBorders>
              <w:top w:val="single" w:sz="4" w:space="0" w:color="000000"/>
              <w:bottom w:val="single" w:sz="4" w:space="0" w:color="000000"/>
            </w:tcBorders>
          </w:tcPr>
          <w:p>
            <w:pPr>
              <w:pStyle w:val="TableParagraph"/>
              <w:spacing w:before="115"/>
              <w:ind w:left="91" w:right="91"/>
              <w:jc w:val="center"/>
              <w:rPr>
                <w:sz w:val="20"/>
              </w:rPr>
            </w:pPr>
            <w:r>
              <w:rPr>
                <w:sz w:val="20"/>
              </w:rPr>
              <w:t>(-)</w:t>
            </w:r>
          </w:p>
        </w:tc>
      </w:tr>
      <w:tr>
        <w:trPr>
          <w:trHeight w:val="458" w:hRule="atLeast"/>
        </w:trPr>
        <w:tc>
          <w:tcPr>
            <w:tcW w:w="8086" w:type="dxa"/>
            <w:tcBorders>
              <w:top w:val="single" w:sz="4" w:space="0" w:color="000000"/>
              <w:bottom w:val="single" w:sz="4" w:space="0" w:color="000000"/>
            </w:tcBorders>
          </w:tcPr>
          <w:p>
            <w:pPr>
              <w:pStyle w:val="TableParagraph"/>
              <w:spacing w:line="218" w:lineRule="exact" w:before="22"/>
              <w:rPr>
                <w:sz w:val="20"/>
              </w:rPr>
            </w:pPr>
            <w:r>
              <w:rPr>
                <w:b/>
                <w:position w:val="1"/>
                <w:sz w:val="20"/>
              </w:rPr>
              <w:t>H</w:t>
            </w:r>
            <w:r>
              <w:rPr>
                <w:b/>
                <w:sz w:val="13"/>
              </w:rPr>
              <w:t>2b</w:t>
            </w:r>
            <w:r>
              <w:rPr>
                <w:b/>
                <w:position w:val="1"/>
                <w:sz w:val="20"/>
              </w:rPr>
              <w:t>: </w:t>
            </w:r>
            <w:r>
              <w:rPr>
                <w:position w:val="1"/>
                <w:sz w:val="20"/>
              </w:rPr>
              <w:t>Mobilya ve koltuk kategorileri için, yorum sayısı ile ürün satışı arasındaki ilişki farklılık </w:t>
            </w:r>
            <w:r>
              <w:rPr>
                <w:sz w:val="20"/>
              </w:rPr>
              <w:t>gösterir.</w:t>
            </w:r>
          </w:p>
        </w:tc>
        <w:tc>
          <w:tcPr>
            <w:tcW w:w="846" w:type="dxa"/>
            <w:tcBorders>
              <w:top w:val="single" w:sz="4" w:space="0" w:color="000000"/>
              <w:bottom w:val="single" w:sz="4" w:space="0" w:color="000000"/>
            </w:tcBorders>
          </w:tcPr>
          <w:p>
            <w:pPr>
              <w:pStyle w:val="TableParagraph"/>
              <w:spacing w:before="115"/>
              <w:ind w:left="91" w:right="91"/>
              <w:jc w:val="center"/>
              <w:rPr>
                <w:sz w:val="20"/>
              </w:rPr>
            </w:pPr>
            <w:r>
              <w:rPr>
                <w:sz w:val="20"/>
              </w:rPr>
              <w:t>(+)</w:t>
            </w:r>
          </w:p>
        </w:tc>
      </w:tr>
      <w:tr>
        <w:trPr>
          <w:trHeight w:val="460" w:hRule="atLeast"/>
        </w:trPr>
        <w:tc>
          <w:tcPr>
            <w:tcW w:w="8086" w:type="dxa"/>
            <w:tcBorders>
              <w:top w:val="single" w:sz="4" w:space="0" w:color="000000"/>
              <w:bottom w:val="single" w:sz="4" w:space="0" w:color="000000"/>
            </w:tcBorders>
          </w:tcPr>
          <w:p>
            <w:pPr>
              <w:pStyle w:val="TableParagraph"/>
              <w:spacing w:line="220" w:lineRule="exact" w:before="20"/>
              <w:rPr>
                <w:sz w:val="20"/>
              </w:rPr>
            </w:pPr>
            <w:r>
              <w:rPr>
                <w:b/>
                <w:position w:val="1"/>
                <w:sz w:val="20"/>
              </w:rPr>
              <w:t>H</w:t>
            </w:r>
            <w:r>
              <w:rPr>
                <w:b/>
                <w:sz w:val="13"/>
              </w:rPr>
              <w:t>2c</w:t>
            </w:r>
            <w:r>
              <w:rPr>
                <w:b/>
                <w:position w:val="1"/>
                <w:sz w:val="20"/>
              </w:rPr>
              <w:t>: </w:t>
            </w:r>
            <w:r>
              <w:rPr>
                <w:position w:val="1"/>
                <w:sz w:val="20"/>
              </w:rPr>
              <w:t>Mobilya ve televizyon kategorileri için, yorum sayısı ile ürün satışı arasındaki ilişki farklılık </w:t>
            </w:r>
            <w:r>
              <w:rPr>
                <w:sz w:val="20"/>
              </w:rPr>
              <w:t>gösterir.</w:t>
            </w:r>
          </w:p>
        </w:tc>
        <w:tc>
          <w:tcPr>
            <w:tcW w:w="846" w:type="dxa"/>
            <w:tcBorders>
              <w:top w:val="single" w:sz="4" w:space="0" w:color="000000"/>
              <w:bottom w:val="single" w:sz="4" w:space="0" w:color="000000"/>
            </w:tcBorders>
          </w:tcPr>
          <w:p>
            <w:pPr>
              <w:pStyle w:val="TableParagraph"/>
              <w:spacing w:before="115"/>
              <w:ind w:left="91" w:right="91"/>
              <w:jc w:val="center"/>
              <w:rPr>
                <w:sz w:val="20"/>
              </w:rPr>
            </w:pPr>
            <w:r>
              <w:rPr>
                <w:sz w:val="20"/>
              </w:rPr>
              <w:t>(-)</w:t>
            </w:r>
          </w:p>
        </w:tc>
      </w:tr>
      <w:tr>
        <w:trPr>
          <w:trHeight w:val="460" w:hRule="atLeast"/>
        </w:trPr>
        <w:tc>
          <w:tcPr>
            <w:tcW w:w="8086" w:type="dxa"/>
            <w:tcBorders>
              <w:top w:val="single" w:sz="4" w:space="0" w:color="000000"/>
              <w:bottom w:val="single" w:sz="4" w:space="0" w:color="000000"/>
            </w:tcBorders>
          </w:tcPr>
          <w:p>
            <w:pPr>
              <w:pStyle w:val="TableParagraph"/>
              <w:spacing w:line="220" w:lineRule="exact" w:before="20"/>
              <w:rPr>
                <w:sz w:val="20"/>
              </w:rPr>
            </w:pPr>
            <w:r>
              <w:rPr>
                <w:b/>
                <w:position w:val="1"/>
                <w:sz w:val="20"/>
              </w:rPr>
              <w:t>H</w:t>
            </w:r>
            <w:r>
              <w:rPr>
                <w:b/>
                <w:sz w:val="13"/>
              </w:rPr>
              <w:t>2d</w:t>
            </w:r>
            <w:r>
              <w:rPr>
                <w:b/>
                <w:position w:val="1"/>
                <w:sz w:val="20"/>
              </w:rPr>
              <w:t>: </w:t>
            </w:r>
            <w:r>
              <w:rPr>
                <w:position w:val="1"/>
                <w:sz w:val="20"/>
              </w:rPr>
              <w:t>Koltuk ve dizüstü kategorileri için, yorum sayısı ile ürün satışı arasındaki ilişki farklılık </w:t>
            </w:r>
            <w:r>
              <w:rPr>
                <w:sz w:val="20"/>
              </w:rPr>
              <w:t>gösterir.</w:t>
            </w:r>
          </w:p>
        </w:tc>
        <w:tc>
          <w:tcPr>
            <w:tcW w:w="846" w:type="dxa"/>
            <w:tcBorders>
              <w:top w:val="single" w:sz="4" w:space="0" w:color="000000"/>
              <w:bottom w:val="single" w:sz="4" w:space="0" w:color="000000"/>
            </w:tcBorders>
          </w:tcPr>
          <w:p>
            <w:pPr>
              <w:pStyle w:val="TableParagraph"/>
              <w:spacing w:before="115"/>
              <w:ind w:left="91" w:right="91"/>
              <w:jc w:val="center"/>
              <w:rPr>
                <w:sz w:val="20"/>
              </w:rPr>
            </w:pPr>
            <w:r>
              <w:rPr>
                <w:sz w:val="20"/>
              </w:rPr>
              <w:t>(+)</w:t>
            </w:r>
          </w:p>
        </w:tc>
      </w:tr>
      <w:tr>
        <w:trPr>
          <w:trHeight w:val="460" w:hRule="atLeast"/>
        </w:trPr>
        <w:tc>
          <w:tcPr>
            <w:tcW w:w="8086" w:type="dxa"/>
            <w:tcBorders>
              <w:top w:val="single" w:sz="4" w:space="0" w:color="000000"/>
              <w:bottom w:val="single" w:sz="4" w:space="0" w:color="000000"/>
            </w:tcBorders>
          </w:tcPr>
          <w:p>
            <w:pPr>
              <w:pStyle w:val="TableParagraph"/>
              <w:spacing w:line="220" w:lineRule="exact" w:before="20"/>
              <w:rPr>
                <w:sz w:val="20"/>
              </w:rPr>
            </w:pPr>
            <w:r>
              <w:rPr>
                <w:b/>
                <w:position w:val="1"/>
                <w:sz w:val="20"/>
              </w:rPr>
              <w:t>H</w:t>
            </w:r>
            <w:r>
              <w:rPr>
                <w:b/>
                <w:sz w:val="13"/>
              </w:rPr>
              <w:t>2e</w:t>
            </w:r>
            <w:r>
              <w:rPr>
                <w:b/>
                <w:position w:val="1"/>
                <w:sz w:val="20"/>
              </w:rPr>
              <w:t>: </w:t>
            </w:r>
            <w:r>
              <w:rPr>
                <w:position w:val="1"/>
                <w:sz w:val="20"/>
              </w:rPr>
              <w:t>Koltuk ve televizyon kategorileri için, yorum sayısı ile ürün satışı arasındaki ilişki farklılık </w:t>
            </w:r>
            <w:r>
              <w:rPr>
                <w:sz w:val="20"/>
              </w:rPr>
              <w:t>gösterir.</w:t>
            </w:r>
          </w:p>
        </w:tc>
        <w:tc>
          <w:tcPr>
            <w:tcW w:w="846" w:type="dxa"/>
            <w:tcBorders>
              <w:top w:val="single" w:sz="4" w:space="0" w:color="000000"/>
              <w:bottom w:val="single" w:sz="4" w:space="0" w:color="000000"/>
            </w:tcBorders>
          </w:tcPr>
          <w:p>
            <w:pPr>
              <w:pStyle w:val="TableParagraph"/>
              <w:spacing w:before="115"/>
              <w:ind w:left="91" w:right="91"/>
              <w:jc w:val="center"/>
              <w:rPr>
                <w:sz w:val="20"/>
              </w:rPr>
            </w:pPr>
            <w:r>
              <w:rPr>
                <w:sz w:val="20"/>
              </w:rPr>
              <w:t>(+)</w:t>
            </w:r>
          </w:p>
        </w:tc>
      </w:tr>
      <w:tr>
        <w:trPr>
          <w:trHeight w:val="460" w:hRule="atLeast"/>
        </w:trPr>
        <w:tc>
          <w:tcPr>
            <w:tcW w:w="8086" w:type="dxa"/>
            <w:tcBorders>
              <w:top w:val="single" w:sz="4" w:space="0" w:color="000000"/>
              <w:bottom w:val="single" w:sz="4" w:space="0" w:color="000000"/>
            </w:tcBorders>
          </w:tcPr>
          <w:p>
            <w:pPr>
              <w:pStyle w:val="TableParagraph"/>
              <w:spacing w:line="220" w:lineRule="exact" w:before="20"/>
              <w:rPr>
                <w:sz w:val="20"/>
              </w:rPr>
            </w:pPr>
            <w:r>
              <w:rPr>
                <w:b/>
                <w:position w:val="1"/>
                <w:sz w:val="20"/>
              </w:rPr>
              <w:t>H</w:t>
            </w:r>
            <w:r>
              <w:rPr>
                <w:b/>
                <w:sz w:val="13"/>
              </w:rPr>
              <w:t>2f</w:t>
            </w:r>
            <w:r>
              <w:rPr>
                <w:b/>
                <w:position w:val="1"/>
                <w:sz w:val="20"/>
              </w:rPr>
              <w:t>: </w:t>
            </w:r>
            <w:r>
              <w:rPr>
                <w:position w:val="1"/>
                <w:sz w:val="20"/>
              </w:rPr>
              <w:t>Televizyon ve dizüstü kategorileri için, yorum sayısı ile ürün satışı arasındaki ilişki farklılık </w:t>
            </w:r>
            <w:r>
              <w:rPr>
                <w:sz w:val="20"/>
              </w:rPr>
              <w:t>gösterir.</w:t>
            </w:r>
          </w:p>
        </w:tc>
        <w:tc>
          <w:tcPr>
            <w:tcW w:w="846" w:type="dxa"/>
            <w:tcBorders>
              <w:top w:val="single" w:sz="4" w:space="0" w:color="000000"/>
              <w:bottom w:val="single" w:sz="4" w:space="0" w:color="000000"/>
            </w:tcBorders>
          </w:tcPr>
          <w:p>
            <w:pPr>
              <w:pStyle w:val="TableParagraph"/>
              <w:spacing w:before="115"/>
              <w:ind w:left="91" w:right="91"/>
              <w:jc w:val="center"/>
              <w:rPr>
                <w:sz w:val="20"/>
              </w:rPr>
            </w:pPr>
            <w:r>
              <w:rPr>
                <w:sz w:val="20"/>
              </w:rPr>
              <w:t>(-)</w:t>
            </w:r>
          </w:p>
        </w:tc>
      </w:tr>
      <w:tr>
        <w:trPr>
          <w:trHeight w:val="230" w:hRule="atLeast"/>
        </w:trPr>
        <w:tc>
          <w:tcPr>
            <w:tcW w:w="8086" w:type="dxa"/>
            <w:tcBorders>
              <w:top w:val="single" w:sz="4" w:space="0" w:color="000000"/>
              <w:bottom w:val="single" w:sz="4" w:space="0" w:color="000000"/>
            </w:tcBorders>
          </w:tcPr>
          <w:p>
            <w:pPr>
              <w:pStyle w:val="TableParagraph"/>
              <w:spacing w:line="210" w:lineRule="exact"/>
              <w:ind w:left="134"/>
              <w:rPr>
                <w:sz w:val="20"/>
              </w:rPr>
            </w:pPr>
            <w:r>
              <w:rPr>
                <w:b/>
                <w:position w:val="1"/>
                <w:sz w:val="20"/>
              </w:rPr>
              <w:t>H</w:t>
            </w:r>
            <w:r>
              <w:rPr>
                <w:b/>
                <w:sz w:val="13"/>
              </w:rPr>
              <w:t>3</w:t>
            </w:r>
            <w:r>
              <w:rPr>
                <w:b/>
                <w:position w:val="1"/>
                <w:sz w:val="20"/>
              </w:rPr>
              <w:t>: </w:t>
            </w:r>
            <w:r>
              <w:rPr>
                <w:position w:val="1"/>
                <w:sz w:val="20"/>
              </w:rPr>
              <w:t>Değerlendirme puanlarının ortalaması ile ürün satışı arasında pozitif ilişki bulunmaktadır.</w:t>
            </w:r>
          </w:p>
        </w:tc>
        <w:tc>
          <w:tcPr>
            <w:tcW w:w="846" w:type="dxa"/>
            <w:tcBorders>
              <w:top w:val="single" w:sz="4" w:space="0" w:color="000000"/>
              <w:bottom w:val="single" w:sz="4" w:space="0" w:color="000000"/>
            </w:tcBorders>
          </w:tcPr>
          <w:p>
            <w:pPr>
              <w:pStyle w:val="TableParagraph"/>
              <w:spacing w:line="210" w:lineRule="exact"/>
              <w:ind w:left="91" w:right="91"/>
              <w:jc w:val="center"/>
              <w:rPr>
                <w:sz w:val="20"/>
              </w:rPr>
            </w:pPr>
            <w:r>
              <w:rPr>
                <w:sz w:val="20"/>
              </w:rPr>
              <w:t>(+)</w:t>
            </w:r>
          </w:p>
        </w:tc>
      </w:tr>
      <w:tr>
        <w:trPr>
          <w:trHeight w:val="230" w:hRule="atLeast"/>
        </w:trPr>
        <w:tc>
          <w:tcPr>
            <w:tcW w:w="8086" w:type="dxa"/>
            <w:tcBorders>
              <w:top w:val="single" w:sz="4" w:space="0" w:color="000000"/>
              <w:bottom w:val="single" w:sz="4" w:space="0" w:color="000000"/>
            </w:tcBorders>
          </w:tcPr>
          <w:p>
            <w:pPr>
              <w:pStyle w:val="TableParagraph"/>
              <w:spacing w:line="210" w:lineRule="exact"/>
              <w:ind w:left="134"/>
              <w:rPr>
                <w:sz w:val="20"/>
              </w:rPr>
            </w:pPr>
            <w:r>
              <w:rPr>
                <w:b/>
                <w:position w:val="1"/>
                <w:sz w:val="20"/>
              </w:rPr>
              <w:t>H</w:t>
            </w:r>
            <w:r>
              <w:rPr>
                <w:b/>
                <w:sz w:val="13"/>
              </w:rPr>
              <w:t>4</w:t>
            </w:r>
            <w:r>
              <w:rPr>
                <w:b/>
                <w:position w:val="1"/>
                <w:sz w:val="20"/>
              </w:rPr>
              <w:t>: </w:t>
            </w:r>
            <w:r>
              <w:rPr>
                <w:position w:val="1"/>
                <w:sz w:val="20"/>
              </w:rPr>
              <w:t>Ürüne dair olumlu yorumlar ile ürün satışı arasında pozitif ilişki bulunmaktadır.</w:t>
            </w:r>
          </w:p>
        </w:tc>
        <w:tc>
          <w:tcPr>
            <w:tcW w:w="846" w:type="dxa"/>
            <w:tcBorders>
              <w:top w:val="single" w:sz="4" w:space="0" w:color="000000"/>
              <w:bottom w:val="single" w:sz="4" w:space="0" w:color="000000"/>
            </w:tcBorders>
          </w:tcPr>
          <w:p>
            <w:pPr>
              <w:pStyle w:val="TableParagraph"/>
              <w:spacing w:line="210" w:lineRule="exact"/>
              <w:ind w:left="91" w:right="91"/>
              <w:jc w:val="center"/>
              <w:rPr>
                <w:sz w:val="20"/>
              </w:rPr>
            </w:pPr>
            <w:r>
              <w:rPr>
                <w:sz w:val="20"/>
              </w:rPr>
              <w:t>(+)</w:t>
            </w:r>
          </w:p>
        </w:tc>
      </w:tr>
      <w:tr>
        <w:trPr>
          <w:trHeight w:val="230" w:hRule="atLeast"/>
        </w:trPr>
        <w:tc>
          <w:tcPr>
            <w:tcW w:w="8086" w:type="dxa"/>
            <w:tcBorders>
              <w:top w:val="single" w:sz="4" w:space="0" w:color="000000"/>
              <w:bottom w:val="single" w:sz="4" w:space="0" w:color="000000"/>
            </w:tcBorders>
          </w:tcPr>
          <w:p>
            <w:pPr>
              <w:pStyle w:val="TableParagraph"/>
              <w:spacing w:line="210" w:lineRule="exact"/>
              <w:ind w:left="134"/>
              <w:rPr>
                <w:sz w:val="20"/>
              </w:rPr>
            </w:pPr>
            <w:r>
              <w:rPr>
                <w:b/>
                <w:position w:val="1"/>
                <w:sz w:val="20"/>
              </w:rPr>
              <w:t>H</w:t>
            </w:r>
            <w:r>
              <w:rPr>
                <w:b/>
                <w:sz w:val="13"/>
              </w:rPr>
              <w:t>5</w:t>
            </w:r>
            <w:r>
              <w:rPr>
                <w:b/>
                <w:position w:val="1"/>
                <w:sz w:val="20"/>
              </w:rPr>
              <w:t>: </w:t>
            </w:r>
            <w:r>
              <w:rPr>
                <w:position w:val="1"/>
                <w:sz w:val="20"/>
              </w:rPr>
              <w:t>Ürüne dair olumsuz yorumlar ile ürün satışı arasında negatif ilişki bulunmaktadır.</w:t>
            </w:r>
          </w:p>
        </w:tc>
        <w:tc>
          <w:tcPr>
            <w:tcW w:w="846" w:type="dxa"/>
            <w:tcBorders>
              <w:top w:val="single" w:sz="4" w:space="0" w:color="000000"/>
              <w:bottom w:val="single" w:sz="4" w:space="0" w:color="000000"/>
            </w:tcBorders>
          </w:tcPr>
          <w:p>
            <w:pPr>
              <w:pStyle w:val="TableParagraph"/>
              <w:spacing w:line="210" w:lineRule="exact"/>
              <w:ind w:left="91" w:right="91"/>
              <w:jc w:val="center"/>
              <w:rPr>
                <w:sz w:val="20"/>
              </w:rPr>
            </w:pPr>
            <w:r>
              <w:rPr>
                <w:sz w:val="20"/>
              </w:rPr>
              <w:t>(-)</w:t>
            </w:r>
          </w:p>
        </w:tc>
      </w:tr>
      <w:tr>
        <w:trPr>
          <w:trHeight w:val="230" w:hRule="atLeast"/>
        </w:trPr>
        <w:tc>
          <w:tcPr>
            <w:tcW w:w="8086" w:type="dxa"/>
            <w:tcBorders>
              <w:top w:val="single" w:sz="4" w:space="0" w:color="000000"/>
              <w:bottom w:val="single" w:sz="4" w:space="0" w:color="000000"/>
            </w:tcBorders>
          </w:tcPr>
          <w:p>
            <w:pPr>
              <w:pStyle w:val="TableParagraph"/>
              <w:spacing w:line="210" w:lineRule="exact"/>
              <w:ind w:left="134"/>
              <w:rPr>
                <w:sz w:val="20"/>
              </w:rPr>
            </w:pPr>
            <w:r>
              <w:rPr>
                <w:b/>
                <w:position w:val="1"/>
                <w:sz w:val="20"/>
              </w:rPr>
              <w:t>H</w:t>
            </w:r>
            <w:r>
              <w:rPr>
                <w:b/>
                <w:sz w:val="13"/>
              </w:rPr>
              <w:t>6</w:t>
            </w:r>
            <w:r>
              <w:rPr>
                <w:b/>
                <w:position w:val="1"/>
                <w:sz w:val="20"/>
              </w:rPr>
              <w:t>: </w:t>
            </w:r>
            <w:r>
              <w:rPr>
                <w:position w:val="1"/>
                <w:sz w:val="20"/>
              </w:rPr>
              <w:t>Ürüne dair nötr yorumlar ile ürün satışı arasında arasında ilişki bulunmaktadır.</w:t>
            </w:r>
          </w:p>
        </w:tc>
        <w:tc>
          <w:tcPr>
            <w:tcW w:w="846" w:type="dxa"/>
            <w:tcBorders>
              <w:top w:val="single" w:sz="4" w:space="0" w:color="000000"/>
              <w:bottom w:val="single" w:sz="4" w:space="0" w:color="000000"/>
            </w:tcBorders>
          </w:tcPr>
          <w:p>
            <w:pPr>
              <w:pStyle w:val="TableParagraph"/>
              <w:spacing w:line="210" w:lineRule="exact"/>
              <w:ind w:left="91" w:right="91"/>
              <w:jc w:val="center"/>
              <w:rPr>
                <w:sz w:val="20"/>
              </w:rPr>
            </w:pPr>
            <w:r>
              <w:rPr>
                <w:sz w:val="20"/>
              </w:rPr>
              <w:t>(+)</w:t>
            </w:r>
          </w:p>
        </w:tc>
      </w:tr>
      <w:tr>
        <w:trPr>
          <w:trHeight w:val="460" w:hRule="atLeast"/>
        </w:trPr>
        <w:tc>
          <w:tcPr>
            <w:tcW w:w="8086" w:type="dxa"/>
            <w:tcBorders>
              <w:top w:val="single" w:sz="4" w:space="0" w:color="000000"/>
              <w:bottom w:val="single" w:sz="4" w:space="0" w:color="000000"/>
            </w:tcBorders>
          </w:tcPr>
          <w:p>
            <w:pPr>
              <w:pStyle w:val="TableParagraph"/>
              <w:spacing w:line="220" w:lineRule="exact" w:before="20"/>
              <w:ind w:left="134"/>
              <w:rPr>
                <w:sz w:val="20"/>
              </w:rPr>
            </w:pPr>
            <w:r>
              <w:rPr>
                <w:b/>
                <w:position w:val="1"/>
                <w:sz w:val="20"/>
              </w:rPr>
              <w:t>H</w:t>
            </w:r>
            <w:r>
              <w:rPr>
                <w:b/>
                <w:sz w:val="13"/>
              </w:rPr>
              <w:t>7a</w:t>
            </w:r>
            <w:r>
              <w:rPr>
                <w:b/>
                <w:position w:val="1"/>
                <w:sz w:val="20"/>
              </w:rPr>
              <w:t>: </w:t>
            </w:r>
            <w:r>
              <w:rPr>
                <w:position w:val="1"/>
                <w:sz w:val="20"/>
              </w:rPr>
              <w:t>Mobilya ve dizüstü kategorileri için, değerlendirme puanlarının ortalaması ile ürün satışı </w:t>
            </w:r>
            <w:r>
              <w:rPr>
                <w:sz w:val="20"/>
              </w:rPr>
              <w:t>arasındaki ilişki farklılık gösterir.</w:t>
            </w:r>
          </w:p>
        </w:tc>
        <w:tc>
          <w:tcPr>
            <w:tcW w:w="846" w:type="dxa"/>
            <w:tcBorders>
              <w:top w:val="single" w:sz="4" w:space="0" w:color="000000"/>
              <w:bottom w:val="single" w:sz="4" w:space="0" w:color="000000"/>
            </w:tcBorders>
          </w:tcPr>
          <w:p>
            <w:pPr>
              <w:pStyle w:val="TableParagraph"/>
              <w:spacing w:before="115"/>
              <w:ind w:left="91" w:right="91"/>
              <w:jc w:val="center"/>
              <w:rPr>
                <w:sz w:val="20"/>
              </w:rPr>
            </w:pPr>
            <w:r>
              <w:rPr>
                <w:sz w:val="20"/>
              </w:rPr>
              <w:t>(+)</w:t>
            </w:r>
          </w:p>
        </w:tc>
      </w:tr>
      <w:tr>
        <w:trPr>
          <w:trHeight w:val="457" w:hRule="atLeast"/>
        </w:trPr>
        <w:tc>
          <w:tcPr>
            <w:tcW w:w="8086" w:type="dxa"/>
            <w:tcBorders>
              <w:top w:val="single" w:sz="4" w:space="0" w:color="000000"/>
              <w:bottom w:val="single" w:sz="4" w:space="0" w:color="000000"/>
            </w:tcBorders>
          </w:tcPr>
          <w:p>
            <w:pPr>
              <w:pStyle w:val="TableParagraph"/>
              <w:spacing w:line="218" w:lineRule="exact" w:before="22"/>
              <w:ind w:left="134"/>
              <w:rPr>
                <w:sz w:val="20"/>
              </w:rPr>
            </w:pPr>
            <w:r>
              <w:rPr>
                <w:b/>
                <w:position w:val="1"/>
                <w:sz w:val="20"/>
              </w:rPr>
              <w:t>H</w:t>
            </w:r>
            <w:r>
              <w:rPr>
                <w:b/>
                <w:sz w:val="13"/>
              </w:rPr>
              <w:t>7b</w:t>
            </w:r>
            <w:r>
              <w:rPr>
                <w:b/>
                <w:position w:val="1"/>
                <w:sz w:val="20"/>
              </w:rPr>
              <w:t>: </w:t>
            </w:r>
            <w:r>
              <w:rPr>
                <w:position w:val="1"/>
                <w:sz w:val="20"/>
              </w:rPr>
              <w:t>Mobilya ve koltuk kategorileri için, değerlendirme puanlarının ortalaması ile ürün satışı </w:t>
            </w:r>
            <w:r>
              <w:rPr>
                <w:sz w:val="20"/>
              </w:rPr>
              <w:t>arasındaki ilişki farklılık gösterir.</w:t>
            </w:r>
          </w:p>
        </w:tc>
        <w:tc>
          <w:tcPr>
            <w:tcW w:w="846" w:type="dxa"/>
            <w:tcBorders>
              <w:top w:val="single" w:sz="4" w:space="0" w:color="000000"/>
              <w:bottom w:val="single" w:sz="4" w:space="0" w:color="000000"/>
            </w:tcBorders>
          </w:tcPr>
          <w:p>
            <w:pPr>
              <w:pStyle w:val="TableParagraph"/>
              <w:spacing w:before="113"/>
              <w:ind w:left="91" w:right="91"/>
              <w:jc w:val="center"/>
              <w:rPr>
                <w:sz w:val="20"/>
              </w:rPr>
            </w:pPr>
            <w:r>
              <w:rPr>
                <w:sz w:val="20"/>
              </w:rPr>
              <w:t>(-)</w:t>
            </w:r>
          </w:p>
        </w:tc>
      </w:tr>
      <w:tr>
        <w:trPr>
          <w:trHeight w:val="460" w:hRule="atLeast"/>
        </w:trPr>
        <w:tc>
          <w:tcPr>
            <w:tcW w:w="8086" w:type="dxa"/>
            <w:tcBorders>
              <w:top w:val="single" w:sz="4" w:space="0" w:color="000000"/>
              <w:bottom w:val="single" w:sz="4" w:space="0" w:color="000000"/>
            </w:tcBorders>
          </w:tcPr>
          <w:p>
            <w:pPr>
              <w:pStyle w:val="TableParagraph"/>
              <w:spacing w:line="220" w:lineRule="exact" w:before="20"/>
              <w:ind w:left="134"/>
              <w:rPr>
                <w:sz w:val="20"/>
              </w:rPr>
            </w:pPr>
            <w:r>
              <w:rPr>
                <w:b/>
                <w:position w:val="1"/>
                <w:sz w:val="20"/>
              </w:rPr>
              <w:t>H</w:t>
            </w:r>
            <w:r>
              <w:rPr>
                <w:b/>
                <w:sz w:val="13"/>
              </w:rPr>
              <w:t>7c</w:t>
            </w:r>
            <w:r>
              <w:rPr>
                <w:b/>
                <w:position w:val="1"/>
                <w:sz w:val="20"/>
              </w:rPr>
              <w:t>: </w:t>
            </w:r>
            <w:r>
              <w:rPr>
                <w:position w:val="1"/>
                <w:sz w:val="20"/>
              </w:rPr>
              <w:t>Mobilya ve televizyon kategorileri için, değerlendirme puanlarının ortalaması ile ürün satışı </w:t>
            </w:r>
            <w:r>
              <w:rPr>
                <w:sz w:val="20"/>
              </w:rPr>
              <w:t>arasındaki ilişki farklılık gösterir.</w:t>
            </w:r>
          </w:p>
        </w:tc>
        <w:tc>
          <w:tcPr>
            <w:tcW w:w="846" w:type="dxa"/>
            <w:tcBorders>
              <w:top w:val="single" w:sz="4" w:space="0" w:color="000000"/>
              <w:bottom w:val="single" w:sz="4" w:space="0" w:color="000000"/>
            </w:tcBorders>
          </w:tcPr>
          <w:p>
            <w:pPr>
              <w:pStyle w:val="TableParagraph"/>
              <w:spacing w:before="115"/>
              <w:ind w:left="91" w:right="91"/>
              <w:jc w:val="center"/>
              <w:rPr>
                <w:sz w:val="20"/>
              </w:rPr>
            </w:pPr>
            <w:r>
              <w:rPr>
                <w:sz w:val="20"/>
              </w:rPr>
              <w:t>(+)</w:t>
            </w:r>
          </w:p>
        </w:tc>
      </w:tr>
      <w:tr>
        <w:trPr>
          <w:trHeight w:val="460" w:hRule="atLeast"/>
        </w:trPr>
        <w:tc>
          <w:tcPr>
            <w:tcW w:w="8086" w:type="dxa"/>
            <w:tcBorders>
              <w:top w:val="single" w:sz="4" w:space="0" w:color="000000"/>
              <w:bottom w:val="single" w:sz="4" w:space="0" w:color="000000"/>
            </w:tcBorders>
          </w:tcPr>
          <w:p>
            <w:pPr>
              <w:pStyle w:val="TableParagraph"/>
              <w:spacing w:line="220" w:lineRule="exact" w:before="20"/>
              <w:ind w:left="134"/>
              <w:rPr>
                <w:sz w:val="20"/>
              </w:rPr>
            </w:pPr>
            <w:r>
              <w:rPr>
                <w:b/>
                <w:position w:val="1"/>
                <w:sz w:val="20"/>
              </w:rPr>
              <w:t>H</w:t>
            </w:r>
            <w:r>
              <w:rPr>
                <w:b/>
                <w:sz w:val="13"/>
              </w:rPr>
              <w:t>7d</w:t>
            </w:r>
            <w:r>
              <w:rPr>
                <w:b/>
                <w:position w:val="1"/>
                <w:sz w:val="20"/>
              </w:rPr>
              <w:t>: </w:t>
            </w:r>
            <w:r>
              <w:rPr>
                <w:position w:val="1"/>
                <w:sz w:val="20"/>
              </w:rPr>
              <w:t>Koltuk ve dizüstü kategorileri için, değerlendirme puanlarının ortalaması ile ürün satışı </w:t>
            </w:r>
            <w:r>
              <w:rPr>
                <w:sz w:val="20"/>
              </w:rPr>
              <w:t>arasındaki ilişki farklılık gösterir.</w:t>
            </w:r>
          </w:p>
        </w:tc>
        <w:tc>
          <w:tcPr>
            <w:tcW w:w="846" w:type="dxa"/>
            <w:tcBorders>
              <w:top w:val="single" w:sz="4" w:space="0" w:color="000000"/>
              <w:bottom w:val="single" w:sz="4" w:space="0" w:color="000000"/>
            </w:tcBorders>
          </w:tcPr>
          <w:p>
            <w:pPr>
              <w:pStyle w:val="TableParagraph"/>
              <w:spacing w:before="115"/>
              <w:ind w:left="91" w:right="91"/>
              <w:jc w:val="center"/>
              <w:rPr>
                <w:sz w:val="20"/>
              </w:rPr>
            </w:pPr>
            <w:r>
              <w:rPr>
                <w:sz w:val="20"/>
              </w:rPr>
              <w:t>(+)</w:t>
            </w:r>
          </w:p>
        </w:tc>
      </w:tr>
      <w:tr>
        <w:trPr>
          <w:trHeight w:val="460" w:hRule="atLeast"/>
        </w:trPr>
        <w:tc>
          <w:tcPr>
            <w:tcW w:w="8086" w:type="dxa"/>
            <w:tcBorders>
              <w:top w:val="single" w:sz="4" w:space="0" w:color="000000"/>
              <w:bottom w:val="single" w:sz="4" w:space="0" w:color="000000"/>
            </w:tcBorders>
          </w:tcPr>
          <w:p>
            <w:pPr>
              <w:pStyle w:val="TableParagraph"/>
              <w:spacing w:line="220" w:lineRule="exact" w:before="20"/>
              <w:ind w:left="134"/>
              <w:rPr>
                <w:sz w:val="20"/>
              </w:rPr>
            </w:pPr>
            <w:r>
              <w:rPr>
                <w:b/>
                <w:position w:val="1"/>
                <w:sz w:val="20"/>
              </w:rPr>
              <w:t>H</w:t>
            </w:r>
            <w:r>
              <w:rPr>
                <w:b/>
                <w:sz w:val="13"/>
              </w:rPr>
              <w:t>7e</w:t>
            </w:r>
            <w:r>
              <w:rPr>
                <w:b/>
                <w:position w:val="1"/>
                <w:sz w:val="20"/>
              </w:rPr>
              <w:t>: </w:t>
            </w:r>
            <w:r>
              <w:rPr>
                <w:position w:val="1"/>
                <w:sz w:val="20"/>
              </w:rPr>
              <w:t>Koltuk ve televizyon kategorileri için, değerlendirme puanlarının ortalaması ile ürün satışı </w:t>
            </w:r>
            <w:r>
              <w:rPr>
                <w:sz w:val="20"/>
              </w:rPr>
              <w:t>arasındaki ilişki farklılık gösterir.</w:t>
            </w:r>
          </w:p>
        </w:tc>
        <w:tc>
          <w:tcPr>
            <w:tcW w:w="846" w:type="dxa"/>
            <w:tcBorders>
              <w:top w:val="single" w:sz="4" w:space="0" w:color="000000"/>
              <w:bottom w:val="single" w:sz="4" w:space="0" w:color="000000"/>
            </w:tcBorders>
          </w:tcPr>
          <w:p>
            <w:pPr>
              <w:pStyle w:val="TableParagraph"/>
              <w:spacing w:before="115"/>
              <w:ind w:left="91" w:right="91"/>
              <w:jc w:val="center"/>
              <w:rPr>
                <w:sz w:val="20"/>
              </w:rPr>
            </w:pPr>
            <w:r>
              <w:rPr>
                <w:sz w:val="20"/>
              </w:rPr>
              <w:t>(+)</w:t>
            </w:r>
          </w:p>
        </w:tc>
      </w:tr>
      <w:tr>
        <w:trPr>
          <w:trHeight w:val="460" w:hRule="atLeast"/>
        </w:trPr>
        <w:tc>
          <w:tcPr>
            <w:tcW w:w="8086" w:type="dxa"/>
            <w:tcBorders>
              <w:top w:val="single" w:sz="4" w:space="0" w:color="000000"/>
              <w:bottom w:val="single" w:sz="4" w:space="0" w:color="000000"/>
            </w:tcBorders>
          </w:tcPr>
          <w:p>
            <w:pPr>
              <w:pStyle w:val="TableParagraph"/>
              <w:spacing w:line="220" w:lineRule="exact" w:before="20"/>
              <w:ind w:left="134"/>
              <w:rPr>
                <w:sz w:val="20"/>
              </w:rPr>
            </w:pPr>
            <w:r>
              <w:rPr>
                <w:b/>
                <w:position w:val="1"/>
                <w:sz w:val="20"/>
              </w:rPr>
              <w:t>H</w:t>
            </w:r>
            <w:r>
              <w:rPr>
                <w:b/>
                <w:sz w:val="13"/>
              </w:rPr>
              <w:t>7f</w:t>
            </w:r>
            <w:r>
              <w:rPr>
                <w:b/>
                <w:position w:val="1"/>
                <w:sz w:val="20"/>
              </w:rPr>
              <w:t>: </w:t>
            </w:r>
            <w:r>
              <w:rPr>
                <w:position w:val="1"/>
                <w:sz w:val="20"/>
              </w:rPr>
              <w:t>Televizyon ve dizüstü kategorileri için, değerlendirme puanlarının ortalaması ile ürün satışı </w:t>
            </w:r>
            <w:r>
              <w:rPr>
                <w:sz w:val="20"/>
              </w:rPr>
              <w:t>arasındaki ilişki farklılık gösterir.</w:t>
            </w:r>
          </w:p>
        </w:tc>
        <w:tc>
          <w:tcPr>
            <w:tcW w:w="846" w:type="dxa"/>
            <w:tcBorders>
              <w:top w:val="single" w:sz="4" w:space="0" w:color="000000"/>
              <w:bottom w:val="single" w:sz="4" w:space="0" w:color="000000"/>
            </w:tcBorders>
          </w:tcPr>
          <w:p>
            <w:pPr>
              <w:pStyle w:val="TableParagraph"/>
              <w:spacing w:before="115"/>
              <w:ind w:left="91" w:right="91"/>
              <w:jc w:val="center"/>
              <w:rPr>
                <w:sz w:val="20"/>
              </w:rPr>
            </w:pPr>
            <w:r>
              <w:rPr>
                <w:sz w:val="20"/>
              </w:rPr>
              <w:t>(+)</w:t>
            </w:r>
          </w:p>
        </w:tc>
      </w:tr>
      <w:tr>
        <w:trPr>
          <w:trHeight w:val="458" w:hRule="atLeast"/>
        </w:trPr>
        <w:tc>
          <w:tcPr>
            <w:tcW w:w="8086" w:type="dxa"/>
            <w:tcBorders>
              <w:top w:val="single" w:sz="4" w:space="0" w:color="000000"/>
              <w:bottom w:val="single" w:sz="4" w:space="0" w:color="000000"/>
            </w:tcBorders>
          </w:tcPr>
          <w:p>
            <w:pPr>
              <w:pStyle w:val="TableParagraph"/>
              <w:spacing w:line="218" w:lineRule="exact" w:before="22"/>
              <w:ind w:left="134"/>
              <w:rPr>
                <w:sz w:val="20"/>
              </w:rPr>
            </w:pPr>
            <w:r>
              <w:rPr>
                <w:b/>
                <w:position w:val="1"/>
                <w:sz w:val="20"/>
              </w:rPr>
              <w:t>H</w:t>
            </w:r>
            <w:r>
              <w:rPr>
                <w:b/>
                <w:sz w:val="13"/>
              </w:rPr>
              <w:t>8a</w:t>
            </w:r>
            <w:r>
              <w:rPr>
                <w:b/>
                <w:position w:val="1"/>
                <w:sz w:val="20"/>
              </w:rPr>
              <w:t>: </w:t>
            </w:r>
            <w:r>
              <w:rPr>
                <w:position w:val="1"/>
                <w:sz w:val="20"/>
              </w:rPr>
              <w:t>Mobilya ve dizüstü kategorileri için, olumlu yorumlar ile ürün satışı arasındaki ilişki farklılık </w:t>
            </w:r>
            <w:r>
              <w:rPr>
                <w:sz w:val="20"/>
              </w:rPr>
              <w:t>gösterir.</w:t>
            </w:r>
          </w:p>
        </w:tc>
        <w:tc>
          <w:tcPr>
            <w:tcW w:w="846" w:type="dxa"/>
            <w:tcBorders>
              <w:top w:val="single" w:sz="4" w:space="0" w:color="000000"/>
              <w:bottom w:val="single" w:sz="4" w:space="0" w:color="000000"/>
            </w:tcBorders>
          </w:tcPr>
          <w:p>
            <w:pPr>
              <w:pStyle w:val="TableParagraph"/>
              <w:spacing w:before="116"/>
              <w:ind w:left="91" w:right="91"/>
              <w:jc w:val="center"/>
              <w:rPr>
                <w:sz w:val="20"/>
              </w:rPr>
            </w:pPr>
            <w:r>
              <w:rPr>
                <w:sz w:val="20"/>
              </w:rPr>
              <w:t>(-)</w:t>
            </w:r>
          </w:p>
        </w:tc>
      </w:tr>
      <w:tr>
        <w:trPr>
          <w:trHeight w:val="460" w:hRule="atLeast"/>
        </w:trPr>
        <w:tc>
          <w:tcPr>
            <w:tcW w:w="8086" w:type="dxa"/>
            <w:tcBorders>
              <w:top w:val="single" w:sz="4" w:space="0" w:color="000000"/>
              <w:bottom w:val="single" w:sz="4" w:space="0" w:color="000000"/>
            </w:tcBorders>
          </w:tcPr>
          <w:p>
            <w:pPr>
              <w:pStyle w:val="TableParagraph"/>
              <w:spacing w:line="220" w:lineRule="exact" w:before="20"/>
              <w:ind w:left="134"/>
              <w:rPr>
                <w:sz w:val="20"/>
              </w:rPr>
            </w:pPr>
            <w:r>
              <w:rPr>
                <w:b/>
                <w:position w:val="1"/>
                <w:sz w:val="20"/>
              </w:rPr>
              <w:t>H</w:t>
            </w:r>
            <w:r>
              <w:rPr>
                <w:b/>
                <w:sz w:val="13"/>
              </w:rPr>
              <w:t>8b</w:t>
            </w:r>
            <w:r>
              <w:rPr>
                <w:b/>
                <w:position w:val="1"/>
                <w:sz w:val="20"/>
              </w:rPr>
              <w:t>: </w:t>
            </w:r>
            <w:r>
              <w:rPr>
                <w:position w:val="1"/>
                <w:sz w:val="20"/>
              </w:rPr>
              <w:t>Mobilya ve koltuk kategorileri için, olumlu yorumlar ile ürün satışı arasındaki ilişki farklılık </w:t>
            </w:r>
            <w:r>
              <w:rPr>
                <w:sz w:val="20"/>
              </w:rPr>
              <w:t>gösterir.</w:t>
            </w:r>
          </w:p>
        </w:tc>
        <w:tc>
          <w:tcPr>
            <w:tcW w:w="846" w:type="dxa"/>
            <w:tcBorders>
              <w:top w:val="single" w:sz="4" w:space="0" w:color="000000"/>
              <w:bottom w:val="single" w:sz="4" w:space="0" w:color="000000"/>
            </w:tcBorders>
          </w:tcPr>
          <w:p>
            <w:pPr>
              <w:pStyle w:val="TableParagraph"/>
              <w:spacing w:before="115"/>
              <w:ind w:left="91" w:right="91"/>
              <w:jc w:val="center"/>
              <w:rPr>
                <w:sz w:val="20"/>
              </w:rPr>
            </w:pPr>
            <w:r>
              <w:rPr>
                <w:sz w:val="20"/>
              </w:rPr>
              <w:t>(+)</w:t>
            </w:r>
          </w:p>
        </w:tc>
      </w:tr>
      <w:tr>
        <w:trPr>
          <w:trHeight w:val="460" w:hRule="atLeast"/>
        </w:trPr>
        <w:tc>
          <w:tcPr>
            <w:tcW w:w="8086" w:type="dxa"/>
            <w:tcBorders>
              <w:top w:val="single" w:sz="4" w:space="0" w:color="000000"/>
              <w:bottom w:val="single" w:sz="4" w:space="0" w:color="000000"/>
            </w:tcBorders>
          </w:tcPr>
          <w:p>
            <w:pPr>
              <w:pStyle w:val="TableParagraph"/>
              <w:spacing w:line="220" w:lineRule="exact" w:before="20"/>
              <w:ind w:left="134"/>
              <w:rPr>
                <w:sz w:val="20"/>
              </w:rPr>
            </w:pPr>
            <w:r>
              <w:rPr>
                <w:b/>
                <w:position w:val="1"/>
                <w:sz w:val="20"/>
              </w:rPr>
              <w:t>H</w:t>
            </w:r>
            <w:r>
              <w:rPr>
                <w:b/>
                <w:sz w:val="13"/>
              </w:rPr>
              <w:t>8c</w:t>
            </w:r>
            <w:r>
              <w:rPr>
                <w:b/>
                <w:position w:val="1"/>
                <w:sz w:val="20"/>
              </w:rPr>
              <w:t>: </w:t>
            </w:r>
            <w:r>
              <w:rPr>
                <w:position w:val="1"/>
                <w:sz w:val="20"/>
              </w:rPr>
              <w:t>Mobilya ve televizyon kategorileri için, olumlu yorumlar ile ürün satışı arasındaki ilişki </w:t>
            </w:r>
            <w:r>
              <w:rPr>
                <w:sz w:val="20"/>
              </w:rPr>
              <w:t>farklılık gösterir.</w:t>
            </w:r>
          </w:p>
        </w:tc>
        <w:tc>
          <w:tcPr>
            <w:tcW w:w="846" w:type="dxa"/>
            <w:tcBorders>
              <w:top w:val="single" w:sz="4" w:space="0" w:color="000000"/>
              <w:bottom w:val="single" w:sz="4" w:space="0" w:color="000000"/>
            </w:tcBorders>
          </w:tcPr>
          <w:p>
            <w:pPr>
              <w:pStyle w:val="TableParagraph"/>
              <w:spacing w:before="115"/>
              <w:ind w:left="91" w:right="91"/>
              <w:jc w:val="center"/>
              <w:rPr>
                <w:sz w:val="20"/>
              </w:rPr>
            </w:pPr>
            <w:r>
              <w:rPr>
                <w:sz w:val="20"/>
              </w:rPr>
              <w:t>(+)</w:t>
            </w:r>
          </w:p>
        </w:tc>
      </w:tr>
      <w:tr>
        <w:trPr>
          <w:trHeight w:val="460" w:hRule="atLeast"/>
        </w:trPr>
        <w:tc>
          <w:tcPr>
            <w:tcW w:w="8086" w:type="dxa"/>
            <w:tcBorders>
              <w:top w:val="single" w:sz="4" w:space="0" w:color="000000"/>
              <w:bottom w:val="single" w:sz="4" w:space="0" w:color="000000"/>
            </w:tcBorders>
          </w:tcPr>
          <w:p>
            <w:pPr>
              <w:pStyle w:val="TableParagraph"/>
              <w:spacing w:line="220" w:lineRule="exact" w:before="20"/>
              <w:ind w:left="134"/>
              <w:rPr>
                <w:sz w:val="20"/>
              </w:rPr>
            </w:pPr>
            <w:r>
              <w:rPr>
                <w:b/>
                <w:position w:val="1"/>
                <w:sz w:val="20"/>
              </w:rPr>
              <w:t>H</w:t>
            </w:r>
            <w:r>
              <w:rPr>
                <w:b/>
                <w:sz w:val="13"/>
              </w:rPr>
              <w:t>8d</w:t>
            </w:r>
            <w:r>
              <w:rPr>
                <w:b/>
                <w:position w:val="1"/>
                <w:sz w:val="20"/>
              </w:rPr>
              <w:t>: </w:t>
            </w:r>
            <w:r>
              <w:rPr>
                <w:position w:val="1"/>
                <w:sz w:val="20"/>
              </w:rPr>
              <w:t>Koltuk ve dizüstü kategorileri için, olumlu yorumlar ile ürün satışı arasındaki ilişki farklılık </w:t>
            </w:r>
            <w:r>
              <w:rPr>
                <w:sz w:val="20"/>
              </w:rPr>
              <w:t>gösterir.</w:t>
            </w:r>
          </w:p>
        </w:tc>
        <w:tc>
          <w:tcPr>
            <w:tcW w:w="846" w:type="dxa"/>
            <w:tcBorders>
              <w:top w:val="single" w:sz="4" w:space="0" w:color="000000"/>
              <w:bottom w:val="single" w:sz="4" w:space="0" w:color="000000"/>
            </w:tcBorders>
          </w:tcPr>
          <w:p>
            <w:pPr>
              <w:pStyle w:val="TableParagraph"/>
              <w:spacing w:before="115"/>
              <w:ind w:left="91" w:right="91"/>
              <w:jc w:val="center"/>
              <w:rPr>
                <w:sz w:val="20"/>
              </w:rPr>
            </w:pPr>
            <w:r>
              <w:rPr>
                <w:sz w:val="20"/>
              </w:rPr>
              <w:t>(+)</w:t>
            </w:r>
          </w:p>
        </w:tc>
      </w:tr>
      <w:tr>
        <w:trPr>
          <w:trHeight w:val="460" w:hRule="atLeast"/>
        </w:trPr>
        <w:tc>
          <w:tcPr>
            <w:tcW w:w="8086" w:type="dxa"/>
            <w:tcBorders>
              <w:top w:val="single" w:sz="4" w:space="0" w:color="000000"/>
            </w:tcBorders>
          </w:tcPr>
          <w:p>
            <w:pPr>
              <w:pStyle w:val="TableParagraph"/>
              <w:spacing w:line="220" w:lineRule="exact" w:before="20"/>
              <w:ind w:left="134"/>
              <w:rPr>
                <w:sz w:val="20"/>
              </w:rPr>
            </w:pPr>
            <w:r>
              <w:rPr>
                <w:b/>
                <w:position w:val="1"/>
                <w:sz w:val="20"/>
              </w:rPr>
              <w:t>H</w:t>
            </w:r>
            <w:r>
              <w:rPr>
                <w:b/>
                <w:sz w:val="13"/>
              </w:rPr>
              <w:t>8e</w:t>
            </w:r>
            <w:r>
              <w:rPr>
                <w:b/>
                <w:position w:val="1"/>
                <w:sz w:val="20"/>
              </w:rPr>
              <w:t>:</w:t>
            </w:r>
            <w:r>
              <w:rPr>
                <w:b/>
                <w:spacing w:val="-13"/>
                <w:position w:val="1"/>
                <w:sz w:val="20"/>
              </w:rPr>
              <w:t> </w:t>
            </w:r>
            <w:r>
              <w:rPr>
                <w:position w:val="1"/>
                <w:sz w:val="20"/>
              </w:rPr>
              <w:t>Koltuk</w:t>
            </w:r>
            <w:r>
              <w:rPr>
                <w:spacing w:val="-13"/>
                <w:position w:val="1"/>
                <w:sz w:val="20"/>
              </w:rPr>
              <w:t> </w:t>
            </w:r>
            <w:r>
              <w:rPr>
                <w:position w:val="1"/>
                <w:sz w:val="20"/>
              </w:rPr>
              <w:t>ve</w:t>
            </w:r>
            <w:r>
              <w:rPr>
                <w:spacing w:val="-14"/>
                <w:position w:val="1"/>
                <w:sz w:val="20"/>
              </w:rPr>
              <w:t> </w:t>
            </w:r>
            <w:r>
              <w:rPr>
                <w:position w:val="1"/>
                <w:sz w:val="20"/>
              </w:rPr>
              <w:t>televizyon</w:t>
            </w:r>
            <w:r>
              <w:rPr>
                <w:spacing w:val="-13"/>
                <w:position w:val="1"/>
                <w:sz w:val="20"/>
              </w:rPr>
              <w:t> </w:t>
            </w:r>
            <w:r>
              <w:rPr>
                <w:position w:val="1"/>
                <w:sz w:val="20"/>
              </w:rPr>
              <w:t>kategorileri</w:t>
            </w:r>
            <w:r>
              <w:rPr>
                <w:spacing w:val="-14"/>
                <w:position w:val="1"/>
                <w:sz w:val="20"/>
              </w:rPr>
              <w:t> </w:t>
            </w:r>
            <w:r>
              <w:rPr>
                <w:position w:val="1"/>
                <w:sz w:val="20"/>
              </w:rPr>
              <w:t>için,</w:t>
            </w:r>
            <w:r>
              <w:rPr>
                <w:spacing w:val="-14"/>
                <w:position w:val="1"/>
                <w:sz w:val="20"/>
              </w:rPr>
              <w:t> </w:t>
            </w:r>
            <w:r>
              <w:rPr>
                <w:position w:val="1"/>
                <w:sz w:val="20"/>
              </w:rPr>
              <w:t>olumlu</w:t>
            </w:r>
            <w:r>
              <w:rPr>
                <w:spacing w:val="-13"/>
                <w:position w:val="1"/>
                <w:sz w:val="20"/>
              </w:rPr>
              <w:t> </w:t>
            </w:r>
            <w:r>
              <w:rPr>
                <w:position w:val="1"/>
                <w:sz w:val="20"/>
              </w:rPr>
              <w:t>yorumlar</w:t>
            </w:r>
            <w:r>
              <w:rPr>
                <w:spacing w:val="-13"/>
                <w:position w:val="1"/>
                <w:sz w:val="20"/>
              </w:rPr>
              <w:t> </w:t>
            </w:r>
            <w:r>
              <w:rPr>
                <w:position w:val="1"/>
                <w:sz w:val="20"/>
              </w:rPr>
              <w:t>ile</w:t>
            </w:r>
            <w:r>
              <w:rPr>
                <w:spacing w:val="-14"/>
                <w:position w:val="1"/>
                <w:sz w:val="20"/>
              </w:rPr>
              <w:t> </w:t>
            </w:r>
            <w:r>
              <w:rPr>
                <w:position w:val="1"/>
                <w:sz w:val="20"/>
              </w:rPr>
              <w:t>ürün</w:t>
            </w:r>
            <w:r>
              <w:rPr>
                <w:spacing w:val="-13"/>
                <w:position w:val="1"/>
                <w:sz w:val="20"/>
              </w:rPr>
              <w:t> </w:t>
            </w:r>
            <w:r>
              <w:rPr>
                <w:position w:val="1"/>
                <w:sz w:val="20"/>
              </w:rPr>
              <w:t>satışı</w:t>
            </w:r>
            <w:r>
              <w:rPr>
                <w:spacing w:val="-14"/>
                <w:position w:val="1"/>
                <w:sz w:val="20"/>
              </w:rPr>
              <w:t> </w:t>
            </w:r>
            <w:r>
              <w:rPr>
                <w:position w:val="1"/>
                <w:sz w:val="20"/>
              </w:rPr>
              <w:t>arasındaki</w:t>
            </w:r>
            <w:r>
              <w:rPr>
                <w:spacing w:val="-14"/>
                <w:position w:val="1"/>
                <w:sz w:val="20"/>
              </w:rPr>
              <w:t> </w:t>
            </w:r>
            <w:r>
              <w:rPr>
                <w:position w:val="1"/>
                <w:sz w:val="20"/>
              </w:rPr>
              <w:t>ilişki</w:t>
            </w:r>
            <w:r>
              <w:rPr>
                <w:spacing w:val="-14"/>
                <w:position w:val="1"/>
                <w:sz w:val="20"/>
              </w:rPr>
              <w:t> </w:t>
            </w:r>
            <w:r>
              <w:rPr>
                <w:position w:val="1"/>
                <w:sz w:val="20"/>
              </w:rPr>
              <w:t>farklılık </w:t>
            </w:r>
            <w:r>
              <w:rPr>
                <w:sz w:val="20"/>
              </w:rPr>
              <w:t>gösterir.</w:t>
            </w:r>
          </w:p>
        </w:tc>
        <w:tc>
          <w:tcPr>
            <w:tcW w:w="846" w:type="dxa"/>
            <w:tcBorders>
              <w:top w:val="single" w:sz="4" w:space="0" w:color="000000"/>
            </w:tcBorders>
          </w:tcPr>
          <w:p>
            <w:pPr>
              <w:pStyle w:val="TableParagraph"/>
              <w:spacing w:before="115"/>
              <w:ind w:left="91" w:right="91"/>
              <w:jc w:val="center"/>
              <w:rPr>
                <w:sz w:val="20"/>
              </w:rPr>
            </w:pPr>
            <w:r>
              <w:rPr>
                <w:sz w:val="20"/>
              </w:rPr>
              <w:t>(-)</w:t>
            </w:r>
          </w:p>
        </w:tc>
      </w:tr>
    </w:tbl>
    <w:p>
      <w:pPr>
        <w:spacing w:after="0"/>
        <w:jc w:val="center"/>
        <w:rPr>
          <w:sz w:val="20"/>
        </w:rPr>
        <w:sectPr>
          <w:pgSz w:w="12240" w:h="15840"/>
          <w:pgMar w:header="718" w:footer="0" w:top="1300" w:bottom="280" w:left="1720" w:right="820"/>
        </w:sectPr>
      </w:pPr>
    </w:p>
    <w:p>
      <w:pPr>
        <w:pStyle w:val="BodyText"/>
        <w:spacing w:before="7"/>
        <w:ind w:left="0"/>
        <w:jc w:val="left"/>
        <w:rPr>
          <w:sz w:val="9"/>
        </w:rPr>
      </w:pP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93"/>
        <w:gridCol w:w="753"/>
      </w:tblGrid>
      <w:tr>
        <w:trPr>
          <w:trHeight w:val="448" w:hRule="atLeast"/>
        </w:trPr>
        <w:tc>
          <w:tcPr>
            <w:tcW w:w="8193" w:type="dxa"/>
            <w:tcBorders>
              <w:bottom w:val="single" w:sz="4" w:space="0" w:color="000000"/>
            </w:tcBorders>
          </w:tcPr>
          <w:p>
            <w:pPr>
              <w:pStyle w:val="TableParagraph"/>
              <w:spacing w:line="218" w:lineRule="exact" w:before="12"/>
              <w:ind w:left="148" w:right="111"/>
              <w:rPr>
                <w:sz w:val="20"/>
              </w:rPr>
            </w:pPr>
            <w:r>
              <w:rPr>
                <w:b/>
                <w:position w:val="1"/>
                <w:sz w:val="20"/>
              </w:rPr>
              <w:t>H</w:t>
            </w:r>
            <w:r>
              <w:rPr>
                <w:b/>
                <w:sz w:val="13"/>
              </w:rPr>
              <w:t>8f</w:t>
            </w:r>
            <w:r>
              <w:rPr>
                <w:b/>
                <w:position w:val="1"/>
                <w:sz w:val="20"/>
              </w:rPr>
              <w:t>: </w:t>
            </w:r>
            <w:r>
              <w:rPr>
                <w:position w:val="1"/>
                <w:sz w:val="20"/>
              </w:rPr>
              <w:t>Televizyon ve dizüstü kategorileri için, olumlu yorumlar ile ürün satışı arasındaki ilişki </w:t>
            </w:r>
            <w:r>
              <w:rPr>
                <w:sz w:val="20"/>
              </w:rPr>
              <w:t>farklılık gösterir.</w:t>
            </w:r>
          </w:p>
        </w:tc>
        <w:tc>
          <w:tcPr>
            <w:tcW w:w="753" w:type="dxa"/>
            <w:tcBorders>
              <w:bottom w:val="single" w:sz="4" w:space="0" w:color="000000"/>
            </w:tcBorders>
          </w:tcPr>
          <w:p>
            <w:pPr>
              <w:pStyle w:val="TableParagraph"/>
              <w:spacing w:before="106"/>
              <w:ind w:left="206"/>
              <w:rPr>
                <w:sz w:val="20"/>
              </w:rPr>
            </w:pPr>
            <w:r>
              <w:rPr>
                <w:sz w:val="20"/>
              </w:rPr>
              <w:t>(+)</w:t>
            </w:r>
          </w:p>
        </w:tc>
      </w:tr>
      <w:tr>
        <w:trPr>
          <w:trHeight w:val="460" w:hRule="atLeast"/>
        </w:trPr>
        <w:tc>
          <w:tcPr>
            <w:tcW w:w="8193" w:type="dxa"/>
            <w:tcBorders>
              <w:top w:val="single" w:sz="4" w:space="0" w:color="000000"/>
              <w:bottom w:val="single" w:sz="4" w:space="0" w:color="000000"/>
            </w:tcBorders>
          </w:tcPr>
          <w:p>
            <w:pPr>
              <w:pStyle w:val="TableParagraph"/>
              <w:spacing w:line="220" w:lineRule="exact" w:before="20"/>
              <w:ind w:left="148" w:right="111"/>
              <w:rPr>
                <w:sz w:val="20"/>
              </w:rPr>
            </w:pPr>
            <w:r>
              <w:rPr>
                <w:b/>
                <w:position w:val="1"/>
                <w:sz w:val="20"/>
              </w:rPr>
              <w:t>H</w:t>
            </w:r>
            <w:r>
              <w:rPr>
                <w:b/>
                <w:sz w:val="13"/>
              </w:rPr>
              <w:t>9a</w:t>
            </w:r>
            <w:r>
              <w:rPr>
                <w:b/>
                <w:position w:val="1"/>
                <w:sz w:val="20"/>
              </w:rPr>
              <w:t>:</w:t>
            </w:r>
            <w:r>
              <w:rPr>
                <w:b/>
                <w:spacing w:val="-11"/>
                <w:position w:val="1"/>
                <w:sz w:val="20"/>
              </w:rPr>
              <w:t> </w:t>
            </w:r>
            <w:r>
              <w:rPr>
                <w:position w:val="1"/>
                <w:sz w:val="20"/>
              </w:rPr>
              <w:t>Mobilya</w:t>
            </w:r>
            <w:r>
              <w:rPr>
                <w:spacing w:val="-13"/>
                <w:position w:val="1"/>
                <w:sz w:val="20"/>
              </w:rPr>
              <w:t> </w:t>
            </w:r>
            <w:r>
              <w:rPr>
                <w:position w:val="1"/>
                <w:sz w:val="20"/>
              </w:rPr>
              <w:t>ve</w:t>
            </w:r>
            <w:r>
              <w:rPr>
                <w:spacing w:val="-14"/>
                <w:position w:val="1"/>
                <w:sz w:val="20"/>
              </w:rPr>
              <w:t> </w:t>
            </w:r>
            <w:r>
              <w:rPr>
                <w:position w:val="1"/>
                <w:sz w:val="20"/>
              </w:rPr>
              <w:t>dizüstü</w:t>
            </w:r>
            <w:r>
              <w:rPr>
                <w:spacing w:val="-12"/>
                <w:position w:val="1"/>
                <w:sz w:val="20"/>
              </w:rPr>
              <w:t> </w:t>
            </w:r>
            <w:r>
              <w:rPr>
                <w:position w:val="1"/>
                <w:sz w:val="20"/>
              </w:rPr>
              <w:t>kategorileri</w:t>
            </w:r>
            <w:r>
              <w:rPr>
                <w:spacing w:val="-12"/>
                <w:position w:val="1"/>
                <w:sz w:val="20"/>
              </w:rPr>
              <w:t> </w:t>
            </w:r>
            <w:r>
              <w:rPr>
                <w:position w:val="1"/>
                <w:sz w:val="20"/>
              </w:rPr>
              <w:t>için,</w:t>
            </w:r>
            <w:r>
              <w:rPr>
                <w:spacing w:val="-12"/>
                <w:position w:val="1"/>
                <w:sz w:val="20"/>
              </w:rPr>
              <w:t> </w:t>
            </w:r>
            <w:r>
              <w:rPr>
                <w:position w:val="1"/>
                <w:sz w:val="20"/>
              </w:rPr>
              <w:t>olumsuz</w:t>
            </w:r>
            <w:r>
              <w:rPr>
                <w:spacing w:val="-13"/>
                <w:position w:val="1"/>
                <w:sz w:val="20"/>
              </w:rPr>
              <w:t> </w:t>
            </w:r>
            <w:r>
              <w:rPr>
                <w:position w:val="1"/>
                <w:sz w:val="20"/>
              </w:rPr>
              <w:t>yorumlar</w:t>
            </w:r>
            <w:r>
              <w:rPr>
                <w:spacing w:val="-15"/>
                <w:position w:val="1"/>
                <w:sz w:val="20"/>
              </w:rPr>
              <w:t> </w:t>
            </w:r>
            <w:r>
              <w:rPr>
                <w:position w:val="1"/>
                <w:sz w:val="20"/>
              </w:rPr>
              <w:t>ile</w:t>
            </w:r>
            <w:r>
              <w:rPr>
                <w:spacing w:val="-11"/>
                <w:position w:val="1"/>
                <w:sz w:val="20"/>
              </w:rPr>
              <w:t> </w:t>
            </w:r>
            <w:r>
              <w:rPr>
                <w:position w:val="1"/>
                <w:sz w:val="20"/>
              </w:rPr>
              <w:t>ürün</w:t>
            </w:r>
            <w:r>
              <w:rPr>
                <w:spacing w:val="-13"/>
                <w:position w:val="1"/>
                <w:sz w:val="20"/>
              </w:rPr>
              <w:t> </w:t>
            </w:r>
            <w:r>
              <w:rPr>
                <w:position w:val="1"/>
                <w:sz w:val="20"/>
              </w:rPr>
              <w:t>satışı</w:t>
            </w:r>
            <w:r>
              <w:rPr>
                <w:spacing w:val="-11"/>
                <w:position w:val="1"/>
                <w:sz w:val="20"/>
              </w:rPr>
              <w:t> </w:t>
            </w:r>
            <w:r>
              <w:rPr>
                <w:position w:val="1"/>
                <w:sz w:val="20"/>
              </w:rPr>
              <w:t>arasındaki</w:t>
            </w:r>
            <w:r>
              <w:rPr>
                <w:spacing w:val="-11"/>
                <w:position w:val="1"/>
                <w:sz w:val="20"/>
              </w:rPr>
              <w:t> </w:t>
            </w:r>
            <w:r>
              <w:rPr>
                <w:position w:val="1"/>
                <w:sz w:val="20"/>
              </w:rPr>
              <w:t>ilişki</w:t>
            </w:r>
            <w:r>
              <w:rPr>
                <w:spacing w:val="-14"/>
                <w:position w:val="1"/>
                <w:sz w:val="20"/>
              </w:rPr>
              <w:t> </w:t>
            </w:r>
            <w:r>
              <w:rPr>
                <w:position w:val="1"/>
                <w:sz w:val="20"/>
              </w:rPr>
              <w:t>farklılık </w:t>
            </w:r>
            <w:r>
              <w:rPr>
                <w:sz w:val="20"/>
              </w:rPr>
              <w:t>gösterir.</w:t>
            </w:r>
          </w:p>
        </w:tc>
        <w:tc>
          <w:tcPr>
            <w:tcW w:w="753" w:type="dxa"/>
            <w:tcBorders>
              <w:top w:val="single" w:sz="4" w:space="0" w:color="000000"/>
              <w:bottom w:val="single" w:sz="4" w:space="0" w:color="000000"/>
            </w:tcBorders>
          </w:tcPr>
          <w:p>
            <w:pPr>
              <w:pStyle w:val="TableParagraph"/>
              <w:spacing w:before="115"/>
              <w:ind w:left="230"/>
              <w:rPr>
                <w:sz w:val="20"/>
              </w:rPr>
            </w:pPr>
            <w:r>
              <w:rPr>
                <w:sz w:val="20"/>
              </w:rPr>
              <w:t>(-)</w:t>
            </w:r>
          </w:p>
        </w:tc>
      </w:tr>
      <w:tr>
        <w:trPr>
          <w:trHeight w:val="460" w:hRule="atLeast"/>
        </w:trPr>
        <w:tc>
          <w:tcPr>
            <w:tcW w:w="8193" w:type="dxa"/>
            <w:tcBorders>
              <w:top w:val="single" w:sz="4" w:space="0" w:color="000000"/>
              <w:bottom w:val="single" w:sz="4" w:space="0" w:color="000000"/>
            </w:tcBorders>
          </w:tcPr>
          <w:p>
            <w:pPr>
              <w:pStyle w:val="TableParagraph"/>
              <w:spacing w:line="220" w:lineRule="exact" w:before="20"/>
              <w:ind w:left="148" w:right="111"/>
              <w:rPr>
                <w:sz w:val="20"/>
              </w:rPr>
            </w:pPr>
            <w:r>
              <w:rPr>
                <w:b/>
                <w:position w:val="1"/>
                <w:sz w:val="20"/>
              </w:rPr>
              <w:t>H</w:t>
            </w:r>
            <w:r>
              <w:rPr>
                <w:b/>
                <w:sz w:val="13"/>
              </w:rPr>
              <w:t>9b</w:t>
            </w:r>
            <w:r>
              <w:rPr>
                <w:b/>
                <w:position w:val="1"/>
                <w:sz w:val="20"/>
              </w:rPr>
              <w:t>: </w:t>
            </w:r>
            <w:r>
              <w:rPr>
                <w:position w:val="1"/>
                <w:sz w:val="20"/>
              </w:rPr>
              <w:t>Mobilya ve koltuk kategorileri için, olumsuz yorumlar ile ürün satışı arasındaki ilişki farklılık </w:t>
            </w:r>
            <w:r>
              <w:rPr>
                <w:sz w:val="20"/>
              </w:rPr>
              <w:t>gösterir.</w:t>
            </w:r>
          </w:p>
        </w:tc>
        <w:tc>
          <w:tcPr>
            <w:tcW w:w="753" w:type="dxa"/>
            <w:tcBorders>
              <w:top w:val="single" w:sz="4" w:space="0" w:color="000000"/>
              <w:bottom w:val="single" w:sz="4" w:space="0" w:color="000000"/>
            </w:tcBorders>
          </w:tcPr>
          <w:p>
            <w:pPr>
              <w:pStyle w:val="TableParagraph"/>
              <w:spacing w:before="115"/>
              <w:ind w:left="206"/>
              <w:rPr>
                <w:sz w:val="20"/>
              </w:rPr>
            </w:pPr>
            <w:r>
              <w:rPr>
                <w:sz w:val="20"/>
              </w:rPr>
              <w:t>(+)</w:t>
            </w:r>
          </w:p>
        </w:tc>
      </w:tr>
      <w:tr>
        <w:trPr>
          <w:trHeight w:val="460" w:hRule="atLeast"/>
        </w:trPr>
        <w:tc>
          <w:tcPr>
            <w:tcW w:w="8193" w:type="dxa"/>
            <w:tcBorders>
              <w:top w:val="single" w:sz="4" w:space="0" w:color="000000"/>
              <w:bottom w:val="single" w:sz="4" w:space="0" w:color="000000"/>
            </w:tcBorders>
          </w:tcPr>
          <w:p>
            <w:pPr>
              <w:pStyle w:val="TableParagraph"/>
              <w:spacing w:line="220" w:lineRule="exact" w:before="20"/>
              <w:ind w:left="148" w:right="111"/>
              <w:rPr>
                <w:sz w:val="20"/>
              </w:rPr>
            </w:pPr>
            <w:r>
              <w:rPr>
                <w:b/>
                <w:position w:val="1"/>
                <w:sz w:val="20"/>
              </w:rPr>
              <w:t>H</w:t>
            </w:r>
            <w:r>
              <w:rPr>
                <w:b/>
                <w:sz w:val="13"/>
              </w:rPr>
              <w:t>9c</w:t>
            </w:r>
            <w:r>
              <w:rPr>
                <w:b/>
                <w:position w:val="1"/>
                <w:sz w:val="20"/>
              </w:rPr>
              <w:t>: </w:t>
            </w:r>
            <w:r>
              <w:rPr>
                <w:position w:val="1"/>
                <w:sz w:val="20"/>
              </w:rPr>
              <w:t>Mobilya ve televizyon kategorileri için, olumsuz yorumlar ile ürün satışı arasındaki ilişki </w:t>
            </w:r>
            <w:r>
              <w:rPr>
                <w:sz w:val="20"/>
              </w:rPr>
              <w:t>farklılık gösterir.</w:t>
            </w:r>
          </w:p>
        </w:tc>
        <w:tc>
          <w:tcPr>
            <w:tcW w:w="753" w:type="dxa"/>
            <w:tcBorders>
              <w:top w:val="single" w:sz="4" w:space="0" w:color="000000"/>
              <w:bottom w:val="single" w:sz="4" w:space="0" w:color="000000"/>
            </w:tcBorders>
          </w:tcPr>
          <w:p>
            <w:pPr>
              <w:pStyle w:val="TableParagraph"/>
              <w:spacing w:before="115"/>
              <w:ind w:left="230"/>
              <w:rPr>
                <w:sz w:val="20"/>
              </w:rPr>
            </w:pPr>
            <w:r>
              <w:rPr>
                <w:sz w:val="20"/>
              </w:rPr>
              <w:t>(-)</w:t>
            </w:r>
          </w:p>
        </w:tc>
      </w:tr>
      <w:tr>
        <w:trPr>
          <w:trHeight w:val="460" w:hRule="atLeast"/>
        </w:trPr>
        <w:tc>
          <w:tcPr>
            <w:tcW w:w="8193" w:type="dxa"/>
            <w:tcBorders>
              <w:top w:val="single" w:sz="4" w:space="0" w:color="000000"/>
              <w:bottom w:val="single" w:sz="4" w:space="0" w:color="000000"/>
            </w:tcBorders>
          </w:tcPr>
          <w:p>
            <w:pPr>
              <w:pStyle w:val="TableParagraph"/>
              <w:spacing w:line="220" w:lineRule="exact" w:before="20"/>
              <w:ind w:left="148" w:right="111"/>
              <w:rPr>
                <w:sz w:val="20"/>
              </w:rPr>
            </w:pPr>
            <w:r>
              <w:rPr>
                <w:b/>
                <w:position w:val="1"/>
                <w:sz w:val="20"/>
              </w:rPr>
              <w:t>H</w:t>
            </w:r>
            <w:r>
              <w:rPr>
                <w:b/>
                <w:sz w:val="13"/>
              </w:rPr>
              <w:t>9d</w:t>
            </w:r>
            <w:r>
              <w:rPr>
                <w:b/>
                <w:position w:val="1"/>
                <w:sz w:val="20"/>
              </w:rPr>
              <w:t>: </w:t>
            </w:r>
            <w:r>
              <w:rPr>
                <w:position w:val="1"/>
                <w:sz w:val="20"/>
              </w:rPr>
              <w:t>Koltuk ve dizüstü kategorileri için, olumsuz yorumlar ile ürün satışı arasındaki ilişki farklılık </w:t>
            </w:r>
            <w:r>
              <w:rPr>
                <w:sz w:val="20"/>
              </w:rPr>
              <w:t>gösterir.</w:t>
            </w:r>
          </w:p>
        </w:tc>
        <w:tc>
          <w:tcPr>
            <w:tcW w:w="753" w:type="dxa"/>
            <w:tcBorders>
              <w:top w:val="single" w:sz="4" w:space="0" w:color="000000"/>
              <w:bottom w:val="single" w:sz="4" w:space="0" w:color="000000"/>
            </w:tcBorders>
          </w:tcPr>
          <w:p>
            <w:pPr>
              <w:pStyle w:val="TableParagraph"/>
              <w:spacing w:before="115"/>
              <w:ind w:left="206"/>
              <w:rPr>
                <w:sz w:val="20"/>
              </w:rPr>
            </w:pPr>
            <w:r>
              <w:rPr>
                <w:sz w:val="20"/>
              </w:rPr>
              <w:t>(+)</w:t>
            </w:r>
          </w:p>
        </w:tc>
      </w:tr>
      <w:tr>
        <w:trPr>
          <w:trHeight w:val="460" w:hRule="atLeast"/>
        </w:trPr>
        <w:tc>
          <w:tcPr>
            <w:tcW w:w="8193" w:type="dxa"/>
            <w:tcBorders>
              <w:top w:val="single" w:sz="4" w:space="0" w:color="000000"/>
              <w:bottom w:val="single" w:sz="4" w:space="0" w:color="000000"/>
            </w:tcBorders>
          </w:tcPr>
          <w:p>
            <w:pPr>
              <w:pStyle w:val="TableParagraph"/>
              <w:spacing w:line="220" w:lineRule="exact" w:before="20"/>
              <w:ind w:left="148" w:right="111"/>
              <w:rPr>
                <w:sz w:val="20"/>
              </w:rPr>
            </w:pPr>
            <w:r>
              <w:rPr>
                <w:b/>
                <w:position w:val="1"/>
                <w:sz w:val="20"/>
              </w:rPr>
              <w:t>H</w:t>
            </w:r>
            <w:r>
              <w:rPr>
                <w:b/>
                <w:sz w:val="13"/>
              </w:rPr>
              <w:t>9e</w:t>
            </w:r>
            <w:r>
              <w:rPr>
                <w:b/>
                <w:position w:val="1"/>
                <w:sz w:val="20"/>
              </w:rPr>
              <w:t>: </w:t>
            </w:r>
            <w:r>
              <w:rPr>
                <w:position w:val="1"/>
                <w:sz w:val="20"/>
              </w:rPr>
              <w:t>Koltuk ve televizyon kategorileri için, olumsuz yorumlar ile ürün satışı arasındaki ilişki </w:t>
            </w:r>
            <w:r>
              <w:rPr>
                <w:sz w:val="20"/>
              </w:rPr>
              <w:t>farklılık gösterir.</w:t>
            </w:r>
          </w:p>
        </w:tc>
        <w:tc>
          <w:tcPr>
            <w:tcW w:w="753" w:type="dxa"/>
            <w:tcBorders>
              <w:top w:val="single" w:sz="4" w:space="0" w:color="000000"/>
              <w:bottom w:val="single" w:sz="4" w:space="0" w:color="000000"/>
            </w:tcBorders>
          </w:tcPr>
          <w:p>
            <w:pPr>
              <w:pStyle w:val="TableParagraph"/>
              <w:spacing w:before="115"/>
              <w:ind w:left="206"/>
              <w:rPr>
                <w:sz w:val="20"/>
              </w:rPr>
            </w:pPr>
            <w:r>
              <w:rPr>
                <w:sz w:val="20"/>
              </w:rPr>
              <w:t>(+)</w:t>
            </w:r>
          </w:p>
        </w:tc>
      </w:tr>
      <w:tr>
        <w:trPr>
          <w:trHeight w:val="457" w:hRule="atLeast"/>
        </w:trPr>
        <w:tc>
          <w:tcPr>
            <w:tcW w:w="8193" w:type="dxa"/>
            <w:tcBorders>
              <w:top w:val="single" w:sz="4" w:space="0" w:color="000000"/>
              <w:bottom w:val="single" w:sz="4" w:space="0" w:color="000000"/>
            </w:tcBorders>
          </w:tcPr>
          <w:p>
            <w:pPr>
              <w:pStyle w:val="TableParagraph"/>
              <w:spacing w:line="218" w:lineRule="exact" w:before="22"/>
              <w:ind w:left="148" w:right="546"/>
              <w:rPr>
                <w:sz w:val="20"/>
              </w:rPr>
            </w:pPr>
            <w:r>
              <w:rPr>
                <w:b/>
                <w:position w:val="1"/>
                <w:sz w:val="20"/>
              </w:rPr>
              <w:t>H</w:t>
            </w:r>
            <w:r>
              <w:rPr>
                <w:b/>
                <w:sz w:val="13"/>
              </w:rPr>
              <w:t>9f</w:t>
            </w:r>
            <w:r>
              <w:rPr>
                <w:b/>
                <w:position w:val="1"/>
                <w:sz w:val="20"/>
              </w:rPr>
              <w:t>: </w:t>
            </w:r>
            <w:r>
              <w:rPr>
                <w:position w:val="1"/>
                <w:sz w:val="20"/>
              </w:rPr>
              <w:t>Televizyon ve dizüstü kategorileri için, olumsuz yorumlar ile ürün satışı arasındaki ilişki </w:t>
            </w:r>
            <w:r>
              <w:rPr>
                <w:sz w:val="20"/>
              </w:rPr>
              <w:t>farklılık gösterir.</w:t>
            </w:r>
          </w:p>
        </w:tc>
        <w:tc>
          <w:tcPr>
            <w:tcW w:w="753" w:type="dxa"/>
            <w:tcBorders>
              <w:top w:val="single" w:sz="4" w:space="0" w:color="000000"/>
              <w:bottom w:val="single" w:sz="4" w:space="0" w:color="000000"/>
            </w:tcBorders>
          </w:tcPr>
          <w:p>
            <w:pPr>
              <w:pStyle w:val="TableParagraph"/>
              <w:spacing w:before="113"/>
              <w:ind w:left="230"/>
              <w:rPr>
                <w:sz w:val="20"/>
              </w:rPr>
            </w:pPr>
            <w:r>
              <w:rPr>
                <w:sz w:val="20"/>
              </w:rPr>
              <w:t>(-)</w:t>
            </w:r>
          </w:p>
        </w:tc>
      </w:tr>
      <w:tr>
        <w:trPr>
          <w:trHeight w:val="460" w:hRule="atLeast"/>
        </w:trPr>
        <w:tc>
          <w:tcPr>
            <w:tcW w:w="8193" w:type="dxa"/>
            <w:tcBorders>
              <w:top w:val="single" w:sz="4" w:space="0" w:color="000000"/>
              <w:bottom w:val="single" w:sz="4" w:space="0" w:color="000000"/>
            </w:tcBorders>
          </w:tcPr>
          <w:p>
            <w:pPr>
              <w:pStyle w:val="TableParagraph"/>
              <w:spacing w:line="220" w:lineRule="exact" w:before="20"/>
              <w:ind w:left="148" w:right="111"/>
              <w:rPr>
                <w:sz w:val="20"/>
              </w:rPr>
            </w:pPr>
            <w:r>
              <w:rPr>
                <w:b/>
                <w:position w:val="1"/>
                <w:sz w:val="20"/>
              </w:rPr>
              <w:t>H</w:t>
            </w:r>
            <w:r>
              <w:rPr>
                <w:b/>
                <w:sz w:val="13"/>
              </w:rPr>
              <w:t>10a</w:t>
            </w:r>
            <w:r>
              <w:rPr>
                <w:b/>
                <w:position w:val="1"/>
                <w:sz w:val="20"/>
              </w:rPr>
              <w:t>: </w:t>
            </w:r>
            <w:r>
              <w:rPr>
                <w:position w:val="1"/>
                <w:sz w:val="20"/>
              </w:rPr>
              <w:t>Mobilya ve dizüstü kategorileri için, nötr yorumlar ile ürün satışı arasındaki ilişki farklılık </w:t>
            </w:r>
            <w:r>
              <w:rPr>
                <w:sz w:val="20"/>
              </w:rPr>
              <w:t>gösterir.</w:t>
            </w:r>
          </w:p>
        </w:tc>
        <w:tc>
          <w:tcPr>
            <w:tcW w:w="753" w:type="dxa"/>
            <w:tcBorders>
              <w:top w:val="single" w:sz="4" w:space="0" w:color="000000"/>
              <w:bottom w:val="single" w:sz="4" w:space="0" w:color="000000"/>
            </w:tcBorders>
          </w:tcPr>
          <w:p>
            <w:pPr>
              <w:pStyle w:val="TableParagraph"/>
              <w:spacing w:before="115"/>
              <w:ind w:left="230"/>
              <w:rPr>
                <w:sz w:val="20"/>
              </w:rPr>
            </w:pPr>
            <w:r>
              <w:rPr>
                <w:sz w:val="20"/>
              </w:rPr>
              <w:t>(-)</w:t>
            </w:r>
          </w:p>
        </w:tc>
      </w:tr>
      <w:tr>
        <w:trPr>
          <w:trHeight w:val="461" w:hRule="atLeast"/>
        </w:trPr>
        <w:tc>
          <w:tcPr>
            <w:tcW w:w="8193" w:type="dxa"/>
            <w:tcBorders>
              <w:top w:val="single" w:sz="4" w:space="0" w:color="000000"/>
              <w:bottom w:val="single" w:sz="4" w:space="0" w:color="000000"/>
            </w:tcBorders>
          </w:tcPr>
          <w:p>
            <w:pPr>
              <w:pStyle w:val="TableParagraph"/>
              <w:spacing w:line="220" w:lineRule="exact" w:before="21"/>
              <w:ind w:left="148" w:right="111"/>
              <w:rPr>
                <w:sz w:val="20"/>
              </w:rPr>
            </w:pPr>
            <w:r>
              <w:rPr>
                <w:b/>
                <w:position w:val="1"/>
                <w:sz w:val="20"/>
              </w:rPr>
              <w:t>H</w:t>
            </w:r>
            <w:r>
              <w:rPr>
                <w:b/>
                <w:sz w:val="13"/>
              </w:rPr>
              <w:t>10b</w:t>
            </w:r>
            <w:r>
              <w:rPr>
                <w:b/>
                <w:position w:val="1"/>
                <w:sz w:val="20"/>
              </w:rPr>
              <w:t>: </w:t>
            </w:r>
            <w:r>
              <w:rPr>
                <w:position w:val="1"/>
                <w:sz w:val="20"/>
              </w:rPr>
              <w:t>Mobilya ve koltuk kategorileri için, nötr yorumlar ile ürün satışı arasındaki ilişki farklılık </w:t>
            </w:r>
            <w:r>
              <w:rPr>
                <w:sz w:val="20"/>
              </w:rPr>
              <w:t>gösterir.</w:t>
            </w:r>
          </w:p>
        </w:tc>
        <w:tc>
          <w:tcPr>
            <w:tcW w:w="753" w:type="dxa"/>
            <w:tcBorders>
              <w:top w:val="single" w:sz="4" w:space="0" w:color="000000"/>
              <w:bottom w:val="single" w:sz="4" w:space="0" w:color="000000"/>
            </w:tcBorders>
          </w:tcPr>
          <w:p>
            <w:pPr>
              <w:pStyle w:val="TableParagraph"/>
              <w:spacing w:before="116"/>
              <w:ind w:left="206"/>
              <w:rPr>
                <w:sz w:val="20"/>
              </w:rPr>
            </w:pPr>
            <w:r>
              <w:rPr>
                <w:sz w:val="20"/>
              </w:rPr>
              <w:t>(+)</w:t>
            </w:r>
          </w:p>
        </w:tc>
      </w:tr>
      <w:tr>
        <w:trPr>
          <w:trHeight w:val="460" w:hRule="atLeast"/>
        </w:trPr>
        <w:tc>
          <w:tcPr>
            <w:tcW w:w="8193" w:type="dxa"/>
            <w:tcBorders>
              <w:top w:val="single" w:sz="4" w:space="0" w:color="000000"/>
              <w:bottom w:val="single" w:sz="4" w:space="0" w:color="000000"/>
            </w:tcBorders>
          </w:tcPr>
          <w:p>
            <w:pPr>
              <w:pStyle w:val="TableParagraph"/>
              <w:spacing w:line="220" w:lineRule="exact" w:before="20"/>
              <w:ind w:left="148" w:right="111"/>
              <w:rPr>
                <w:sz w:val="20"/>
              </w:rPr>
            </w:pPr>
            <w:r>
              <w:rPr>
                <w:b/>
                <w:position w:val="1"/>
                <w:sz w:val="20"/>
              </w:rPr>
              <w:t>H</w:t>
            </w:r>
            <w:r>
              <w:rPr>
                <w:b/>
                <w:sz w:val="13"/>
              </w:rPr>
              <w:t>10c</w:t>
            </w:r>
            <w:r>
              <w:rPr>
                <w:b/>
                <w:position w:val="1"/>
                <w:sz w:val="20"/>
              </w:rPr>
              <w:t>:</w:t>
            </w:r>
            <w:r>
              <w:rPr>
                <w:b/>
                <w:spacing w:val="-8"/>
                <w:position w:val="1"/>
                <w:sz w:val="20"/>
              </w:rPr>
              <w:t> </w:t>
            </w:r>
            <w:r>
              <w:rPr>
                <w:position w:val="1"/>
                <w:sz w:val="20"/>
              </w:rPr>
              <w:t>Mobilya</w:t>
            </w:r>
            <w:r>
              <w:rPr>
                <w:spacing w:val="-9"/>
                <w:position w:val="1"/>
                <w:sz w:val="20"/>
              </w:rPr>
              <w:t> </w:t>
            </w:r>
            <w:r>
              <w:rPr>
                <w:position w:val="1"/>
                <w:sz w:val="20"/>
              </w:rPr>
              <w:t>ve</w:t>
            </w:r>
            <w:r>
              <w:rPr>
                <w:spacing w:val="-8"/>
                <w:position w:val="1"/>
                <w:sz w:val="20"/>
              </w:rPr>
              <w:t> </w:t>
            </w:r>
            <w:r>
              <w:rPr>
                <w:position w:val="1"/>
                <w:sz w:val="20"/>
              </w:rPr>
              <w:t>televizyon</w:t>
            </w:r>
            <w:r>
              <w:rPr>
                <w:spacing w:val="-10"/>
                <w:position w:val="1"/>
                <w:sz w:val="20"/>
              </w:rPr>
              <w:t> </w:t>
            </w:r>
            <w:r>
              <w:rPr>
                <w:position w:val="1"/>
                <w:sz w:val="20"/>
              </w:rPr>
              <w:t>kategorileri</w:t>
            </w:r>
            <w:r>
              <w:rPr>
                <w:spacing w:val="-9"/>
                <w:position w:val="1"/>
                <w:sz w:val="20"/>
              </w:rPr>
              <w:t> </w:t>
            </w:r>
            <w:r>
              <w:rPr>
                <w:position w:val="1"/>
                <w:sz w:val="20"/>
              </w:rPr>
              <w:t>için,</w:t>
            </w:r>
            <w:r>
              <w:rPr>
                <w:spacing w:val="-8"/>
                <w:position w:val="1"/>
                <w:sz w:val="20"/>
              </w:rPr>
              <w:t> </w:t>
            </w:r>
            <w:r>
              <w:rPr>
                <w:position w:val="1"/>
                <w:sz w:val="20"/>
              </w:rPr>
              <w:t>nötr</w:t>
            </w:r>
            <w:r>
              <w:rPr>
                <w:spacing w:val="-9"/>
                <w:position w:val="1"/>
                <w:sz w:val="20"/>
              </w:rPr>
              <w:t> </w:t>
            </w:r>
            <w:r>
              <w:rPr>
                <w:position w:val="1"/>
                <w:sz w:val="20"/>
              </w:rPr>
              <w:t>yorumlar</w:t>
            </w:r>
            <w:r>
              <w:rPr>
                <w:spacing w:val="-10"/>
                <w:position w:val="1"/>
                <w:sz w:val="20"/>
              </w:rPr>
              <w:t> </w:t>
            </w:r>
            <w:r>
              <w:rPr>
                <w:position w:val="1"/>
                <w:sz w:val="20"/>
              </w:rPr>
              <w:t>ile</w:t>
            </w:r>
            <w:r>
              <w:rPr>
                <w:spacing w:val="-9"/>
                <w:position w:val="1"/>
                <w:sz w:val="20"/>
              </w:rPr>
              <w:t> </w:t>
            </w:r>
            <w:r>
              <w:rPr>
                <w:position w:val="1"/>
                <w:sz w:val="20"/>
              </w:rPr>
              <w:t>ürün</w:t>
            </w:r>
            <w:r>
              <w:rPr>
                <w:spacing w:val="-8"/>
                <w:position w:val="1"/>
                <w:sz w:val="20"/>
              </w:rPr>
              <w:t> </w:t>
            </w:r>
            <w:r>
              <w:rPr>
                <w:position w:val="1"/>
                <w:sz w:val="20"/>
              </w:rPr>
              <w:t>satışı</w:t>
            </w:r>
            <w:r>
              <w:rPr>
                <w:spacing w:val="-8"/>
                <w:position w:val="1"/>
                <w:sz w:val="20"/>
              </w:rPr>
              <w:t> </w:t>
            </w:r>
            <w:r>
              <w:rPr>
                <w:position w:val="1"/>
                <w:sz w:val="20"/>
              </w:rPr>
              <w:t>arasındaki</w:t>
            </w:r>
            <w:r>
              <w:rPr>
                <w:spacing w:val="-9"/>
                <w:position w:val="1"/>
                <w:sz w:val="20"/>
              </w:rPr>
              <w:t> </w:t>
            </w:r>
            <w:r>
              <w:rPr>
                <w:position w:val="1"/>
                <w:sz w:val="20"/>
              </w:rPr>
              <w:t>ilişki</w:t>
            </w:r>
            <w:r>
              <w:rPr>
                <w:spacing w:val="-9"/>
                <w:position w:val="1"/>
                <w:sz w:val="20"/>
              </w:rPr>
              <w:t> </w:t>
            </w:r>
            <w:r>
              <w:rPr>
                <w:position w:val="1"/>
                <w:sz w:val="20"/>
              </w:rPr>
              <w:t>farklılık </w:t>
            </w:r>
            <w:r>
              <w:rPr>
                <w:sz w:val="20"/>
              </w:rPr>
              <w:t>gösterir.</w:t>
            </w:r>
          </w:p>
        </w:tc>
        <w:tc>
          <w:tcPr>
            <w:tcW w:w="753" w:type="dxa"/>
            <w:tcBorders>
              <w:top w:val="single" w:sz="4" w:space="0" w:color="000000"/>
              <w:bottom w:val="single" w:sz="4" w:space="0" w:color="000000"/>
            </w:tcBorders>
          </w:tcPr>
          <w:p>
            <w:pPr>
              <w:pStyle w:val="TableParagraph"/>
              <w:spacing w:before="115"/>
              <w:ind w:left="206"/>
              <w:rPr>
                <w:sz w:val="20"/>
              </w:rPr>
            </w:pPr>
            <w:r>
              <w:rPr>
                <w:sz w:val="20"/>
              </w:rPr>
              <w:t>(+)</w:t>
            </w:r>
          </w:p>
        </w:tc>
      </w:tr>
      <w:tr>
        <w:trPr>
          <w:trHeight w:val="460" w:hRule="atLeast"/>
        </w:trPr>
        <w:tc>
          <w:tcPr>
            <w:tcW w:w="8193" w:type="dxa"/>
            <w:tcBorders>
              <w:top w:val="single" w:sz="4" w:space="0" w:color="000000"/>
              <w:bottom w:val="single" w:sz="4" w:space="0" w:color="000000"/>
            </w:tcBorders>
          </w:tcPr>
          <w:p>
            <w:pPr>
              <w:pStyle w:val="TableParagraph"/>
              <w:spacing w:line="220" w:lineRule="exact" w:before="20"/>
              <w:ind w:left="148" w:right="111"/>
              <w:rPr>
                <w:sz w:val="20"/>
              </w:rPr>
            </w:pPr>
            <w:r>
              <w:rPr>
                <w:b/>
                <w:position w:val="1"/>
                <w:sz w:val="20"/>
              </w:rPr>
              <w:t>H</w:t>
            </w:r>
            <w:r>
              <w:rPr>
                <w:b/>
                <w:sz w:val="13"/>
              </w:rPr>
              <w:t>10d</w:t>
            </w:r>
            <w:r>
              <w:rPr>
                <w:b/>
                <w:position w:val="1"/>
                <w:sz w:val="20"/>
              </w:rPr>
              <w:t>: </w:t>
            </w:r>
            <w:r>
              <w:rPr>
                <w:position w:val="1"/>
                <w:sz w:val="20"/>
              </w:rPr>
              <w:t>Koltuk ve dizüstü kategorileri için, nötr yorumlar ile ürün satışı arasındaki ilişki farklılık </w:t>
            </w:r>
            <w:r>
              <w:rPr>
                <w:sz w:val="20"/>
              </w:rPr>
              <w:t>gösterir.</w:t>
            </w:r>
          </w:p>
        </w:tc>
        <w:tc>
          <w:tcPr>
            <w:tcW w:w="753" w:type="dxa"/>
            <w:tcBorders>
              <w:top w:val="single" w:sz="4" w:space="0" w:color="000000"/>
              <w:bottom w:val="single" w:sz="4" w:space="0" w:color="000000"/>
            </w:tcBorders>
          </w:tcPr>
          <w:p>
            <w:pPr>
              <w:pStyle w:val="TableParagraph"/>
              <w:spacing w:before="115"/>
              <w:ind w:left="206"/>
              <w:rPr>
                <w:sz w:val="20"/>
              </w:rPr>
            </w:pPr>
            <w:r>
              <w:rPr>
                <w:sz w:val="20"/>
              </w:rPr>
              <w:t>(+)</w:t>
            </w:r>
          </w:p>
        </w:tc>
      </w:tr>
      <w:tr>
        <w:trPr>
          <w:trHeight w:val="457" w:hRule="atLeast"/>
        </w:trPr>
        <w:tc>
          <w:tcPr>
            <w:tcW w:w="8193" w:type="dxa"/>
            <w:tcBorders>
              <w:top w:val="single" w:sz="4" w:space="0" w:color="000000"/>
              <w:bottom w:val="single" w:sz="4" w:space="0" w:color="000000"/>
            </w:tcBorders>
          </w:tcPr>
          <w:p>
            <w:pPr>
              <w:pStyle w:val="TableParagraph"/>
              <w:spacing w:line="218" w:lineRule="exact" w:before="22"/>
              <w:ind w:left="148" w:right="111"/>
              <w:rPr>
                <w:sz w:val="20"/>
              </w:rPr>
            </w:pPr>
            <w:r>
              <w:rPr>
                <w:b/>
                <w:position w:val="1"/>
                <w:sz w:val="20"/>
              </w:rPr>
              <w:t>H</w:t>
            </w:r>
            <w:r>
              <w:rPr>
                <w:b/>
                <w:sz w:val="13"/>
              </w:rPr>
              <w:t>10e</w:t>
            </w:r>
            <w:r>
              <w:rPr>
                <w:b/>
                <w:position w:val="1"/>
                <w:sz w:val="20"/>
              </w:rPr>
              <w:t>: </w:t>
            </w:r>
            <w:r>
              <w:rPr>
                <w:position w:val="1"/>
                <w:sz w:val="20"/>
              </w:rPr>
              <w:t>Koltuk ve televizyon kategorileri için, nötr yorumlar ile ürün satışı arasındaki ilişki farklılık </w:t>
            </w:r>
            <w:r>
              <w:rPr>
                <w:sz w:val="20"/>
              </w:rPr>
              <w:t>gösterir.</w:t>
            </w:r>
          </w:p>
        </w:tc>
        <w:tc>
          <w:tcPr>
            <w:tcW w:w="753" w:type="dxa"/>
            <w:tcBorders>
              <w:top w:val="single" w:sz="4" w:space="0" w:color="000000"/>
              <w:bottom w:val="single" w:sz="4" w:space="0" w:color="000000"/>
            </w:tcBorders>
          </w:tcPr>
          <w:p>
            <w:pPr>
              <w:pStyle w:val="TableParagraph"/>
              <w:spacing w:before="115"/>
              <w:ind w:left="206"/>
              <w:rPr>
                <w:sz w:val="20"/>
              </w:rPr>
            </w:pPr>
            <w:r>
              <w:rPr>
                <w:sz w:val="20"/>
              </w:rPr>
              <w:t>(+)</w:t>
            </w:r>
          </w:p>
        </w:tc>
      </w:tr>
      <w:tr>
        <w:trPr>
          <w:trHeight w:val="460" w:hRule="atLeast"/>
        </w:trPr>
        <w:tc>
          <w:tcPr>
            <w:tcW w:w="8193" w:type="dxa"/>
            <w:tcBorders>
              <w:top w:val="single" w:sz="4" w:space="0" w:color="000000"/>
              <w:bottom w:val="single" w:sz="4" w:space="0" w:color="000000"/>
            </w:tcBorders>
          </w:tcPr>
          <w:p>
            <w:pPr>
              <w:pStyle w:val="TableParagraph"/>
              <w:spacing w:line="220" w:lineRule="exact" w:before="20"/>
              <w:ind w:left="148" w:right="142"/>
              <w:rPr>
                <w:sz w:val="20"/>
              </w:rPr>
            </w:pPr>
            <w:r>
              <w:rPr>
                <w:b/>
                <w:position w:val="1"/>
                <w:sz w:val="20"/>
              </w:rPr>
              <w:t>H</w:t>
            </w:r>
            <w:r>
              <w:rPr>
                <w:b/>
                <w:sz w:val="13"/>
              </w:rPr>
              <w:t>10f</w:t>
            </w:r>
            <w:r>
              <w:rPr>
                <w:b/>
                <w:position w:val="1"/>
                <w:sz w:val="20"/>
              </w:rPr>
              <w:t>: </w:t>
            </w:r>
            <w:r>
              <w:rPr>
                <w:position w:val="1"/>
                <w:sz w:val="20"/>
              </w:rPr>
              <w:t>Televizyon ve dizüstü kategorileri için, nötr yorumlar ile ürün satışı arasındaki ilişki farklılık </w:t>
            </w:r>
            <w:r>
              <w:rPr>
                <w:sz w:val="20"/>
              </w:rPr>
              <w:t>gösterir.</w:t>
            </w:r>
          </w:p>
        </w:tc>
        <w:tc>
          <w:tcPr>
            <w:tcW w:w="753" w:type="dxa"/>
            <w:tcBorders>
              <w:top w:val="single" w:sz="4" w:space="0" w:color="000000"/>
              <w:bottom w:val="single" w:sz="4" w:space="0" w:color="000000"/>
            </w:tcBorders>
          </w:tcPr>
          <w:p>
            <w:pPr>
              <w:pStyle w:val="TableParagraph"/>
              <w:spacing w:before="115"/>
              <w:ind w:left="206"/>
              <w:rPr>
                <w:sz w:val="20"/>
              </w:rPr>
            </w:pPr>
            <w:r>
              <w:rPr>
                <w:sz w:val="20"/>
              </w:rPr>
              <w:t>(+)</w:t>
            </w:r>
          </w:p>
        </w:tc>
      </w:tr>
      <w:tr>
        <w:trPr>
          <w:trHeight w:val="460" w:hRule="atLeast"/>
        </w:trPr>
        <w:tc>
          <w:tcPr>
            <w:tcW w:w="8193" w:type="dxa"/>
            <w:tcBorders>
              <w:top w:val="single" w:sz="4" w:space="0" w:color="000000"/>
              <w:bottom w:val="single" w:sz="8" w:space="0" w:color="000000"/>
            </w:tcBorders>
          </w:tcPr>
          <w:p>
            <w:pPr>
              <w:pStyle w:val="TableParagraph"/>
              <w:ind w:left="122"/>
              <w:rPr>
                <w:sz w:val="20"/>
              </w:rPr>
            </w:pPr>
            <w:r>
              <w:rPr>
                <w:sz w:val="20"/>
              </w:rPr>
              <w:t>* (+): sonuçlar hipotezi desteklemektedir.</w:t>
            </w:r>
          </w:p>
          <w:p>
            <w:pPr>
              <w:pStyle w:val="TableParagraph"/>
              <w:spacing w:line="210" w:lineRule="exact"/>
              <w:ind w:left="273"/>
              <w:rPr>
                <w:sz w:val="20"/>
              </w:rPr>
            </w:pPr>
            <w:r>
              <w:rPr>
                <w:sz w:val="20"/>
              </w:rPr>
              <w:t>(-): sonuçlar hipotezi desteklememektedir.</w:t>
            </w:r>
          </w:p>
        </w:tc>
        <w:tc>
          <w:tcPr>
            <w:tcW w:w="753" w:type="dxa"/>
            <w:tcBorders>
              <w:top w:val="single" w:sz="4" w:space="0" w:color="000000"/>
              <w:bottom w:val="single" w:sz="8" w:space="0" w:color="000000"/>
            </w:tcBorders>
          </w:tcPr>
          <w:p>
            <w:pPr>
              <w:pStyle w:val="TableParagraph"/>
              <w:ind w:left="0"/>
              <w:rPr>
                <w:sz w:val="20"/>
              </w:rPr>
            </w:pPr>
          </w:p>
        </w:tc>
      </w:tr>
    </w:tbl>
    <w:p>
      <w:pPr>
        <w:pStyle w:val="Heading1"/>
        <w:numPr>
          <w:ilvl w:val="1"/>
          <w:numId w:val="2"/>
        </w:numPr>
        <w:tabs>
          <w:tab w:pos="1677" w:val="left" w:leader="none"/>
        </w:tabs>
        <w:spacing w:line="240" w:lineRule="auto" w:before="119" w:after="0"/>
        <w:ind w:left="1676" w:right="0" w:hanging="421"/>
        <w:jc w:val="both"/>
      </w:pPr>
      <w:r>
        <w:rPr/>
        <w:t>Tartışma</w:t>
      </w:r>
    </w:p>
    <w:p>
      <w:pPr>
        <w:pStyle w:val="BodyText"/>
        <w:spacing w:line="360" w:lineRule="auto" w:before="139"/>
        <w:ind w:right="310" w:firstLine="708"/>
      </w:pPr>
      <w:r>
        <w:rPr/>
        <w:t>Bilişim teknolojilerinin ve internetin gelişmesi ve yaygınlaşması ile birlikte perakendecilik sektörü değişime uğramış ve sadece internet üzerinden satış yapan e- perakendeciler ortaya çıkmaya başlamıştır. 1995’te ticari hayatına kitap satan bir e- perakendeci olarak başlayan Amazon, takip eden yıllarda hızla büyümüş ve günümüzün en büyük perakendecisi haline gelmiştir. Amazon’un başarısının arkasındaki en önemli unsurlardan bir tanesi, tüketicilerin sosyal iletişim süreçlerinde internetin alacağı rolü önceden fark ederek ilk günden itibaren tüketicilerin ürünler hakkındaki yorumlarını ürün sayfalarında yayınlamasıdır. Amazon, tüketicilerin yüzyıllardır alışveriş sürecinde bilgi eksikliklerini ve kararsızlıklarını tanıdıklarına danışarak gidermeye çalıştıkları gerçeğinden yola çıkarak, müşterilerine daha iyi alışveriş süreci yaşatmak adına diğer müşterilerin tavsiyelerini onlara sunmuştur. Olumsuz yorumları dahi yayınlaması o günlerde yanlış bir eylem olarak görülse de bu uygulamanın doğru olduğu pek çok e-ticaret şirketi tarafından fark edilmiş ve tüketici yorumlarını yayınlamak e-ticaretin bir nevi altın kuralı haline gelmiştir.</w:t>
      </w:r>
    </w:p>
    <w:p>
      <w:pPr>
        <w:spacing w:after="0" w:line="360" w:lineRule="auto"/>
        <w:sectPr>
          <w:pgSz w:w="12240" w:h="15840"/>
          <w:pgMar w:header="718" w:footer="0" w:top="1300" w:bottom="280" w:left="1720" w:right="820"/>
        </w:sectPr>
      </w:pPr>
    </w:p>
    <w:p>
      <w:pPr>
        <w:pStyle w:val="BodyText"/>
        <w:spacing w:line="360" w:lineRule="auto" w:before="100"/>
        <w:ind w:right="308" w:firstLine="708"/>
      </w:pPr>
      <w:r>
        <w:rPr/>
        <w:t>Amazon’un tüketici yorumlarını yayınlaması, 2000’li yılların başlarında pazarlama literatüründe yer almaya başlayan elektronik ağızdan ağıza iletişim çalışmaları için yeni bir veri madeninin ortaya çıkmasına neden olmuştur. Amazon’un sunduğu büyük veri fırsatını fark</w:t>
      </w:r>
      <w:r>
        <w:rPr>
          <w:spacing w:val="-9"/>
        </w:rPr>
        <w:t> </w:t>
      </w:r>
      <w:r>
        <w:rPr/>
        <w:t>eden</w:t>
      </w:r>
      <w:r>
        <w:rPr>
          <w:spacing w:val="-7"/>
        </w:rPr>
        <w:t> </w:t>
      </w:r>
      <w:r>
        <w:rPr/>
        <w:t>araştırmacılar</w:t>
      </w:r>
      <w:r>
        <w:rPr>
          <w:spacing w:val="-7"/>
        </w:rPr>
        <w:t> </w:t>
      </w:r>
      <w:r>
        <w:rPr/>
        <w:t>Amazon’un</w:t>
      </w:r>
      <w:r>
        <w:rPr>
          <w:spacing w:val="-8"/>
        </w:rPr>
        <w:t> </w:t>
      </w:r>
      <w:r>
        <w:rPr/>
        <w:t>“etinden</w:t>
      </w:r>
      <w:r>
        <w:rPr>
          <w:spacing w:val="-8"/>
        </w:rPr>
        <w:t> </w:t>
      </w:r>
      <w:r>
        <w:rPr/>
        <w:t>sütünden”</w:t>
      </w:r>
      <w:r>
        <w:rPr>
          <w:spacing w:val="-8"/>
        </w:rPr>
        <w:t> </w:t>
      </w:r>
      <w:r>
        <w:rPr/>
        <w:t>faydalanmış</w:t>
      </w:r>
      <w:r>
        <w:rPr>
          <w:spacing w:val="-7"/>
        </w:rPr>
        <w:t> </w:t>
      </w:r>
      <w:r>
        <w:rPr/>
        <w:t>ve</w:t>
      </w:r>
      <w:r>
        <w:rPr>
          <w:spacing w:val="-9"/>
        </w:rPr>
        <w:t> </w:t>
      </w:r>
      <w:r>
        <w:rPr/>
        <w:t>son</w:t>
      </w:r>
      <w:r>
        <w:rPr>
          <w:spacing w:val="-7"/>
        </w:rPr>
        <w:t> </w:t>
      </w:r>
      <w:r>
        <w:rPr/>
        <w:t>15</w:t>
      </w:r>
      <w:r>
        <w:rPr>
          <w:spacing w:val="-8"/>
        </w:rPr>
        <w:t> </w:t>
      </w:r>
      <w:r>
        <w:rPr/>
        <w:t>yıllık</w:t>
      </w:r>
      <w:r>
        <w:rPr>
          <w:spacing w:val="-10"/>
        </w:rPr>
        <w:t> </w:t>
      </w:r>
      <w:r>
        <w:rPr/>
        <w:t>süreçte onlarca araştırma yapmışlardır. Bu araştırmaların bir bölümü yorumların tüketici kararını nasıl etkilediğini incelerken, bir bölümü de ürün yorumlarının Amazon’daki ürün</w:t>
      </w:r>
      <w:r>
        <w:rPr>
          <w:spacing w:val="-26"/>
        </w:rPr>
        <w:t> </w:t>
      </w:r>
      <w:r>
        <w:rPr/>
        <w:t>satışlarına etkisini</w:t>
      </w:r>
      <w:r>
        <w:rPr>
          <w:spacing w:val="-1"/>
        </w:rPr>
        <w:t> </w:t>
      </w:r>
      <w:r>
        <w:rPr/>
        <w:t>incelemiştir.</w:t>
      </w:r>
    </w:p>
    <w:p>
      <w:pPr>
        <w:pStyle w:val="BodyText"/>
        <w:spacing w:line="360" w:lineRule="auto"/>
        <w:ind w:right="309" w:firstLine="708"/>
      </w:pPr>
      <w:r>
        <w:rPr/>
        <w:t>Bu çalışmada da ürünlere yapılan yorumlar ile ürün satışları arasındaki ilişki incelenmiştir. Bu amaçla, Amazon’dan toplanan 4 ürün kategorisinden (mobilya, koltuk, televizyon</w:t>
      </w:r>
      <w:r>
        <w:rPr>
          <w:spacing w:val="-7"/>
        </w:rPr>
        <w:t> </w:t>
      </w:r>
      <w:r>
        <w:rPr/>
        <w:t>ve</w:t>
      </w:r>
      <w:r>
        <w:rPr>
          <w:spacing w:val="-4"/>
        </w:rPr>
        <w:t> </w:t>
      </w:r>
      <w:r>
        <w:rPr/>
        <w:t>dizüstü</w:t>
      </w:r>
      <w:r>
        <w:rPr>
          <w:spacing w:val="-5"/>
        </w:rPr>
        <w:t> </w:t>
      </w:r>
      <w:r>
        <w:rPr/>
        <w:t>bilgisayar)</w:t>
      </w:r>
      <w:r>
        <w:rPr>
          <w:spacing w:val="-6"/>
        </w:rPr>
        <w:t> </w:t>
      </w:r>
      <w:r>
        <w:rPr/>
        <w:t>toplam</w:t>
      </w:r>
      <w:r>
        <w:rPr>
          <w:spacing w:val="-3"/>
        </w:rPr>
        <w:t> </w:t>
      </w:r>
      <w:r>
        <w:rPr/>
        <w:t>161</w:t>
      </w:r>
      <w:r>
        <w:rPr>
          <w:spacing w:val="-5"/>
        </w:rPr>
        <w:t> </w:t>
      </w:r>
      <w:r>
        <w:rPr/>
        <w:t>ürüne</w:t>
      </w:r>
      <w:r>
        <w:rPr>
          <w:spacing w:val="-7"/>
        </w:rPr>
        <w:t> </w:t>
      </w:r>
      <w:r>
        <w:rPr/>
        <w:t>ait</w:t>
      </w:r>
      <w:r>
        <w:rPr>
          <w:spacing w:val="-5"/>
        </w:rPr>
        <w:t> </w:t>
      </w:r>
      <w:r>
        <w:rPr/>
        <w:t>31</w:t>
      </w:r>
      <w:r>
        <w:rPr>
          <w:spacing w:val="-3"/>
        </w:rPr>
        <w:t> </w:t>
      </w:r>
      <w:r>
        <w:rPr/>
        <w:t>haftalık</w:t>
      </w:r>
      <w:r>
        <w:rPr>
          <w:spacing w:val="-6"/>
        </w:rPr>
        <w:t> </w:t>
      </w:r>
      <w:r>
        <w:rPr/>
        <w:t>panel</w:t>
      </w:r>
      <w:r>
        <w:rPr>
          <w:spacing w:val="-5"/>
        </w:rPr>
        <w:t> </w:t>
      </w:r>
      <w:r>
        <w:rPr/>
        <w:t>veri,</w:t>
      </w:r>
      <w:r>
        <w:rPr>
          <w:spacing w:val="-5"/>
        </w:rPr>
        <w:t> </w:t>
      </w:r>
      <w:r>
        <w:rPr/>
        <w:t>genelleştirilmiş momentler yöntemi ile analiz edilmiştir. Literatürdeki benzer çalışmalar gibi, yorumların hacim ve değerlik özelliklerine odaklanılmıştır. Araştırmanın bulguları, hacim-satış ilişkisi ve değerlik-satış ilişkisi bağlamında, iki alt başlıkta</w:t>
      </w:r>
      <w:r>
        <w:rPr>
          <w:spacing w:val="-5"/>
        </w:rPr>
        <w:t> </w:t>
      </w:r>
      <w:r>
        <w:rPr/>
        <w:t>tartışılacaktır.</w:t>
      </w:r>
    </w:p>
    <w:p>
      <w:pPr>
        <w:pStyle w:val="Heading1"/>
        <w:numPr>
          <w:ilvl w:val="2"/>
          <w:numId w:val="2"/>
        </w:numPr>
        <w:tabs>
          <w:tab w:pos="1857" w:val="left" w:leader="none"/>
        </w:tabs>
        <w:spacing w:line="240" w:lineRule="auto" w:before="161" w:after="0"/>
        <w:ind w:left="1856" w:right="0" w:hanging="601"/>
        <w:jc w:val="both"/>
      </w:pPr>
      <w:r>
        <w:rPr/>
        <w:t>Hacim-Satış</w:t>
      </w:r>
      <w:r>
        <w:rPr>
          <w:spacing w:val="-1"/>
        </w:rPr>
        <w:t> </w:t>
      </w:r>
      <w:r>
        <w:rPr/>
        <w:t>İlişkisi</w:t>
      </w:r>
    </w:p>
    <w:p>
      <w:pPr>
        <w:pStyle w:val="BodyText"/>
        <w:spacing w:line="360" w:lineRule="auto" w:before="137"/>
        <w:ind w:right="309" w:firstLine="708"/>
      </w:pPr>
      <w:r>
        <w:rPr/>
        <w:t>Literatürde, yorum sayısı ile ölçülen hacim ve satışlar arasında pozitif ilişki olduğu varsayılmaktadır (Floyd vd., 2014). Bu varsayımdan yola çıkarak oluşturulan hipotezin test edilmesi sonucu elde edilen bulgular, literatürdeki çoğu çalışmanın bulgularıyla örtüşmekte (örn.</w:t>
      </w:r>
      <w:r>
        <w:rPr>
          <w:spacing w:val="-10"/>
        </w:rPr>
        <w:t> </w:t>
      </w:r>
      <w:r>
        <w:rPr/>
        <w:t>Chevalier</w:t>
      </w:r>
      <w:r>
        <w:rPr>
          <w:spacing w:val="-11"/>
        </w:rPr>
        <w:t> </w:t>
      </w:r>
      <w:r>
        <w:rPr/>
        <w:t>ve</w:t>
      </w:r>
      <w:r>
        <w:rPr>
          <w:spacing w:val="-11"/>
        </w:rPr>
        <w:t> </w:t>
      </w:r>
      <w:r>
        <w:rPr/>
        <w:t>Mayzlin,</w:t>
      </w:r>
      <w:r>
        <w:rPr>
          <w:spacing w:val="-10"/>
        </w:rPr>
        <w:t> </w:t>
      </w:r>
      <w:r>
        <w:rPr/>
        <w:t>2006;</w:t>
      </w:r>
      <w:r>
        <w:rPr>
          <w:spacing w:val="-10"/>
        </w:rPr>
        <w:t> </w:t>
      </w:r>
      <w:r>
        <w:rPr/>
        <w:t>Amblee</w:t>
      </w:r>
      <w:r>
        <w:rPr>
          <w:spacing w:val="-9"/>
        </w:rPr>
        <w:t> </w:t>
      </w:r>
      <w:r>
        <w:rPr/>
        <w:t>ve</w:t>
      </w:r>
      <w:r>
        <w:rPr>
          <w:spacing w:val="-9"/>
        </w:rPr>
        <w:t> </w:t>
      </w:r>
      <w:r>
        <w:rPr/>
        <w:t>Bui,</w:t>
      </w:r>
      <w:r>
        <w:rPr>
          <w:spacing w:val="-7"/>
        </w:rPr>
        <w:t> </w:t>
      </w:r>
      <w:r>
        <w:rPr/>
        <w:t>2011;</w:t>
      </w:r>
      <w:r>
        <w:rPr>
          <w:spacing w:val="-10"/>
        </w:rPr>
        <w:t> </w:t>
      </w:r>
      <w:r>
        <w:rPr/>
        <w:t>Cui</w:t>
      </w:r>
      <w:r>
        <w:rPr>
          <w:spacing w:val="-10"/>
        </w:rPr>
        <w:t> </w:t>
      </w:r>
      <w:r>
        <w:rPr/>
        <w:t>vd.,</w:t>
      </w:r>
      <w:r>
        <w:rPr>
          <w:spacing w:val="-10"/>
        </w:rPr>
        <w:t> </w:t>
      </w:r>
      <w:r>
        <w:rPr/>
        <w:t>2012;</w:t>
      </w:r>
      <w:r>
        <w:rPr>
          <w:spacing w:val="-10"/>
        </w:rPr>
        <w:t> </w:t>
      </w:r>
      <w:r>
        <w:rPr/>
        <w:t>Jabr</w:t>
      </w:r>
      <w:r>
        <w:rPr>
          <w:spacing w:val="-9"/>
        </w:rPr>
        <w:t> </w:t>
      </w:r>
      <w:r>
        <w:rPr/>
        <w:t>ve</w:t>
      </w:r>
      <w:r>
        <w:rPr>
          <w:spacing w:val="-11"/>
        </w:rPr>
        <w:t> </w:t>
      </w:r>
      <w:r>
        <w:rPr/>
        <w:t>Zheng,</w:t>
      </w:r>
      <w:r>
        <w:rPr>
          <w:spacing w:val="-10"/>
        </w:rPr>
        <w:t> </w:t>
      </w:r>
      <w:r>
        <w:rPr/>
        <w:t>2014; Bao ve Chang, 2016; Chen vd., 2017; Fink vd., 2018; Bao vd., 2019) ve yorum sayısı ile satışlar arasında pozitif ilişki olduğuna işaret etmektedir (bk. Tablo 9). Ayrıca, Tablo 10’da yer alan sonuçlar da yorum sayısı ile satışlar arasındaki pozitif ilişkinin örneklemdeki tüm ürün kategorileri için geçerli olduğunu ortaya</w:t>
      </w:r>
      <w:r>
        <w:rPr>
          <w:spacing w:val="-4"/>
        </w:rPr>
        <w:t> </w:t>
      </w:r>
      <w:r>
        <w:rPr/>
        <w:t>koymaktadır.</w:t>
      </w:r>
    </w:p>
    <w:p>
      <w:pPr>
        <w:pStyle w:val="BodyText"/>
        <w:spacing w:line="360" w:lineRule="auto" w:before="1"/>
        <w:ind w:right="309" w:firstLine="708"/>
      </w:pPr>
      <w:r>
        <w:rPr/>
        <w:t>Örneklemde bulunan 4 farklı ürün kategorisinde hacim-satış ilişkisinin farklı olup olmadığı da test edilmiştir. Bu doğrultuda, tahmin edilen modeldeki ilgili katsayılar</w:t>
      </w:r>
      <w:r>
        <w:rPr>
          <w:spacing w:val="-37"/>
        </w:rPr>
        <w:t> </w:t>
      </w:r>
      <w:r>
        <w:rPr/>
        <w:t>farklılık analizine tabi tutulmuştur (bk. Tablo 12). Analizler sonucunda elde edilen bulgular, koltuk kategorisi ile diğer kategoriler arasında yorum sayısı ile satışlar arasındaki ilişki anlamında farklılık olduğunu göstermektedir. Fakat, bulgular diğer üç kategori arasında toplam yorum sayısı ile satışlar arasındaki ilişkinin farklılaştığına dair yeterli kanıt sunamamıştır. Hacim- satış ilişkisinde, koltuk kategorisinin diğer kategorilerden farklılaştığının tespit edilmesi literatürdeki çalışmaların sonuçlarıyla benzerlik taşımaktadır (örn. Davis ve Khazanchi, 2008; Cui vd., 2012; Li vd., 2016). Ancak, diğer üç kategori arasında hacim-satış</w:t>
      </w:r>
      <w:r>
        <w:rPr>
          <w:spacing w:val="12"/>
        </w:rPr>
        <w:t> </w:t>
      </w:r>
      <w:r>
        <w:rPr/>
        <w:t>ilişkisinin</w:t>
      </w:r>
    </w:p>
    <w:p>
      <w:pPr>
        <w:spacing w:after="0" w:line="360" w:lineRule="auto"/>
        <w:sectPr>
          <w:pgSz w:w="12240" w:h="15840"/>
          <w:pgMar w:header="718" w:footer="0" w:top="1300" w:bottom="280" w:left="1720" w:right="820"/>
        </w:sectPr>
      </w:pPr>
    </w:p>
    <w:p>
      <w:pPr>
        <w:pStyle w:val="BodyText"/>
        <w:spacing w:line="360" w:lineRule="auto" w:before="100"/>
        <w:ind w:right="310"/>
      </w:pPr>
      <w:r>
        <w:rPr/>
        <w:t>farklılaştığına yönelik yeterli kanıtın bulunmamış olması ise, bu diğer kategoriler bağlamında, literatürdeki bu çalışmaların sonuçlarıyla örtüşmemektedir. Sadece koltuk kategorisi ile diğer kategoriler arasında farklılık tespit edilmiş olsa dahi, bulguların, hacim- satış ilişkisinin ürün kategorisine göre farklılaşabildiği görüşünü desteklediği düşünülmektedir.</w:t>
      </w:r>
    </w:p>
    <w:p>
      <w:pPr>
        <w:pStyle w:val="BodyText"/>
        <w:spacing w:line="360" w:lineRule="auto"/>
        <w:ind w:right="309" w:firstLine="708"/>
      </w:pPr>
      <w:r>
        <w:rPr/>
        <w:t>Koltuk ve mobilya kategorilerinin deneyim ürünleri grubuna, dizüstü bilgisayar ve televizyon kategorilerinin ise araştırma ürünleri grubuna yakın olduğu göz önünde bulundurulduğunda, araştırmanın bulguları, araştırma ve deneyim ürün grupları arasında değil de deneyim ürünleri içerisindeki ürün kategorileri arasında farklılık olduğuna işaret etmektedir. Diğer bir ifadeyle, farklılık, araştırma-deneyim grupları gibi makro düzeyde değil daha mikro düzeyde kendisini göstermektedir. Sonuç itibariyle, hacim-satış ilişkisinde kategoriler arasındaki farklılıklara dair bulgular, literatürde odaklanılan araştırma-deneyim ürün</w:t>
      </w:r>
      <w:r>
        <w:rPr>
          <w:spacing w:val="-14"/>
        </w:rPr>
        <w:t> </w:t>
      </w:r>
      <w:r>
        <w:rPr/>
        <w:t>grupları</w:t>
      </w:r>
      <w:r>
        <w:rPr>
          <w:spacing w:val="-13"/>
        </w:rPr>
        <w:t> </w:t>
      </w:r>
      <w:r>
        <w:rPr/>
        <w:t>kıyaslamasının</w:t>
      </w:r>
      <w:r>
        <w:rPr>
          <w:spacing w:val="-12"/>
        </w:rPr>
        <w:t> </w:t>
      </w:r>
      <w:r>
        <w:rPr/>
        <w:t>(bknz.</w:t>
      </w:r>
      <w:r>
        <w:rPr>
          <w:spacing w:val="-12"/>
        </w:rPr>
        <w:t> </w:t>
      </w:r>
      <w:r>
        <w:rPr/>
        <w:t>Bölüm</w:t>
      </w:r>
      <w:r>
        <w:rPr>
          <w:spacing w:val="-12"/>
        </w:rPr>
        <w:t> </w:t>
      </w:r>
      <w:r>
        <w:rPr/>
        <w:t>2.2.2.1.)</w:t>
      </w:r>
      <w:r>
        <w:rPr>
          <w:spacing w:val="-14"/>
        </w:rPr>
        <w:t> </w:t>
      </w:r>
      <w:r>
        <w:rPr/>
        <w:t>ötesine</w:t>
      </w:r>
      <w:r>
        <w:rPr>
          <w:spacing w:val="-11"/>
        </w:rPr>
        <w:t> </w:t>
      </w:r>
      <w:r>
        <w:rPr/>
        <w:t>geçilerek</w:t>
      </w:r>
      <w:r>
        <w:rPr>
          <w:spacing w:val="-12"/>
        </w:rPr>
        <w:t> </w:t>
      </w:r>
      <w:r>
        <w:rPr/>
        <w:t>daha</w:t>
      </w:r>
      <w:r>
        <w:rPr>
          <w:spacing w:val="-9"/>
        </w:rPr>
        <w:t> </w:t>
      </w:r>
      <w:r>
        <w:rPr/>
        <w:t>mikro</w:t>
      </w:r>
      <w:r>
        <w:rPr>
          <w:spacing w:val="-13"/>
        </w:rPr>
        <w:t> </w:t>
      </w:r>
      <w:r>
        <w:rPr/>
        <w:t>düzey</w:t>
      </w:r>
      <w:r>
        <w:rPr>
          <w:spacing w:val="-10"/>
        </w:rPr>
        <w:t> </w:t>
      </w:r>
      <w:r>
        <w:rPr/>
        <w:t>ürün kategorilerinin bu bağlamda kıyaslanması gerektiğini</w:t>
      </w:r>
      <w:r>
        <w:rPr>
          <w:spacing w:val="-3"/>
        </w:rPr>
        <w:t> </w:t>
      </w:r>
      <w:r>
        <w:rPr/>
        <w:t>göstermektedir.</w:t>
      </w:r>
    </w:p>
    <w:p>
      <w:pPr>
        <w:pStyle w:val="Heading1"/>
        <w:numPr>
          <w:ilvl w:val="2"/>
          <w:numId w:val="2"/>
        </w:numPr>
        <w:tabs>
          <w:tab w:pos="1857" w:val="left" w:leader="none"/>
        </w:tabs>
        <w:spacing w:line="240" w:lineRule="auto" w:before="160" w:after="0"/>
        <w:ind w:left="1856" w:right="0" w:hanging="601"/>
        <w:jc w:val="both"/>
      </w:pPr>
      <w:r>
        <w:rPr/>
        <w:t>Değerlik-Satış</w:t>
      </w:r>
      <w:r>
        <w:rPr>
          <w:spacing w:val="-1"/>
        </w:rPr>
        <w:t> </w:t>
      </w:r>
      <w:r>
        <w:rPr/>
        <w:t>İlişkisi</w:t>
      </w:r>
    </w:p>
    <w:p>
      <w:pPr>
        <w:pStyle w:val="BodyText"/>
        <w:spacing w:line="360" w:lineRule="auto" w:before="139"/>
        <w:ind w:right="309" w:firstLine="708"/>
      </w:pPr>
      <w:r>
        <w:rPr/>
        <w:t>Yorumların değerlik özelliği tüketicilerin beğenisini yansıtan öğelerle ilgilidir. Olumlu/olumsuz ifadeler, bu ifadeleri yansıtan değerlendirme puanları ve tüm puanların ortalaması değerlik bileşenleri olarak değerlendirilmektedir (Li ve Shimizu, 2018). Bu bağlamda, bu çalışma için, her bir ürün için değerlendirme puanlarının dağılımı ve bu puanlarının ortalaması veri setine dahil edilmiştir. Sonrasında, değerlendirme puanları olumlu (4 ve 5 yıldız), olumsuz (1 ve 2 yıldız) ve nötr (3 yıldız) olmak üzere üç grupta toplanmıştır.</w:t>
      </w:r>
    </w:p>
    <w:p>
      <w:pPr>
        <w:pStyle w:val="BodyText"/>
        <w:spacing w:line="360" w:lineRule="auto"/>
        <w:ind w:right="311" w:firstLine="708"/>
      </w:pPr>
      <w:r>
        <w:rPr/>
        <w:t>Tablo 9’da sunulan sonuçlara göre, ortalama yorum puanı ile satışlar arasında</w:t>
      </w:r>
      <w:r>
        <w:rPr>
          <w:spacing w:val="-42"/>
        </w:rPr>
        <w:t> </w:t>
      </w:r>
      <w:r>
        <w:rPr/>
        <w:t>pozitif ilişki tespit edilmiştir. Bu bulgu, literatürdeki bazı çalışmaların sonuçlarıyla benzerlik taşırken (örn. Chevalier ve Mayzlin, 2006; Gu vd., 2013; Jabr ve Zheng, 2014; Suryadi ve Kim, 2018; Li ve Shimizu, 2018; Bao vd., 2019), bazı çalışmaların sonuçlarıyla da örtüşmemektedir</w:t>
      </w:r>
      <w:r>
        <w:rPr>
          <w:spacing w:val="-10"/>
        </w:rPr>
        <w:t> </w:t>
      </w:r>
      <w:r>
        <w:rPr/>
        <w:t>(örn.</w:t>
      </w:r>
      <w:r>
        <w:rPr>
          <w:spacing w:val="-10"/>
        </w:rPr>
        <w:t> </w:t>
      </w:r>
      <w:r>
        <w:rPr/>
        <w:t>Liu,</w:t>
      </w:r>
      <w:r>
        <w:rPr>
          <w:spacing w:val="-8"/>
        </w:rPr>
        <w:t> </w:t>
      </w:r>
      <w:r>
        <w:rPr/>
        <w:t>2006;</w:t>
      </w:r>
      <w:r>
        <w:rPr>
          <w:spacing w:val="-9"/>
        </w:rPr>
        <w:t> </w:t>
      </w:r>
      <w:r>
        <w:rPr/>
        <w:t>Duan</w:t>
      </w:r>
      <w:r>
        <w:rPr>
          <w:spacing w:val="-10"/>
        </w:rPr>
        <w:t> </w:t>
      </w:r>
      <w:r>
        <w:rPr/>
        <w:t>vd.,</w:t>
      </w:r>
      <w:r>
        <w:rPr>
          <w:spacing w:val="-9"/>
        </w:rPr>
        <w:t> </w:t>
      </w:r>
      <w:r>
        <w:rPr/>
        <w:t>2008b;</w:t>
      </w:r>
      <w:r>
        <w:rPr>
          <w:spacing w:val="-9"/>
        </w:rPr>
        <w:t> </w:t>
      </w:r>
      <w:r>
        <w:rPr/>
        <w:t>Forman</w:t>
      </w:r>
      <w:r>
        <w:rPr>
          <w:spacing w:val="-10"/>
        </w:rPr>
        <w:t> </w:t>
      </w:r>
      <w:r>
        <w:rPr/>
        <w:t>vd.,</w:t>
      </w:r>
      <w:r>
        <w:rPr>
          <w:spacing w:val="-9"/>
        </w:rPr>
        <w:t> </w:t>
      </w:r>
      <w:r>
        <w:rPr/>
        <w:t>2008;</w:t>
      </w:r>
      <w:r>
        <w:rPr>
          <w:spacing w:val="-9"/>
        </w:rPr>
        <w:t> </w:t>
      </w:r>
      <w:r>
        <w:rPr/>
        <w:t>Amblee</w:t>
      </w:r>
      <w:r>
        <w:rPr>
          <w:spacing w:val="-11"/>
        </w:rPr>
        <w:t> </w:t>
      </w:r>
      <w:r>
        <w:rPr/>
        <w:t>ve</w:t>
      </w:r>
      <w:r>
        <w:rPr>
          <w:spacing w:val="-10"/>
        </w:rPr>
        <w:t> </w:t>
      </w:r>
      <w:r>
        <w:rPr/>
        <w:t>Bui,</w:t>
      </w:r>
      <w:r>
        <w:rPr>
          <w:spacing w:val="-9"/>
        </w:rPr>
        <w:t> </w:t>
      </w:r>
      <w:r>
        <w:rPr/>
        <w:t>2011; Bharadwaj vd., 2017; Cao vd., 2018). Ayrıca, Tablo 10’da yer alan sonuçlar da ortalama yorum puanı ile satışlar arasındaki pozitif ilişkinin örneklemdeki tüm ürün kategorileri için geçerli olduğunu ortaya koymaktadır. Ayrıca, ilgili katsayılara bakıldığında mobilya ve koltuk</w:t>
      </w:r>
      <w:r>
        <w:rPr>
          <w:spacing w:val="21"/>
        </w:rPr>
        <w:t> </w:t>
      </w:r>
      <w:r>
        <w:rPr/>
        <w:t>kategorilerine</w:t>
      </w:r>
      <w:r>
        <w:rPr>
          <w:spacing w:val="23"/>
        </w:rPr>
        <w:t> </w:t>
      </w:r>
      <w:r>
        <w:rPr/>
        <w:t>ait</w:t>
      </w:r>
      <w:r>
        <w:rPr>
          <w:spacing w:val="25"/>
        </w:rPr>
        <w:t> </w:t>
      </w:r>
      <w:r>
        <w:rPr/>
        <w:t>katsayıların</w:t>
      </w:r>
      <w:r>
        <w:rPr>
          <w:spacing w:val="23"/>
        </w:rPr>
        <w:t> </w:t>
      </w:r>
      <w:r>
        <w:rPr/>
        <w:t>televizyon</w:t>
      </w:r>
      <w:r>
        <w:rPr>
          <w:spacing w:val="24"/>
        </w:rPr>
        <w:t> </w:t>
      </w:r>
      <w:r>
        <w:rPr/>
        <w:t>ve</w:t>
      </w:r>
      <w:r>
        <w:rPr>
          <w:spacing w:val="20"/>
        </w:rPr>
        <w:t> </w:t>
      </w:r>
      <w:r>
        <w:rPr/>
        <w:t>dizüstü</w:t>
      </w:r>
      <w:r>
        <w:rPr>
          <w:spacing w:val="23"/>
        </w:rPr>
        <w:t> </w:t>
      </w:r>
      <w:r>
        <w:rPr/>
        <w:t>kategorilerine</w:t>
      </w:r>
      <w:r>
        <w:rPr>
          <w:spacing w:val="23"/>
        </w:rPr>
        <w:t> </w:t>
      </w:r>
      <w:r>
        <w:rPr/>
        <w:t>ait</w:t>
      </w:r>
      <w:r>
        <w:rPr>
          <w:spacing w:val="23"/>
        </w:rPr>
        <w:t> </w:t>
      </w:r>
      <w:r>
        <w:rPr/>
        <w:t>katsayılardan</w:t>
      </w:r>
    </w:p>
    <w:p>
      <w:pPr>
        <w:spacing w:after="0" w:line="360" w:lineRule="auto"/>
        <w:sectPr>
          <w:pgSz w:w="12240" w:h="15840"/>
          <w:pgMar w:header="718" w:footer="0" w:top="1300" w:bottom="280" w:left="1720" w:right="820"/>
        </w:sectPr>
      </w:pPr>
    </w:p>
    <w:p>
      <w:pPr>
        <w:pStyle w:val="BodyText"/>
        <w:spacing w:line="360" w:lineRule="auto" w:before="100"/>
        <w:ind w:right="308"/>
      </w:pPr>
      <w:r>
        <w:rPr/>
        <w:t>oldukça küçük olduğu görülmektedir. Dolayısıyla, koltuk ve mobilya kategorilerinin deneyim ürünleri grubuna, dizüstü bilgisayar ve televizyon kategorilerinin ise araştırma ürünleri</w:t>
      </w:r>
      <w:r>
        <w:rPr>
          <w:spacing w:val="-11"/>
        </w:rPr>
        <w:t> </w:t>
      </w:r>
      <w:r>
        <w:rPr/>
        <w:t>grubuna</w:t>
      </w:r>
      <w:r>
        <w:rPr>
          <w:spacing w:val="-12"/>
        </w:rPr>
        <w:t> </w:t>
      </w:r>
      <w:r>
        <w:rPr/>
        <w:t>yakın</w:t>
      </w:r>
      <w:r>
        <w:rPr>
          <w:spacing w:val="-11"/>
        </w:rPr>
        <w:t> </w:t>
      </w:r>
      <w:r>
        <w:rPr/>
        <w:t>olduğu</w:t>
      </w:r>
      <w:r>
        <w:rPr>
          <w:spacing w:val="-11"/>
        </w:rPr>
        <w:t> </w:t>
      </w:r>
      <w:r>
        <w:rPr/>
        <w:t>göz</w:t>
      </w:r>
      <w:r>
        <w:rPr>
          <w:spacing w:val="-12"/>
        </w:rPr>
        <w:t> </w:t>
      </w:r>
      <w:r>
        <w:rPr/>
        <w:t>önünde</w:t>
      </w:r>
      <w:r>
        <w:rPr>
          <w:spacing w:val="-12"/>
        </w:rPr>
        <w:t> </w:t>
      </w:r>
      <w:r>
        <w:rPr/>
        <w:t>bulundurulduğunda,</w:t>
      </w:r>
      <w:r>
        <w:rPr>
          <w:spacing w:val="-11"/>
        </w:rPr>
        <w:t> </w:t>
      </w:r>
      <w:r>
        <w:rPr/>
        <w:t>bu</w:t>
      </w:r>
      <w:r>
        <w:rPr>
          <w:spacing w:val="-11"/>
        </w:rPr>
        <w:t> </w:t>
      </w:r>
      <w:r>
        <w:rPr/>
        <w:t>bulguyla,</w:t>
      </w:r>
      <w:r>
        <w:rPr>
          <w:spacing w:val="-9"/>
        </w:rPr>
        <w:t> </w:t>
      </w:r>
      <w:r>
        <w:rPr/>
        <w:t>ortalama</w:t>
      </w:r>
      <w:r>
        <w:rPr>
          <w:spacing w:val="-12"/>
        </w:rPr>
        <w:t> </w:t>
      </w:r>
      <w:r>
        <w:rPr/>
        <w:t>yorum puanının araştırma ürünlerinin satışlarını deneyim ürünlerinin satışlarından daha fazla etkilediği</w:t>
      </w:r>
      <w:r>
        <w:rPr>
          <w:spacing w:val="-14"/>
        </w:rPr>
        <w:t> </w:t>
      </w:r>
      <w:r>
        <w:rPr/>
        <w:t>söylenebilir.</w:t>
      </w:r>
      <w:r>
        <w:rPr>
          <w:spacing w:val="-14"/>
        </w:rPr>
        <w:t> </w:t>
      </w:r>
      <w:r>
        <w:rPr/>
        <w:t>Bu</w:t>
      </w:r>
      <w:r>
        <w:rPr>
          <w:spacing w:val="-14"/>
        </w:rPr>
        <w:t> </w:t>
      </w:r>
      <w:r>
        <w:rPr/>
        <w:t>sonuç,</w:t>
      </w:r>
      <w:r>
        <w:rPr>
          <w:spacing w:val="-14"/>
        </w:rPr>
        <w:t> </w:t>
      </w:r>
      <w:r>
        <w:rPr/>
        <w:t>Cui</w:t>
      </w:r>
      <w:r>
        <w:rPr>
          <w:spacing w:val="-14"/>
        </w:rPr>
        <w:t> </w:t>
      </w:r>
      <w:r>
        <w:rPr/>
        <w:t>vd.</w:t>
      </w:r>
      <w:r>
        <w:rPr>
          <w:spacing w:val="-17"/>
        </w:rPr>
        <w:t> </w:t>
      </w:r>
      <w:r>
        <w:rPr/>
        <w:t>(2012)</w:t>
      </w:r>
      <w:r>
        <w:rPr>
          <w:spacing w:val="-15"/>
        </w:rPr>
        <w:t> </w:t>
      </w:r>
      <w:r>
        <w:rPr/>
        <w:t>ve</w:t>
      </w:r>
      <w:r>
        <w:rPr>
          <w:spacing w:val="-15"/>
        </w:rPr>
        <w:t> </w:t>
      </w:r>
      <w:r>
        <w:rPr/>
        <w:t>Li</w:t>
      </w:r>
      <w:r>
        <w:rPr>
          <w:spacing w:val="-14"/>
        </w:rPr>
        <w:t> </w:t>
      </w:r>
      <w:r>
        <w:rPr/>
        <w:t>vd.nin</w:t>
      </w:r>
      <w:r>
        <w:rPr>
          <w:spacing w:val="-14"/>
        </w:rPr>
        <w:t> </w:t>
      </w:r>
      <w:r>
        <w:rPr/>
        <w:t>(2016)</w:t>
      </w:r>
      <w:r>
        <w:rPr>
          <w:spacing w:val="-15"/>
        </w:rPr>
        <w:t> </w:t>
      </w:r>
      <w:r>
        <w:rPr/>
        <w:t>sonuçlarıyla</w:t>
      </w:r>
      <w:r>
        <w:rPr>
          <w:spacing w:val="-14"/>
        </w:rPr>
        <w:t> </w:t>
      </w:r>
      <w:r>
        <w:rPr/>
        <w:t>örtüşmekte, Moen vd.nin (2017) sonuçlarının tam aksini</w:t>
      </w:r>
      <w:r>
        <w:rPr>
          <w:spacing w:val="-3"/>
        </w:rPr>
        <w:t> </w:t>
      </w:r>
      <w:r>
        <w:rPr/>
        <w:t>belirtmektedir.</w:t>
      </w:r>
    </w:p>
    <w:p>
      <w:pPr>
        <w:pStyle w:val="BodyText"/>
        <w:spacing w:line="360" w:lineRule="auto" w:before="1"/>
        <w:ind w:right="309" w:firstLine="708"/>
      </w:pPr>
      <w:r>
        <w:rPr/>
        <w:t>Ürün kategorileri arasında, ortalama yorum puanı ile satışlar arasındaki ilişkinin farklılaşıp farklılaşmadığını ortaya koymak için yapılan analizlerin sonuçlarına göre ise; mobilya ile koltuk kategorileri dışındaki tüm ikili karşılaştırmalarda ortalama yorum puanı ile satışlar arasındaki ilişki farklılık göstermektedir (bk. Tablo 12). Bu bulgular, literatürde farklı</w:t>
      </w:r>
      <w:r>
        <w:rPr>
          <w:spacing w:val="-17"/>
        </w:rPr>
        <w:t> </w:t>
      </w:r>
      <w:r>
        <w:rPr/>
        <w:t>ürün</w:t>
      </w:r>
      <w:r>
        <w:rPr>
          <w:spacing w:val="-18"/>
        </w:rPr>
        <w:t> </w:t>
      </w:r>
      <w:r>
        <w:rPr/>
        <w:t>kategorileri</w:t>
      </w:r>
      <w:r>
        <w:rPr>
          <w:spacing w:val="-14"/>
        </w:rPr>
        <w:t> </w:t>
      </w:r>
      <w:r>
        <w:rPr/>
        <w:t>arasında</w:t>
      </w:r>
      <w:r>
        <w:rPr>
          <w:spacing w:val="-17"/>
        </w:rPr>
        <w:t> </w:t>
      </w:r>
      <w:r>
        <w:rPr/>
        <w:t>ortalama</w:t>
      </w:r>
      <w:r>
        <w:rPr>
          <w:spacing w:val="-18"/>
        </w:rPr>
        <w:t> </w:t>
      </w:r>
      <w:r>
        <w:rPr/>
        <w:t>yorum</w:t>
      </w:r>
      <w:r>
        <w:rPr>
          <w:spacing w:val="-16"/>
        </w:rPr>
        <w:t> </w:t>
      </w:r>
      <w:r>
        <w:rPr/>
        <w:t>puanı</w:t>
      </w:r>
      <w:r>
        <w:rPr>
          <w:spacing w:val="-16"/>
        </w:rPr>
        <w:t> </w:t>
      </w:r>
      <w:r>
        <w:rPr/>
        <w:t>ile</w:t>
      </w:r>
      <w:r>
        <w:rPr>
          <w:spacing w:val="-17"/>
        </w:rPr>
        <w:t> </w:t>
      </w:r>
      <w:r>
        <w:rPr/>
        <w:t>satışlar</w:t>
      </w:r>
      <w:r>
        <w:rPr>
          <w:spacing w:val="-18"/>
        </w:rPr>
        <w:t> </w:t>
      </w:r>
      <w:r>
        <w:rPr/>
        <w:t>arasındaki</w:t>
      </w:r>
      <w:r>
        <w:rPr>
          <w:spacing w:val="-16"/>
        </w:rPr>
        <w:t> </w:t>
      </w:r>
      <w:r>
        <w:rPr/>
        <w:t>ilişkinin</w:t>
      </w:r>
      <w:r>
        <w:rPr>
          <w:spacing w:val="-16"/>
        </w:rPr>
        <w:t> </w:t>
      </w:r>
      <w:r>
        <w:rPr/>
        <w:t>farklılık gösterdiği sonucuna ulaşan çalışmaların sonuçlarıyla örtüşmektedir (örn. Ghose ve</w:t>
      </w:r>
      <w:r>
        <w:rPr>
          <w:spacing w:val="-40"/>
        </w:rPr>
        <w:t> </w:t>
      </w:r>
      <w:r>
        <w:rPr/>
        <w:t>Ipeirotis, 2011; Cui vd., 2012; Li vd., 2016; Moen vd.,</w:t>
      </w:r>
      <w:r>
        <w:rPr>
          <w:spacing w:val="-1"/>
        </w:rPr>
        <w:t> </w:t>
      </w:r>
      <w:r>
        <w:rPr/>
        <w:t>2017).</w:t>
      </w:r>
    </w:p>
    <w:p>
      <w:pPr>
        <w:pStyle w:val="BodyText"/>
        <w:spacing w:line="360" w:lineRule="auto"/>
        <w:ind w:right="308" w:firstLine="708"/>
      </w:pPr>
      <w:r>
        <w:rPr/>
        <w:t>Analiz sonuçlarına göre olumlu yorum sayısındaki artış ile satışlar arasında pozitif ilişki bulunmuştur (bk. Tablo 9). Bu bulgu, olumlu yorumların satışları artırdığı varsayımını (Moen vd., 2017) doğrulamakta ve olumlu yorumlar ile satışlar arasında pozitif ilişki bulan çalışmaların (örn. Cui vd. 2012; Suryadi ve Kim, 2018) sonuçları ile benzerlik göstermektedir. Tablo 10’da görüldüğü üzere, mobilya, koltuk ve televizyon</w:t>
      </w:r>
      <w:r>
        <w:rPr>
          <w:spacing w:val="-24"/>
        </w:rPr>
        <w:t> </w:t>
      </w:r>
      <w:r>
        <w:rPr/>
        <w:t>kategorilerinde olumlu yorumlar ile satışlar arasında pozitif ilişki tespit edilmiş olup, dizüstü bilgisayar kategorisinde olumlu yorumlar ile satışlar arasında anlamlı bir ilişki bulunamamıştır. Dolayısıyla, olumlu yorumların satışları artırdığı varsayımı tüm ürün kategorileri için doğrulanamamıştır.</w:t>
      </w:r>
      <w:r>
        <w:rPr>
          <w:spacing w:val="-13"/>
        </w:rPr>
        <w:t> </w:t>
      </w:r>
      <w:r>
        <w:rPr/>
        <w:t>Olumlu</w:t>
      </w:r>
      <w:r>
        <w:rPr>
          <w:spacing w:val="-12"/>
        </w:rPr>
        <w:t> </w:t>
      </w:r>
      <w:r>
        <w:rPr/>
        <w:t>yorumlar</w:t>
      </w:r>
      <w:r>
        <w:rPr>
          <w:spacing w:val="-14"/>
        </w:rPr>
        <w:t> </w:t>
      </w:r>
      <w:r>
        <w:rPr/>
        <w:t>ile</w:t>
      </w:r>
      <w:r>
        <w:rPr>
          <w:spacing w:val="-13"/>
        </w:rPr>
        <w:t> </w:t>
      </w:r>
      <w:r>
        <w:rPr/>
        <w:t>satışlar</w:t>
      </w:r>
      <w:r>
        <w:rPr>
          <w:spacing w:val="-9"/>
        </w:rPr>
        <w:t> </w:t>
      </w:r>
      <w:r>
        <w:rPr/>
        <w:t>arasındaki</w:t>
      </w:r>
      <w:r>
        <w:rPr>
          <w:spacing w:val="-12"/>
        </w:rPr>
        <w:t> </w:t>
      </w:r>
      <w:r>
        <w:rPr/>
        <w:t>ilişkinin</w:t>
      </w:r>
      <w:r>
        <w:rPr>
          <w:spacing w:val="-12"/>
        </w:rPr>
        <w:t> </w:t>
      </w:r>
      <w:r>
        <w:rPr/>
        <w:t>ürün</w:t>
      </w:r>
      <w:r>
        <w:rPr>
          <w:spacing w:val="-10"/>
        </w:rPr>
        <w:t> </w:t>
      </w:r>
      <w:r>
        <w:rPr/>
        <w:t>kategorilerine</w:t>
      </w:r>
      <w:r>
        <w:rPr>
          <w:spacing w:val="-11"/>
        </w:rPr>
        <w:t> </w:t>
      </w:r>
      <w:r>
        <w:rPr/>
        <w:t>göre farklılaşıp farklılaşmadığını görmek için yapılan testler sonucunda (bk. Tablo 12), mobilya ile dizüstü kategorileri ve koltuk ile televizyon kategorileri arasında olumlu yorumlar ile satışlar</w:t>
      </w:r>
      <w:r>
        <w:rPr>
          <w:spacing w:val="-9"/>
        </w:rPr>
        <w:t> </w:t>
      </w:r>
      <w:r>
        <w:rPr/>
        <w:t>arasındaki</w:t>
      </w:r>
      <w:r>
        <w:rPr>
          <w:spacing w:val="-7"/>
        </w:rPr>
        <w:t> </w:t>
      </w:r>
      <w:r>
        <w:rPr/>
        <w:t>ilişkinin</w:t>
      </w:r>
      <w:r>
        <w:rPr>
          <w:spacing w:val="-7"/>
        </w:rPr>
        <w:t> </w:t>
      </w:r>
      <w:r>
        <w:rPr/>
        <w:t>farklılaştığına</w:t>
      </w:r>
      <w:r>
        <w:rPr>
          <w:spacing w:val="-9"/>
        </w:rPr>
        <w:t> </w:t>
      </w:r>
      <w:r>
        <w:rPr/>
        <w:t>yönelik</w:t>
      </w:r>
      <w:r>
        <w:rPr>
          <w:spacing w:val="-7"/>
        </w:rPr>
        <w:t> </w:t>
      </w:r>
      <w:r>
        <w:rPr/>
        <w:t>yeterli</w:t>
      </w:r>
      <w:r>
        <w:rPr>
          <w:spacing w:val="-7"/>
        </w:rPr>
        <w:t> </w:t>
      </w:r>
      <w:r>
        <w:rPr/>
        <w:t>kanıta</w:t>
      </w:r>
      <w:r>
        <w:rPr>
          <w:spacing w:val="-9"/>
        </w:rPr>
        <w:t> </w:t>
      </w:r>
      <w:r>
        <w:rPr/>
        <w:t>ulaşılamamıştır.</w:t>
      </w:r>
      <w:r>
        <w:rPr>
          <w:spacing w:val="-7"/>
        </w:rPr>
        <w:t> </w:t>
      </w:r>
      <w:r>
        <w:rPr/>
        <w:t>Öte</w:t>
      </w:r>
      <w:r>
        <w:rPr>
          <w:spacing w:val="-8"/>
        </w:rPr>
        <w:t> </w:t>
      </w:r>
      <w:r>
        <w:rPr/>
        <w:t>yandan, olumlu yorum satış ilişkisi bağlamında, mobilya-koltuk, mobilya-televizyon, koltuk-dizüstü ve televizyon-dizüstü karşılaştırmalarında anlamlı farklılıklar tespit edilmiştir. Bu sonuçlar, olumlu yorumların satışlara etkisinin ürün kategorilerine göre farklılaştığı görüşünü desteklemekte ve Li ve Shimizu’nun (2018) sonuçlarıyla</w:t>
      </w:r>
      <w:r>
        <w:rPr>
          <w:spacing w:val="-6"/>
        </w:rPr>
        <w:t> </w:t>
      </w:r>
      <w:r>
        <w:rPr/>
        <w:t>örtüşmektedir.</w:t>
      </w:r>
    </w:p>
    <w:p>
      <w:pPr>
        <w:pStyle w:val="BodyText"/>
        <w:spacing w:line="360" w:lineRule="auto" w:before="1"/>
        <w:ind w:right="310" w:firstLine="708"/>
      </w:pPr>
      <w:r>
        <w:rPr/>
        <w:t>Tablo 9’da sunulan sonuçlara göre olumsuz yorum ile satışlar arasında pozitif ve anlamlı bir ilişki bulunmaktadır. Ancak, bu sonuç olumsuz yorumların satışları olumsuz</w:t>
      </w:r>
    </w:p>
    <w:p>
      <w:pPr>
        <w:spacing w:after="0" w:line="360" w:lineRule="auto"/>
        <w:sectPr>
          <w:pgSz w:w="12240" w:h="15840"/>
          <w:pgMar w:header="718" w:footer="0" w:top="1300" w:bottom="280" w:left="1720" w:right="820"/>
        </w:sectPr>
      </w:pPr>
    </w:p>
    <w:p>
      <w:pPr>
        <w:pStyle w:val="BodyText"/>
        <w:spacing w:line="360" w:lineRule="auto" w:before="100"/>
        <w:ind w:right="308"/>
      </w:pPr>
      <w:r>
        <w:rPr/>
        <w:t>etkilediğini belirten çalışmaların (örn. Cui vd., 2012; Gu vd., 2013; Jabr ve Zheng, 2014; Suryadi ve Kim, 2018) sonuçlarıyla uyuşmamaktadır. Tablo 10’da sunulan sonuçlar, olumsuz yorumlar ile satışlar arasındaki ilişkinin sadece koltuk kategorisinde istatistiksel olarak anlamlı ve negatif yönlü olduğunu göstermektedir. Diğer kategorilerde, katsayılar anlamlı değildir ve negatiftir. Olumsuz yorumlar ile satışlar arasındaki ilişkinin ürün kategorilerine göre farklılaşıp farklılaşmadığını görmek için yapılan testler sonucunda (bk. Tablo 12) koltuk kategorisi ile diğer kategoriler arasında olumsuz yorumlar ile satışlar arasındaki</w:t>
      </w:r>
      <w:r>
        <w:rPr>
          <w:spacing w:val="-13"/>
        </w:rPr>
        <w:t> </w:t>
      </w:r>
      <w:r>
        <w:rPr/>
        <w:t>ilişki</w:t>
      </w:r>
      <w:r>
        <w:rPr>
          <w:spacing w:val="-12"/>
        </w:rPr>
        <w:t> </w:t>
      </w:r>
      <w:r>
        <w:rPr/>
        <w:t>anlamında</w:t>
      </w:r>
      <w:r>
        <w:rPr>
          <w:spacing w:val="-14"/>
        </w:rPr>
        <w:t> </w:t>
      </w:r>
      <w:r>
        <w:rPr/>
        <w:t>farklılık</w:t>
      </w:r>
      <w:r>
        <w:rPr>
          <w:spacing w:val="-13"/>
        </w:rPr>
        <w:t> </w:t>
      </w:r>
      <w:r>
        <w:rPr/>
        <w:t>olduğu</w:t>
      </w:r>
      <w:r>
        <w:rPr>
          <w:spacing w:val="-12"/>
        </w:rPr>
        <w:t> </w:t>
      </w:r>
      <w:r>
        <w:rPr/>
        <w:t>tespit</w:t>
      </w:r>
      <w:r>
        <w:rPr>
          <w:spacing w:val="-13"/>
        </w:rPr>
        <w:t> </w:t>
      </w:r>
      <w:r>
        <w:rPr/>
        <w:t>edilmiştir.</w:t>
      </w:r>
      <w:r>
        <w:rPr>
          <w:spacing w:val="-13"/>
        </w:rPr>
        <w:t> </w:t>
      </w:r>
      <w:r>
        <w:rPr/>
        <w:t>Fakat,</w:t>
      </w:r>
      <w:r>
        <w:rPr>
          <w:spacing w:val="-13"/>
        </w:rPr>
        <w:t> </w:t>
      </w:r>
      <w:r>
        <w:rPr/>
        <w:t>bulgular</w:t>
      </w:r>
      <w:r>
        <w:rPr>
          <w:spacing w:val="-14"/>
        </w:rPr>
        <w:t> </w:t>
      </w:r>
      <w:r>
        <w:rPr/>
        <w:t>diğer</w:t>
      </w:r>
      <w:r>
        <w:rPr>
          <w:spacing w:val="-14"/>
        </w:rPr>
        <w:t> </w:t>
      </w:r>
      <w:r>
        <w:rPr/>
        <w:t>üç</w:t>
      </w:r>
      <w:r>
        <w:rPr>
          <w:spacing w:val="-14"/>
        </w:rPr>
        <w:t> </w:t>
      </w:r>
      <w:r>
        <w:rPr/>
        <w:t>kategori arasında olumsuz yorumlar ile satışlar arasındaki ilişkinin farklılaştığına dair yeterli kanıt sunamamıştır. Olumsuz yorumlar ile satışlar arasındaki ilişkide koltuk kategorisi ile diğer kategoriler arasında farklılık tespit edilmiş olması, olumsuz yorum satışlar üzerine etkisinin ürün kategorilerine göre farklılaşabildiği görüşünü desteklemekte ve bu sonuç Li ve Shimizu’nun (2018) sonuçlarıyla</w:t>
      </w:r>
      <w:r>
        <w:rPr>
          <w:spacing w:val="-2"/>
        </w:rPr>
        <w:t> </w:t>
      </w:r>
      <w:r>
        <w:rPr/>
        <w:t>örtüşmektedir.</w:t>
      </w:r>
    </w:p>
    <w:p>
      <w:pPr>
        <w:pStyle w:val="BodyText"/>
        <w:spacing w:line="360" w:lineRule="auto"/>
        <w:ind w:right="309" w:firstLine="708"/>
      </w:pPr>
      <w:r>
        <w:rPr/>
        <w:t>Ürün kategorisinin aracılık etkisi olmadığında nötr yorumlar ile satışlar arasında negatif yönlü ve istatistiksel olarak anlamlı ilişki tespit edilmiştir (bk. Tablo 9). Bu bulgu Tang</w:t>
      </w:r>
      <w:r>
        <w:rPr>
          <w:spacing w:val="-13"/>
        </w:rPr>
        <w:t> </w:t>
      </w:r>
      <w:r>
        <w:rPr/>
        <w:t>vd.’nin</w:t>
      </w:r>
      <w:r>
        <w:rPr>
          <w:spacing w:val="-13"/>
        </w:rPr>
        <w:t> </w:t>
      </w:r>
      <w:r>
        <w:rPr/>
        <w:t>(2014)</w:t>
      </w:r>
      <w:r>
        <w:rPr>
          <w:spacing w:val="-13"/>
        </w:rPr>
        <w:t> </w:t>
      </w:r>
      <w:r>
        <w:rPr/>
        <w:t>çalışmasının</w:t>
      </w:r>
      <w:r>
        <w:rPr>
          <w:spacing w:val="-13"/>
        </w:rPr>
        <w:t> </w:t>
      </w:r>
      <w:r>
        <w:rPr/>
        <w:t>sonucuyla</w:t>
      </w:r>
      <w:r>
        <w:rPr>
          <w:spacing w:val="-12"/>
        </w:rPr>
        <w:t> </w:t>
      </w:r>
      <w:r>
        <w:rPr/>
        <w:t>örtüşmekte,</w:t>
      </w:r>
      <w:r>
        <w:rPr>
          <w:spacing w:val="-12"/>
        </w:rPr>
        <w:t> </w:t>
      </w:r>
      <w:r>
        <w:rPr/>
        <w:t>Sonnier</w:t>
      </w:r>
      <w:r>
        <w:rPr>
          <w:spacing w:val="-14"/>
        </w:rPr>
        <w:t> </w:t>
      </w:r>
      <w:r>
        <w:rPr/>
        <w:t>vd.’nin</w:t>
      </w:r>
      <w:r>
        <w:rPr>
          <w:spacing w:val="-13"/>
        </w:rPr>
        <w:t> </w:t>
      </w:r>
      <w:r>
        <w:rPr/>
        <w:t>(2011)</w:t>
      </w:r>
      <w:r>
        <w:rPr>
          <w:spacing w:val="-14"/>
        </w:rPr>
        <w:t> </w:t>
      </w:r>
      <w:r>
        <w:rPr/>
        <w:t>çalışmasının sonucuyla örtüşmemektedir. Tablo 10’da sunulan sonuçlara göre, nötr yorumun satışlarla ilişkisi dizüstü kategorisi dışındaki kategorilerde istatistiksel olarak anlamlıdır. Koltuk ve televizyon kategorilerinde nötr yorumlar ile satışlar arasında negatif, mobilya kategorisinde de pozitif ilişki tespit edilmiştir. Nötr yorumların satışlara etkisinin kategorilere göre farklılaşıp farklılaşmadığını görmek için yapılan testler sonucunda (bk. Tablo 12) sadece mobilya ve dizüstü bilgisayar kategorileri arasında bir farklılık tespit edilememiştir. Bu bulgular, nötr yorumların satışlara etkisinin ürün kategorilerine göre farklılaştığı görüşünü desteklemekte ve Tang vd.nin (2014) sonuçlarıyla</w:t>
      </w:r>
      <w:r>
        <w:rPr>
          <w:spacing w:val="-2"/>
        </w:rPr>
        <w:t> </w:t>
      </w:r>
      <w:r>
        <w:rPr/>
        <w:t>örtüşmektedir.</w:t>
      </w:r>
    </w:p>
    <w:p>
      <w:pPr>
        <w:pStyle w:val="BodyText"/>
        <w:spacing w:line="360" w:lineRule="auto"/>
        <w:ind w:right="312" w:firstLine="708"/>
      </w:pPr>
      <w:r>
        <w:rPr/>
        <w:t>Özetle, araştırmanın sonuçları değerlik-satış ilişkisinin ürün kategorilerine göre farklılaştığına işaret etmektedir. Ayrıca, bir önceki kısımda (bknz. Bölüm 2.4.1) belirtildiği gibi, bu sonuçlar ile araştırma-deneyim ürün grupları kıyaslamasının ötesine geçilerek daha mikro düzey ürün kategorilerinin değerlik-satış ilişkisi bağlamında kıyaslanması gerektiği ortaya konulmuştur.</w:t>
      </w:r>
    </w:p>
    <w:p>
      <w:pPr>
        <w:spacing w:after="0" w:line="360" w:lineRule="auto"/>
        <w:sectPr>
          <w:pgSz w:w="12240" w:h="15840"/>
          <w:pgMar w:header="718" w:footer="0" w:top="1300" w:bottom="280" w:left="1720" w:right="820"/>
        </w:sectPr>
      </w:pPr>
    </w:p>
    <w:p>
      <w:pPr>
        <w:pStyle w:val="Heading1"/>
        <w:numPr>
          <w:ilvl w:val="2"/>
          <w:numId w:val="2"/>
        </w:numPr>
        <w:tabs>
          <w:tab w:pos="1857" w:val="left" w:leader="none"/>
        </w:tabs>
        <w:spacing w:line="240" w:lineRule="auto" w:before="100" w:after="0"/>
        <w:ind w:left="1856" w:right="0" w:hanging="601"/>
        <w:jc w:val="both"/>
      </w:pPr>
      <w:r>
        <w:rPr/>
        <w:t>Teorik Çıkarımlar</w:t>
      </w:r>
    </w:p>
    <w:p>
      <w:pPr>
        <w:pStyle w:val="BodyText"/>
        <w:spacing w:line="360" w:lineRule="auto" w:before="137"/>
        <w:ind w:right="310" w:firstLine="708"/>
      </w:pPr>
      <w:r>
        <w:rPr/>
        <w:t>Literatürde yorum-satış ilişkisi çok çalışılmış olmasına karşın, her bir çalışma belirli hacim ve değerlik özelliklerini ele almıştır (bk. Tablo 6). Yorum-satış ilişkisine odaklanmış bu çalışma ise, ürün kategorileri arasındaki farklılıkları gözeterek, yorumun tüm hacim ve değerlik özellikleri çerçevesinde bu ilişkiyi incelemiştir. Çalışma bulguları, hacim ve değerlik özelliklerinin tamamının satışlar ile ilişkili olduğunu göstermektedir. Literatürün özellikle hacim ve ortalama puana odaklandığı ve olumlu, olumsuz ve bilhassa nötr yorumların arka planda kaldığı göz önünde bulundurulduğunda, olumlu, olumsuz ve nötr yorumlara dair bulgular çalışmanın önemli bulgularıdır. Nötr yorumların literatürde yeterli ilgiyi</w:t>
      </w:r>
      <w:r>
        <w:rPr>
          <w:spacing w:val="-5"/>
        </w:rPr>
        <w:t> </w:t>
      </w:r>
      <w:r>
        <w:rPr/>
        <w:t>görmemiş</w:t>
      </w:r>
      <w:r>
        <w:rPr>
          <w:spacing w:val="-7"/>
        </w:rPr>
        <w:t> </w:t>
      </w:r>
      <w:r>
        <w:rPr/>
        <w:t>olması</w:t>
      </w:r>
      <w:r>
        <w:rPr>
          <w:spacing w:val="-2"/>
        </w:rPr>
        <w:t> </w:t>
      </w:r>
      <w:r>
        <w:rPr/>
        <w:t>göz</w:t>
      </w:r>
      <w:r>
        <w:rPr>
          <w:spacing w:val="-6"/>
        </w:rPr>
        <w:t> </w:t>
      </w:r>
      <w:r>
        <w:rPr/>
        <w:t>önünde</w:t>
      </w:r>
      <w:r>
        <w:rPr>
          <w:spacing w:val="-7"/>
        </w:rPr>
        <w:t> </w:t>
      </w:r>
      <w:r>
        <w:rPr/>
        <w:t>bulundurulduğunda,</w:t>
      </w:r>
      <w:r>
        <w:rPr>
          <w:spacing w:val="-5"/>
        </w:rPr>
        <w:t> </w:t>
      </w:r>
      <w:r>
        <w:rPr/>
        <w:t>nötr</w:t>
      </w:r>
      <w:r>
        <w:rPr>
          <w:spacing w:val="-5"/>
        </w:rPr>
        <w:t> </w:t>
      </w:r>
      <w:r>
        <w:rPr/>
        <w:t>yorumlar</w:t>
      </w:r>
      <w:r>
        <w:rPr>
          <w:spacing w:val="-6"/>
        </w:rPr>
        <w:t> </w:t>
      </w:r>
      <w:r>
        <w:rPr/>
        <w:t>ile</w:t>
      </w:r>
      <w:r>
        <w:rPr>
          <w:spacing w:val="-8"/>
        </w:rPr>
        <w:t> </w:t>
      </w:r>
      <w:r>
        <w:rPr/>
        <w:t>satışlar</w:t>
      </w:r>
      <w:r>
        <w:rPr>
          <w:spacing w:val="-6"/>
        </w:rPr>
        <w:t> </w:t>
      </w:r>
      <w:r>
        <w:rPr/>
        <w:t>arasındaki ilişkiye dair bulgular oldukça</w:t>
      </w:r>
      <w:r>
        <w:rPr>
          <w:spacing w:val="-3"/>
        </w:rPr>
        <w:t> </w:t>
      </w:r>
      <w:r>
        <w:rPr/>
        <w:t>kıymetlidir.</w:t>
      </w:r>
    </w:p>
    <w:p>
      <w:pPr>
        <w:pStyle w:val="BodyText"/>
        <w:spacing w:line="360" w:lineRule="auto" w:before="1"/>
        <w:ind w:right="310" w:firstLine="708"/>
      </w:pPr>
      <w:r>
        <w:rPr/>
        <w:t>Bu çalışmada hacim ve değerlik özellikleri ile satışlar arasındaki ilişkiye farklı ürün kategorileri bağlamında yaklaşılması da önemli bulgular ortaya koymaktadır. Tüm ürün kategorileri için yorum sayısı ve ortalama yorum puanının satışlar ile ilişkili olduğu bulunmuştur. Ancak, bazı ürün kategorileri için olumlu, olumsuz ve/veya nötr yorumların satışlarla</w:t>
      </w:r>
      <w:r>
        <w:rPr>
          <w:spacing w:val="-8"/>
        </w:rPr>
        <w:t> </w:t>
      </w:r>
      <w:r>
        <w:rPr/>
        <w:t>ilişkilerine</w:t>
      </w:r>
      <w:r>
        <w:rPr>
          <w:spacing w:val="-8"/>
        </w:rPr>
        <w:t> </w:t>
      </w:r>
      <w:r>
        <w:rPr/>
        <w:t>dair</w:t>
      </w:r>
      <w:r>
        <w:rPr>
          <w:spacing w:val="-7"/>
        </w:rPr>
        <w:t> </w:t>
      </w:r>
      <w:r>
        <w:rPr/>
        <w:t>yeterli</w:t>
      </w:r>
      <w:r>
        <w:rPr>
          <w:spacing w:val="-8"/>
        </w:rPr>
        <w:t> </w:t>
      </w:r>
      <w:r>
        <w:rPr/>
        <w:t>kanıt</w:t>
      </w:r>
      <w:r>
        <w:rPr>
          <w:spacing w:val="-7"/>
        </w:rPr>
        <w:t> </w:t>
      </w:r>
      <w:r>
        <w:rPr/>
        <w:t>bulunamamıştır.</w:t>
      </w:r>
      <w:r>
        <w:rPr>
          <w:spacing w:val="-7"/>
        </w:rPr>
        <w:t> </w:t>
      </w:r>
      <w:r>
        <w:rPr/>
        <w:t>Örneğin,</w:t>
      </w:r>
      <w:r>
        <w:rPr>
          <w:spacing w:val="-7"/>
        </w:rPr>
        <w:t> </w:t>
      </w:r>
      <w:r>
        <w:rPr/>
        <w:t>dizüstü</w:t>
      </w:r>
      <w:r>
        <w:rPr>
          <w:spacing w:val="-7"/>
        </w:rPr>
        <w:t> </w:t>
      </w:r>
      <w:r>
        <w:rPr/>
        <w:t>bilgisayar</w:t>
      </w:r>
      <w:r>
        <w:rPr>
          <w:spacing w:val="-8"/>
        </w:rPr>
        <w:t> </w:t>
      </w:r>
      <w:r>
        <w:rPr/>
        <w:t>kategorisi satışları ile olumlu, olumsuz ve nötr yorumların hiçbirisi arasında anlamlı ilişki tespit edilememiştir. Ayrıca, yorum-satış ilişkisinin ürün kategorileri arasında hangi yorum özellikleri</w:t>
      </w:r>
      <w:r>
        <w:rPr>
          <w:spacing w:val="-15"/>
        </w:rPr>
        <w:t> </w:t>
      </w:r>
      <w:r>
        <w:rPr/>
        <w:t>çerçevesinde</w:t>
      </w:r>
      <w:r>
        <w:rPr>
          <w:spacing w:val="-11"/>
        </w:rPr>
        <w:t> </w:t>
      </w:r>
      <w:r>
        <w:rPr/>
        <w:t>farklılaştığını</w:t>
      </w:r>
      <w:r>
        <w:rPr>
          <w:spacing w:val="-10"/>
        </w:rPr>
        <w:t> </w:t>
      </w:r>
      <w:r>
        <w:rPr/>
        <w:t>ortaya</w:t>
      </w:r>
      <w:r>
        <w:rPr>
          <w:spacing w:val="-14"/>
        </w:rPr>
        <w:t> </w:t>
      </w:r>
      <w:r>
        <w:rPr/>
        <w:t>koyan</w:t>
      </w:r>
      <w:r>
        <w:rPr>
          <w:spacing w:val="-13"/>
        </w:rPr>
        <w:t> </w:t>
      </w:r>
      <w:r>
        <w:rPr/>
        <w:t>bulgular</w:t>
      </w:r>
      <w:r>
        <w:rPr>
          <w:spacing w:val="-14"/>
        </w:rPr>
        <w:t> </w:t>
      </w:r>
      <w:r>
        <w:rPr/>
        <w:t>da</w:t>
      </w:r>
      <w:r>
        <w:rPr>
          <w:spacing w:val="-12"/>
        </w:rPr>
        <w:t> </w:t>
      </w:r>
      <w:r>
        <w:rPr/>
        <w:t>oldukça</w:t>
      </w:r>
      <w:r>
        <w:rPr>
          <w:spacing w:val="-13"/>
        </w:rPr>
        <w:t> </w:t>
      </w:r>
      <w:r>
        <w:rPr/>
        <w:t>önemlidir</w:t>
      </w:r>
      <w:r>
        <w:rPr>
          <w:spacing w:val="-14"/>
        </w:rPr>
        <w:t> </w:t>
      </w:r>
      <w:r>
        <w:rPr/>
        <w:t>(bk.</w:t>
      </w:r>
      <w:r>
        <w:rPr>
          <w:spacing w:val="-13"/>
        </w:rPr>
        <w:t> </w:t>
      </w:r>
      <w:r>
        <w:rPr/>
        <w:t>Tablo 12).</w:t>
      </w:r>
    </w:p>
    <w:p>
      <w:pPr>
        <w:pStyle w:val="BodyText"/>
        <w:spacing w:line="360" w:lineRule="auto" w:before="2"/>
        <w:ind w:right="312" w:firstLine="708"/>
      </w:pPr>
      <w:r>
        <w:rPr/>
        <w:t>Çalışmaya bütün olarak bakıldığında, elektronik ağızdan ağıza iletişim literatürü</w:t>
      </w:r>
      <w:r>
        <w:rPr>
          <w:spacing w:val="-39"/>
        </w:rPr>
        <w:t> </w:t>
      </w:r>
      <w:r>
        <w:rPr/>
        <w:t>için çalışmanın önemli bir başka özelliği de satışların geçmiş dönem satışlarından etkilendiğinin varsayılarak verinin dinamik olarak ele alınması ve dinamik panel verilerin analizi için kullanılan genelleştirilmiş momentler yönteminin analiz yöntemi olarak kullanılmasıdır. Analiz</w:t>
      </w:r>
      <w:r>
        <w:rPr>
          <w:spacing w:val="-10"/>
        </w:rPr>
        <w:t> </w:t>
      </w:r>
      <w:r>
        <w:rPr/>
        <w:t>sonuçları</w:t>
      </w:r>
      <w:r>
        <w:rPr>
          <w:spacing w:val="-8"/>
        </w:rPr>
        <w:t> </w:t>
      </w:r>
      <w:r>
        <w:rPr/>
        <w:t>geçmiş</w:t>
      </w:r>
      <w:r>
        <w:rPr>
          <w:spacing w:val="-6"/>
        </w:rPr>
        <w:t> </w:t>
      </w:r>
      <w:r>
        <w:rPr/>
        <w:t>dönem</w:t>
      </w:r>
      <w:r>
        <w:rPr>
          <w:spacing w:val="-8"/>
        </w:rPr>
        <w:t> </w:t>
      </w:r>
      <w:r>
        <w:rPr/>
        <w:t>satışlarının</w:t>
      </w:r>
      <w:r>
        <w:rPr>
          <w:spacing w:val="-8"/>
        </w:rPr>
        <w:t> </w:t>
      </w:r>
      <w:r>
        <w:rPr/>
        <w:t>mevcut</w:t>
      </w:r>
      <w:r>
        <w:rPr>
          <w:spacing w:val="-8"/>
        </w:rPr>
        <w:t> </w:t>
      </w:r>
      <w:r>
        <w:rPr/>
        <w:t>dönem</w:t>
      </w:r>
      <w:r>
        <w:rPr>
          <w:spacing w:val="-8"/>
        </w:rPr>
        <w:t> </w:t>
      </w:r>
      <w:r>
        <w:rPr/>
        <w:t>satışları</w:t>
      </w:r>
      <w:r>
        <w:rPr>
          <w:spacing w:val="-8"/>
        </w:rPr>
        <w:t> </w:t>
      </w:r>
      <w:r>
        <w:rPr/>
        <w:t>etkilediğini</w:t>
      </w:r>
      <w:r>
        <w:rPr>
          <w:spacing w:val="-8"/>
        </w:rPr>
        <w:t> </w:t>
      </w:r>
      <w:r>
        <w:rPr/>
        <w:t>ve</w:t>
      </w:r>
      <w:r>
        <w:rPr>
          <w:spacing w:val="-10"/>
        </w:rPr>
        <w:t> </w:t>
      </w:r>
      <w:r>
        <w:rPr/>
        <w:t>bu</w:t>
      </w:r>
      <w:r>
        <w:rPr>
          <w:spacing w:val="-8"/>
        </w:rPr>
        <w:t> </w:t>
      </w:r>
      <w:r>
        <w:rPr/>
        <w:t>etkinin aradaki zaman farkı arttıkça azaldığını göstermektedir. Literatürdeki çalışmaların modellerinde genellikle göz ardı edilen geçmiş dönem satışlarının aslında mevcut dönem satışlarını etkileyen en önemli faktör olduğu da çalışmanın önemli</w:t>
      </w:r>
      <w:r>
        <w:rPr>
          <w:spacing w:val="-10"/>
        </w:rPr>
        <w:t> </w:t>
      </w:r>
      <w:r>
        <w:rPr/>
        <w:t>bulgularındandır.</w:t>
      </w:r>
    </w:p>
    <w:p>
      <w:pPr>
        <w:pStyle w:val="BodyText"/>
        <w:spacing w:line="360" w:lineRule="auto"/>
        <w:ind w:right="309" w:firstLine="708"/>
      </w:pPr>
      <w:r>
        <w:rPr/>
        <w:t>Özetle,</w:t>
      </w:r>
      <w:r>
        <w:rPr>
          <w:spacing w:val="-10"/>
        </w:rPr>
        <w:t> </w:t>
      </w:r>
      <w:r>
        <w:rPr/>
        <w:t>çalışmanın</w:t>
      </w:r>
      <w:r>
        <w:rPr>
          <w:spacing w:val="-10"/>
        </w:rPr>
        <w:t> </w:t>
      </w:r>
      <w:r>
        <w:rPr/>
        <w:t>literatür</w:t>
      </w:r>
      <w:r>
        <w:rPr>
          <w:spacing w:val="-10"/>
        </w:rPr>
        <w:t> </w:t>
      </w:r>
      <w:r>
        <w:rPr/>
        <w:t>için</w:t>
      </w:r>
      <w:r>
        <w:rPr>
          <w:spacing w:val="-10"/>
        </w:rPr>
        <w:t> </w:t>
      </w:r>
      <w:r>
        <w:rPr/>
        <w:t>önemli</w:t>
      </w:r>
      <w:r>
        <w:rPr>
          <w:spacing w:val="-9"/>
        </w:rPr>
        <w:t> </w:t>
      </w:r>
      <w:r>
        <w:rPr/>
        <w:t>bulguları</w:t>
      </w:r>
      <w:r>
        <w:rPr>
          <w:spacing w:val="-10"/>
        </w:rPr>
        <w:t> </w:t>
      </w:r>
      <w:r>
        <w:rPr/>
        <w:t>şunlardır:</w:t>
      </w:r>
      <w:r>
        <w:rPr>
          <w:spacing w:val="-9"/>
        </w:rPr>
        <w:t> </w:t>
      </w:r>
      <w:r>
        <w:rPr/>
        <w:t>(1)</w:t>
      </w:r>
      <w:r>
        <w:rPr>
          <w:spacing w:val="-11"/>
        </w:rPr>
        <w:t> </w:t>
      </w:r>
      <w:r>
        <w:rPr/>
        <w:t>tüm</w:t>
      </w:r>
      <w:r>
        <w:rPr>
          <w:spacing w:val="-9"/>
        </w:rPr>
        <w:t> </w:t>
      </w:r>
      <w:r>
        <w:rPr/>
        <w:t>hacim</w:t>
      </w:r>
      <w:r>
        <w:rPr>
          <w:spacing w:val="-8"/>
        </w:rPr>
        <w:t> </w:t>
      </w:r>
      <w:r>
        <w:rPr/>
        <w:t>ve</w:t>
      </w:r>
      <w:r>
        <w:rPr>
          <w:spacing w:val="-11"/>
        </w:rPr>
        <w:t> </w:t>
      </w:r>
      <w:r>
        <w:rPr/>
        <w:t>değerlik özellikleri satışları etkileyen önemli faktörlerdir, (2) nötr yorumlar olumlu ve olumsuz yorumlar</w:t>
      </w:r>
      <w:r>
        <w:rPr>
          <w:spacing w:val="20"/>
        </w:rPr>
        <w:t> </w:t>
      </w:r>
      <w:r>
        <w:rPr/>
        <w:t>gibi</w:t>
      </w:r>
      <w:r>
        <w:rPr>
          <w:spacing w:val="23"/>
        </w:rPr>
        <w:t> </w:t>
      </w:r>
      <w:r>
        <w:rPr/>
        <w:t>satışları</w:t>
      </w:r>
      <w:r>
        <w:rPr>
          <w:spacing w:val="23"/>
        </w:rPr>
        <w:t> </w:t>
      </w:r>
      <w:r>
        <w:rPr/>
        <w:t>etkileyen</w:t>
      </w:r>
      <w:r>
        <w:rPr>
          <w:spacing w:val="22"/>
        </w:rPr>
        <w:t> </w:t>
      </w:r>
      <w:r>
        <w:rPr/>
        <w:t>önemli</w:t>
      </w:r>
      <w:r>
        <w:rPr>
          <w:spacing w:val="23"/>
        </w:rPr>
        <w:t> </w:t>
      </w:r>
      <w:r>
        <w:rPr/>
        <w:t>bir</w:t>
      </w:r>
      <w:r>
        <w:rPr>
          <w:spacing w:val="22"/>
        </w:rPr>
        <w:t> </w:t>
      </w:r>
      <w:r>
        <w:rPr/>
        <w:t>faktördür,</w:t>
      </w:r>
      <w:r>
        <w:rPr>
          <w:spacing w:val="27"/>
        </w:rPr>
        <w:t> </w:t>
      </w:r>
      <w:r>
        <w:rPr/>
        <w:t>(3)</w:t>
      </w:r>
      <w:r>
        <w:rPr>
          <w:spacing w:val="21"/>
        </w:rPr>
        <w:t> </w:t>
      </w:r>
      <w:r>
        <w:rPr/>
        <w:t>nötr</w:t>
      </w:r>
      <w:r>
        <w:rPr>
          <w:spacing w:val="22"/>
        </w:rPr>
        <w:t> </w:t>
      </w:r>
      <w:r>
        <w:rPr/>
        <w:t>yorumun</w:t>
      </w:r>
      <w:r>
        <w:rPr>
          <w:spacing w:val="22"/>
        </w:rPr>
        <w:t> </w:t>
      </w:r>
      <w:r>
        <w:rPr/>
        <w:t>satışlara</w:t>
      </w:r>
      <w:r>
        <w:rPr>
          <w:spacing w:val="24"/>
        </w:rPr>
        <w:t> </w:t>
      </w:r>
      <w:r>
        <w:rPr/>
        <w:t>etkisinin</w:t>
      </w:r>
    </w:p>
    <w:p>
      <w:pPr>
        <w:spacing w:after="0" w:line="360" w:lineRule="auto"/>
        <w:sectPr>
          <w:pgSz w:w="12240" w:h="15840"/>
          <w:pgMar w:header="718" w:footer="0" w:top="1300" w:bottom="280" w:left="1720" w:right="820"/>
        </w:sectPr>
      </w:pPr>
    </w:p>
    <w:p>
      <w:pPr>
        <w:pStyle w:val="BodyText"/>
        <w:spacing w:line="360" w:lineRule="auto" w:before="100"/>
        <w:ind w:right="310"/>
      </w:pPr>
      <w:r>
        <w:rPr/>
        <w:t>yönü (pozitif ya da negatif) ürün kategorisine göre değişmektedir, (4) hacim ve değerlik özellikleri ile satışlar arasındaki ilişki ürün kategorileri arasında farklılık göstermektedir,</w:t>
      </w:r>
      <w:r>
        <w:rPr>
          <w:spacing w:val="-40"/>
        </w:rPr>
        <w:t> </w:t>
      </w:r>
      <w:r>
        <w:rPr/>
        <w:t>(5) olumlu, olumsuz ve/veya nötr yorumlar bazı ürün kategorilerinin satışlarını etkilerken bazılarının satışlarını da etkilememektedir, (6) mevcut dönem satışlarında etkili olan en önemli faktör geçmiş dönem</w:t>
      </w:r>
      <w:r>
        <w:rPr>
          <w:spacing w:val="-2"/>
        </w:rPr>
        <w:t> </w:t>
      </w:r>
      <w:r>
        <w:rPr/>
        <w:t>satışlarıdır.</w:t>
      </w:r>
    </w:p>
    <w:p>
      <w:pPr>
        <w:pStyle w:val="Heading1"/>
        <w:numPr>
          <w:ilvl w:val="2"/>
          <w:numId w:val="2"/>
        </w:numPr>
        <w:tabs>
          <w:tab w:pos="1857" w:val="left" w:leader="none"/>
        </w:tabs>
        <w:spacing w:line="240" w:lineRule="auto" w:before="81" w:after="0"/>
        <w:ind w:left="1856" w:right="0" w:hanging="601"/>
        <w:jc w:val="both"/>
      </w:pPr>
      <w:r>
        <w:rPr/>
        <w:t>Yönetimsel Çıkarımlar</w:t>
      </w:r>
    </w:p>
    <w:p>
      <w:pPr>
        <w:pStyle w:val="BodyText"/>
        <w:spacing w:line="360" w:lineRule="auto" w:before="137"/>
        <w:ind w:right="308" w:firstLine="708"/>
      </w:pPr>
      <w:r>
        <w:rPr/>
        <w:t>Bu</w:t>
      </w:r>
      <w:r>
        <w:rPr>
          <w:spacing w:val="-17"/>
        </w:rPr>
        <w:t> </w:t>
      </w:r>
      <w:r>
        <w:rPr/>
        <w:t>çalışmanın</w:t>
      </w:r>
      <w:r>
        <w:rPr>
          <w:spacing w:val="-17"/>
        </w:rPr>
        <w:t> </w:t>
      </w:r>
      <w:r>
        <w:rPr/>
        <w:t>literatüre</w:t>
      </w:r>
      <w:r>
        <w:rPr>
          <w:spacing w:val="-18"/>
        </w:rPr>
        <w:t> </w:t>
      </w:r>
      <w:r>
        <w:rPr/>
        <w:t>sunduğu</w:t>
      </w:r>
      <w:r>
        <w:rPr>
          <w:spacing w:val="-16"/>
        </w:rPr>
        <w:t> </w:t>
      </w:r>
      <w:r>
        <w:rPr/>
        <w:t>önemli</w:t>
      </w:r>
      <w:r>
        <w:rPr>
          <w:spacing w:val="-16"/>
        </w:rPr>
        <w:t> </w:t>
      </w:r>
      <w:r>
        <w:rPr/>
        <w:t>bulgular</w:t>
      </w:r>
      <w:r>
        <w:rPr>
          <w:spacing w:val="-18"/>
        </w:rPr>
        <w:t> </w:t>
      </w:r>
      <w:r>
        <w:rPr/>
        <w:t>ışığında</w:t>
      </w:r>
      <w:r>
        <w:rPr>
          <w:spacing w:val="-14"/>
        </w:rPr>
        <w:t> </w:t>
      </w:r>
      <w:r>
        <w:rPr/>
        <w:t>özellikle</w:t>
      </w:r>
      <w:r>
        <w:rPr>
          <w:spacing w:val="-17"/>
        </w:rPr>
        <w:t> </w:t>
      </w:r>
      <w:r>
        <w:rPr/>
        <w:t>e-perakendecilere yönelik</w:t>
      </w:r>
      <w:r>
        <w:rPr>
          <w:spacing w:val="-9"/>
        </w:rPr>
        <w:t> </w:t>
      </w:r>
      <w:r>
        <w:rPr/>
        <w:t>yönetimsel</w:t>
      </w:r>
      <w:r>
        <w:rPr>
          <w:spacing w:val="-9"/>
        </w:rPr>
        <w:t> </w:t>
      </w:r>
      <w:r>
        <w:rPr/>
        <w:t>çıkarımlarda</w:t>
      </w:r>
      <w:r>
        <w:rPr>
          <w:spacing w:val="-11"/>
        </w:rPr>
        <w:t> </w:t>
      </w:r>
      <w:r>
        <w:rPr/>
        <w:t>bulunmak</w:t>
      </w:r>
      <w:r>
        <w:rPr>
          <w:spacing w:val="-9"/>
        </w:rPr>
        <w:t> </w:t>
      </w:r>
      <w:r>
        <w:rPr/>
        <w:t>mümkündür.</w:t>
      </w:r>
      <w:r>
        <w:rPr>
          <w:spacing w:val="-9"/>
        </w:rPr>
        <w:t> </w:t>
      </w:r>
      <w:r>
        <w:rPr/>
        <w:t>Öncelikli</w:t>
      </w:r>
      <w:r>
        <w:rPr>
          <w:spacing w:val="-9"/>
        </w:rPr>
        <w:t> </w:t>
      </w:r>
      <w:r>
        <w:rPr/>
        <w:t>olarak,</w:t>
      </w:r>
      <w:r>
        <w:rPr>
          <w:spacing w:val="-10"/>
        </w:rPr>
        <w:t> </w:t>
      </w:r>
      <w:r>
        <w:rPr/>
        <w:t>analiz</w:t>
      </w:r>
      <w:r>
        <w:rPr>
          <w:spacing w:val="-10"/>
        </w:rPr>
        <w:t> </w:t>
      </w:r>
      <w:r>
        <w:rPr/>
        <w:t>sonuçlarına bakıldığında en büyük katsayıların bağımlı değişkenin gecikmelilerine ait olduğu görülmektedir. Bu sonuçlarla, geçmiş dönem satışlarının mevcut dönem üzerinde önemli</w:t>
      </w:r>
      <w:r>
        <w:rPr>
          <w:spacing w:val="-35"/>
        </w:rPr>
        <w:t> </w:t>
      </w:r>
      <w:r>
        <w:rPr/>
        <w:t>bir etkiye sahip olduğunu söylemek mümkündür. Bu bulgu tüketicilerin daha önce yapılmış alışverişleri takip ettiğini ve bir nevi sürü davranışı sergilediklerini göstermektedir. Bu noktada, çok satan ürünler doğal olarak çok satmaya, az satan ürünler az satmaya devam edecektir. Dolayısıyla, e-perakende firması yöneticilerinin tüketicileri çok satan ürünlerine yönlendirmek</w:t>
      </w:r>
      <w:r>
        <w:rPr>
          <w:spacing w:val="-12"/>
        </w:rPr>
        <w:t> </w:t>
      </w:r>
      <w:r>
        <w:rPr/>
        <w:t>için</w:t>
      </w:r>
      <w:r>
        <w:rPr>
          <w:spacing w:val="-9"/>
        </w:rPr>
        <w:t> </w:t>
      </w:r>
      <w:r>
        <w:rPr/>
        <w:t>çok</w:t>
      </w:r>
      <w:r>
        <w:rPr>
          <w:spacing w:val="-11"/>
        </w:rPr>
        <w:t> </w:t>
      </w:r>
      <w:r>
        <w:rPr/>
        <w:t>fazla</w:t>
      </w:r>
      <w:r>
        <w:rPr>
          <w:spacing w:val="-12"/>
        </w:rPr>
        <w:t> </w:t>
      </w:r>
      <w:r>
        <w:rPr/>
        <w:t>çaba</w:t>
      </w:r>
      <w:r>
        <w:rPr>
          <w:spacing w:val="-10"/>
        </w:rPr>
        <w:t> </w:t>
      </w:r>
      <w:r>
        <w:rPr/>
        <w:t>sarfetmelerine</w:t>
      </w:r>
      <w:r>
        <w:rPr>
          <w:spacing w:val="-7"/>
        </w:rPr>
        <w:t> </w:t>
      </w:r>
      <w:r>
        <w:rPr/>
        <w:t>gerek</w:t>
      </w:r>
      <w:r>
        <w:rPr>
          <w:spacing w:val="-11"/>
        </w:rPr>
        <w:t> </w:t>
      </w:r>
      <w:r>
        <w:rPr/>
        <w:t>olmayabilir.</w:t>
      </w:r>
      <w:r>
        <w:rPr>
          <w:spacing w:val="-12"/>
        </w:rPr>
        <w:t> </w:t>
      </w:r>
      <w:r>
        <w:rPr/>
        <w:t>Perakende</w:t>
      </w:r>
      <w:r>
        <w:rPr>
          <w:spacing w:val="-12"/>
        </w:rPr>
        <w:t> </w:t>
      </w:r>
      <w:r>
        <w:rPr/>
        <w:t>sayfalarındaki çok satanlar listeleri ve ürünleri “en çok satandan en az satana” sıralama opsiyonu gibi tüketicilerin hangi ürünlerin daha fazla tercih edildiğini görmelerini sağlayan kolaylıklar bu anlamda önemli getiriler sunabilir. Satışları düşmüş ve az satan ürünlerin satışları artırılmak istendiğinde uygulanan tutundurma ve itme faaliyetlerinin başarılı olması durumunda tüketicilerin</w:t>
      </w:r>
      <w:r>
        <w:rPr>
          <w:spacing w:val="-7"/>
        </w:rPr>
        <w:t> </w:t>
      </w:r>
      <w:r>
        <w:rPr/>
        <w:t>bu</w:t>
      </w:r>
      <w:r>
        <w:rPr>
          <w:spacing w:val="-7"/>
        </w:rPr>
        <w:t> </w:t>
      </w:r>
      <w:r>
        <w:rPr/>
        <w:t>sürü</w:t>
      </w:r>
      <w:r>
        <w:rPr>
          <w:spacing w:val="-5"/>
        </w:rPr>
        <w:t> </w:t>
      </w:r>
      <w:r>
        <w:rPr/>
        <w:t>davranışı</w:t>
      </w:r>
      <w:r>
        <w:rPr>
          <w:spacing w:val="-6"/>
        </w:rPr>
        <w:t> </w:t>
      </w:r>
      <w:r>
        <w:rPr/>
        <w:t>devreye</w:t>
      </w:r>
      <w:r>
        <w:rPr>
          <w:spacing w:val="-7"/>
        </w:rPr>
        <w:t> </w:t>
      </w:r>
      <w:r>
        <w:rPr/>
        <w:t>girerek</w:t>
      </w:r>
      <w:r>
        <w:rPr>
          <w:spacing w:val="-4"/>
        </w:rPr>
        <w:t> </w:t>
      </w:r>
      <w:r>
        <w:rPr/>
        <w:t>ek</w:t>
      </w:r>
      <w:r>
        <w:rPr>
          <w:spacing w:val="-2"/>
        </w:rPr>
        <w:t> </w:t>
      </w:r>
      <w:r>
        <w:rPr/>
        <w:t>bir</w:t>
      </w:r>
      <w:r>
        <w:rPr>
          <w:spacing w:val="-8"/>
        </w:rPr>
        <w:t> </w:t>
      </w:r>
      <w:r>
        <w:rPr/>
        <w:t>itici</w:t>
      </w:r>
      <w:r>
        <w:rPr>
          <w:spacing w:val="-6"/>
        </w:rPr>
        <w:t> </w:t>
      </w:r>
      <w:r>
        <w:rPr/>
        <w:t>güç</w:t>
      </w:r>
      <w:r>
        <w:rPr>
          <w:spacing w:val="-7"/>
        </w:rPr>
        <w:t> </w:t>
      </w:r>
      <w:r>
        <w:rPr/>
        <w:t>olarak</w:t>
      </w:r>
      <w:r>
        <w:rPr>
          <w:spacing w:val="-5"/>
        </w:rPr>
        <w:t> </w:t>
      </w:r>
      <w:r>
        <w:rPr/>
        <w:t>satışları</w:t>
      </w:r>
      <w:r>
        <w:rPr>
          <w:spacing w:val="-7"/>
        </w:rPr>
        <w:t> </w:t>
      </w:r>
      <w:r>
        <w:rPr/>
        <w:t>destekleyebilir. Bu noktada, yöneticilerin kısa vadede satışları olabildiğince artıracak stratejiler izlemesi ve satışlarda önemli bir artış sağlayacak faaliyetler yürütmeleri tavsiye</w:t>
      </w:r>
      <w:r>
        <w:rPr>
          <w:spacing w:val="-4"/>
        </w:rPr>
        <w:t> </w:t>
      </w:r>
      <w:r>
        <w:rPr/>
        <w:t>edilebilir.</w:t>
      </w:r>
    </w:p>
    <w:p>
      <w:pPr>
        <w:pStyle w:val="BodyText"/>
        <w:spacing w:line="360" w:lineRule="auto" w:before="1"/>
        <w:ind w:right="311" w:firstLine="708"/>
      </w:pPr>
      <w:r>
        <w:rPr/>
        <w:t>Ayrıca, çalışma bulguları satışlar için yorum özelliklerinin ayrı ayrı önemlerini de ortaya koymaktadır. Genel anlamda yorum özelliklerinin tamamının satışlar üzerinde etkisi olsa da, bu etkilerin ürün kategorilerine göre farklılaştığı unutulmamalıdır. Bu noktada, araştırmanın kısıtlarından dolayı yöneticilere hangi kategoride hangi özelliğin ön planda olduğunu kesin bir şekilde belirtmek doğru değildir. Ancak, e-perakende şirketlerinin sahip oldukları</w:t>
      </w:r>
      <w:r>
        <w:rPr>
          <w:spacing w:val="-10"/>
        </w:rPr>
        <w:t> </w:t>
      </w:r>
      <w:r>
        <w:rPr/>
        <w:t>büyük</w:t>
      </w:r>
      <w:r>
        <w:rPr>
          <w:spacing w:val="-10"/>
        </w:rPr>
        <w:t> </w:t>
      </w:r>
      <w:r>
        <w:rPr/>
        <w:t>verileri</w:t>
      </w:r>
      <w:r>
        <w:rPr>
          <w:spacing w:val="-10"/>
        </w:rPr>
        <w:t> </w:t>
      </w:r>
      <w:r>
        <w:rPr/>
        <w:t>bu</w:t>
      </w:r>
      <w:r>
        <w:rPr>
          <w:spacing w:val="-10"/>
        </w:rPr>
        <w:t> </w:t>
      </w:r>
      <w:r>
        <w:rPr/>
        <w:t>çalışmada</w:t>
      </w:r>
      <w:r>
        <w:rPr>
          <w:spacing w:val="-11"/>
        </w:rPr>
        <w:t> </w:t>
      </w:r>
      <w:r>
        <w:rPr/>
        <w:t>sunulan</w:t>
      </w:r>
      <w:r>
        <w:rPr>
          <w:spacing w:val="-9"/>
        </w:rPr>
        <w:t> </w:t>
      </w:r>
      <w:r>
        <w:rPr/>
        <w:t>modellerle</w:t>
      </w:r>
      <w:r>
        <w:rPr>
          <w:spacing w:val="-10"/>
        </w:rPr>
        <w:t> </w:t>
      </w:r>
      <w:r>
        <w:rPr/>
        <w:t>her</w:t>
      </w:r>
      <w:r>
        <w:rPr>
          <w:spacing w:val="-10"/>
        </w:rPr>
        <w:t> </w:t>
      </w:r>
      <w:r>
        <w:rPr/>
        <w:t>bir</w:t>
      </w:r>
      <w:r>
        <w:rPr>
          <w:spacing w:val="-10"/>
        </w:rPr>
        <w:t> </w:t>
      </w:r>
      <w:r>
        <w:rPr/>
        <w:t>kategori</w:t>
      </w:r>
      <w:r>
        <w:rPr>
          <w:spacing w:val="-10"/>
        </w:rPr>
        <w:t> </w:t>
      </w:r>
      <w:r>
        <w:rPr/>
        <w:t>için</w:t>
      </w:r>
      <w:r>
        <w:rPr>
          <w:spacing w:val="-10"/>
        </w:rPr>
        <w:t> </w:t>
      </w:r>
      <w:r>
        <w:rPr/>
        <w:t>analiz</w:t>
      </w:r>
      <w:r>
        <w:rPr>
          <w:spacing w:val="-10"/>
        </w:rPr>
        <w:t> </w:t>
      </w:r>
      <w:r>
        <w:rPr/>
        <w:t>etmeleri tavsiye edilmektedir. Bu sayede, şirket verilerinin sunduğu içgörülerle kategorilere özel stratejiler belirlenerek, gerekirse kategorilere özel internet sayfası özelleştirmeleri dahi yapılabilir.</w:t>
      </w:r>
      <w:r>
        <w:rPr>
          <w:spacing w:val="-9"/>
        </w:rPr>
        <w:t> </w:t>
      </w:r>
      <w:r>
        <w:rPr/>
        <w:t>Örneğin,</w:t>
      </w:r>
      <w:r>
        <w:rPr>
          <w:spacing w:val="-8"/>
        </w:rPr>
        <w:t> </w:t>
      </w:r>
      <w:r>
        <w:rPr/>
        <w:t>bir</w:t>
      </w:r>
      <w:r>
        <w:rPr>
          <w:spacing w:val="-8"/>
        </w:rPr>
        <w:t> </w:t>
      </w:r>
      <w:r>
        <w:rPr/>
        <w:t>kategori</w:t>
      </w:r>
      <w:r>
        <w:rPr>
          <w:spacing w:val="-8"/>
        </w:rPr>
        <w:t> </w:t>
      </w:r>
      <w:r>
        <w:rPr/>
        <w:t>için</w:t>
      </w:r>
      <w:r>
        <w:rPr>
          <w:spacing w:val="-8"/>
        </w:rPr>
        <w:t> </w:t>
      </w:r>
      <w:r>
        <w:rPr/>
        <w:t>yorum</w:t>
      </w:r>
      <w:r>
        <w:rPr>
          <w:spacing w:val="-9"/>
        </w:rPr>
        <w:t> </w:t>
      </w:r>
      <w:r>
        <w:rPr/>
        <w:t>sayısının</w:t>
      </w:r>
      <w:r>
        <w:rPr>
          <w:spacing w:val="-7"/>
        </w:rPr>
        <w:t> </w:t>
      </w:r>
      <w:r>
        <w:rPr/>
        <w:t>oldukça</w:t>
      </w:r>
      <w:r>
        <w:rPr>
          <w:spacing w:val="-10"/>
        </w:rPr>
        <w:t> </w:t>
      </w:r>
      <w:r>
        <w:rPr/>
        <w:t>önemli</w:t>
      </w:r>
      <w:r>
        <w:rPr>
          <w:spacing w:val="-8"/>
        </w:rPr>
        <w:t> </w:t>
      </w:r>
      <w:r>
        <w:rPr/>
        <w:t>bir</w:t>
      </w:r>
      <w:r>
        <w:rPr>
          <w:spacing w:val="-8"/>
        </w:rPr>
        <w:t> </w:t>
      </w:r>
      <w:r>
        <w:rPr/>
        <w:t>unsur</w:t>
      </w:r>
      <w:r>
        <w:rPr>
          <w:spacing w:val="-9"/>
        </w:rPr>
        <w:t> </w:t>
      </w:r>
      <w:r>
        <w:rPr/>
        <w:t>olduğu</w:t>
      </w:r>
      <w:r>
        <w:rPr>
          <w:spacing w:val="-4"/>
        </w:rPr>
        <w:t> </w:t>
      </w:r>
      <w:r>
        <w:rPr/>
        <w:t>tespit</w:t>
      </w:r>
    </w:p>
    <w:p>
      <w:pPr>
        <w:spacing w:after="0" w:line="360" w:lineRule="auto"/>
        <w:sectPr>
          <w:pgSz w:w="12240" w:h="15840"/>
          <w:pgMar w:header="718" w:footer="0" w:top="1300" w:bottom="280" w:left="1720" w:right="820"/>
        </w:sectPr>
      </w:pPr>
    </w:p>
    <w:p>
      <w:pPr>
        <w:pStyle w:val="BodyText"/>
        <w:spacing w:line="360" w:lineRule="auto" w:before="100"/>
        <w:ind w:right="312"/>
      </w:pPr>
      <w:r>
        <w:rPr/>
        <w:t>edilirse o kategoriye ait ürün sayfalarında yapılan yorumların sayısı daha ön plana çıkarılabilir.</w:t>
      </w:r>
      <w:r>
        <w:rPr>
          <w:spacing w:val="-17"/>
        </w:rPr>
        <w:t> </w:t>
      </w:r>
      <w:r>
        <w:rPr/>
        <w:t>Benzer</w:t>
      </w:r>
      <w:r>
        <w:rPr>
          <w:spacing w:val="-17"/>
        </w:rPr>
        <w:t> </w:t>
      </w:r>
      <w:r>
        <w:rPr/>
        <w:t>şekilde,</w:t>
      </w:r>
      <w:r>
        <w:rPr>
          <w:spacing w:val="-16"/>
        </w:rPr>
        <w:t> </w:t>
      </w:r>
      <w:r>
        <w:rPr/>
        <w:t>başka</w:t>
      </w:r>
      <w:r>
        <w:rPr>
          <w:spacing w:val="-14"/>
        </w:rPr>
        <w:t> </w:t>
      </w:r>
      <w:r>
        <w:rPr/>
        <w:t>bir</w:t>
      </w:r>
      <w:r>
        <w:rPr>
          <w:spacing w:val="-16"/>
        </w:rPr>
        <w:t> </w:t>
      </w:r>
      <w:r>
        <w:rPr/>
        <w:t>kategori</w:t>
      </w:r>
      <w:r>
        <w:rPr>
          <w:spacing w:val="-16"/>
        </w:rPr>
        <w:t> </w:t>
      </w:r>
      <w:r>
        <w:rPr/>
        <w:t>için</w:t>
      </w:r>
      <w:r>
        <w:rPr>
          <w:spacing w:val="-14"/>
        </w:rPr>
        <w:t> </w:t>
      </w:r>
      <w:r>
        <w:rPr/>
        <w:t>toplam</w:t>
      </w:r>
      <w:r>
        <w:rPr>
          <w:spacing w:val="-16"/>
        </w:rPr>
        <w:t> </w:t>
      </w:r>
      <w:r>
        <w:rPr/>
        <w:t>yorum</w:t>
      </w:r>
      <w:r>
        <w:rPr>
          <w:spacing w:val="-16"/>
        </w:rPr>
        <w:t> </w:t>
      </w:r>
      <w:r>
        <w:rPr/>
        <w:t>sayısından</w:t>
      </w:r>
      <w:r>
        <w:rPr>
          <w:spacing w:val="-14"/>
        </w:rPr>
        <w:t> </w:t>
      </w:r>
      <w:r>
        <w:rPr/>
        <w:t>ziyade</w:t>
      </w:r>
      <w:r>
        <w:rPr>
          <w:spacing w:val="-17"/>
        </w:rPr>
        <w:t> </w:t>
      </w:r>
      <w:r>
        <w:rPr/>
        <w:t>ortalama değerlendirme puanının oldukça önemli olduğu tespit edilirse de bu defa ortalama puanı ön plana çıkaracak şekilde kategoriye ait ürün sayfaları</w:t>
      </w:r>
      <w:r>
        <w:rPr>
          <w:spacing w:val="-6"/>
        </w:rPr>
        <w:t> </w:t>
      </w:r>
      <w:r>
        <w:rPr/>
        <w:t>özelleştirilebilir.</w:t>
      </w:r>
    </w:p>
    <w:p>
      <w:pPr>
        <w:pStyle w:val="Heading1"/>
        <w:numPr>
          <w:ilvl w:val="2"/>
          <w:numId w:val="2"/>
        </w:numPr>
        <w:tabs>
          <w:tab w:pos="1857" w:val="left" w:leader="none"/>
        </w:tabs>
        <w:spacing w:line="240" w:lineRule="auto" w:before="82" w:after="0"/>
        <w:ind w:left="1856" w:right="0" w:hanging="601"/>
        <w:jc w:val="both"/>
      </w:pPr>
      <w:r>
        <w:rPr/>
        <w:t>Çalışmanın Kısıtları</w:t>
      </w:r>
    </w:p>
    <w:p>
      <w:pPr>
        <w:pStyle w:val="BodyText"/>
        <w:spacing w:line="360" w:lineRule="auto" w:before="137"/>
        <w:ind w:right="308" w:firstLine="708"/>
      </w:pPr>
      <w:r>
        <w:rPr/>
        <w:t>Bu çalışma birtakım kısıtlar içerisinde gerçekleştirilmiştir. Öncelikli olarak, bu çalışma Amazon.com’da yapılan satışlarda tüketici kararlarının sadece Amazon.com’daki yorumlara</w:t>
      </w:r>
      <w:r>
        <w:rPr>
          <w:spacing w:val="-6"/>
        </w:rPr>
        <w:t> </w:t>
      </w:r>
      <w:r>
        <w:rPr/>
        <w:t>ait</w:t>
      </w:r>
      <w:r>
        <w:rPr>
          <w:spacing w:val="-4"/>
        </w:rPr>
        <w:t> </w:t>
      </w:r>
      <w:r>
        <w:rPr/>
        <w:t>sayısal</w:t>
      </w:r>
      <w:r>
        <w:rPr>
          <w:spacing w:val="-4"/>
        </w:rPr>
        <w:t> </w:t>
      </w:r>
      <w:r>
        <w:rPr/>
        <w:t>bilgilerden</w:t>
      </w:r>
      <w:r>
        <w:rPr>
          <w:spacing w:val="-5"/>
        </w:rPr>
        <w:t> </w:t>
      </w:r>
      <w:r>
        <w:rPr/>
        <w:t>ve</w:t>
      </w:r>
      <w:r>
        <w:rPr>
          <w:spacing w:val="-6"/>
        </w:rPr>
        <w:t> </w:t>
      </w:r>
      <w:r>
        <w:rPr/>
        <w:t>fiyat</w:t>
      </w:r>
      <w:r>
        <w:rPr>
          <w:spacing w:val="-2"/>
        </w:rPr>
        <w:t> </w:t>
      </w:r>
      <w:r>
        <w:rPr/>
        <w:t>ve</w:t>
      </w:r>
      <w:r>
        <w:rPr>
          <w:spacing w:val="-6"/>
        </w:rPr>
        <w:t> </w:t>
      </w:r>
      <w:r>
        <w:rPr/>
        <w:t>indirim</w:t>
      </w:r>
      <w:r>
        <w:rPr>
          <w:spacing w:val="-4"/>
        </w:rPr>
        <w:t> </w:t>
      </w:r>
      <w:r>
        <w:rPr/>
        <w:t>oranı</w:t>
      </w:r>
      <w:r>
        <w:rPr>
          <w:spacing w:val="-3"/>
        </w:rPr>
        <w:t> </w:t>
      </w:r>
      <w:r>
        <w:rPr/>
        <w:t>bilgilerinden</w:t>
      </w:r>
      <w:r>
        <w:rPr>
          <w:spacing w:val="-5"/>
        </w:rPr>
        <w:t> </w:t>
      </w:r>
      <w:r>
        <w:rPr/>
        <w:t>etkilendiği</w:t>
      </w:r>
      <w:r>
        <w:rPr>
          <w:spacing w:val="-4"/>
        </w:rPr>
        <w:t> </w:t>
      </w:r>
      <w:r>
        <w:rPr/>
        <w:t>varsayımı ile yapılmıştır. Çalışmada kullanılan tüm veriler tek bir kaynaktan toplanmıştır. Ancak, tüketicinin çeşitli kaynaklardan bilgi topladığı</w:t>
      </w:r>
      <w:r>
        <w:rPr>
          <w:spacing w:val="-2"/>
        </w:rPr>
        <w:t> </w:t>
      </w:r>
      <w:r>
        <w:rPr/>
        <w:t>gerçektir.</w:t>
      </w:r>
    </w:p>
    <w:p>
      <w:pPr>
        <w:pStyle w:val="BodyText"/>
        <w:spacing w:line="360" w:lineRule="auto"/>
        <w:ind w:right="309" w:firstLine="708"/>
      </w:pPr>
      <w:r>
        <w:rPr/>
        <w:t>Ürünlere ait yorumların sadece sayısal bilgilerinin analizlerde kullanılmış olması da bir diğer kısıttır. Tüketiciler, bilgi arayışlarında yorumların özet sayısal bilgilerinin yanı</w:t>
      </w:r>
      <w:r>
        <w:rPr>
          <w:spacing w:val="-25"/>
        </w:rPr>
        <w:t> </w:t>
      </w:r>
      <w:r>
        <w:rPr/>
        <w:t>sıra yorumlarda yazılanları da kaynak olarak</w:t>
      </w:r>
      <w:r>
        <w:rPr>
          <w:spacing w:val="-3"/>
        </w:rPr>
        <w:t> </w:t>
      </w:r>
      <w:r>
        <w:rPr/>
        <w:t>kullanmaktadır.</w:t>
      </w:r>
    </w:p>
    <w:p>
      <w:pPr>
        <w:pStyle w:val="BodyText"/>
        <w:spacing w:line="360" w:lineRule="auto"/>
        <w:ind w:right="310" w:firstLine="708"/>
      </w:pPr>
      <w:r>
        <w:rPr/>
        <w:t>Ayrıca, çalışma sadece dört ürün kategorisine ait 161 ürüne ait verilerle yapılmıştır. Oysaki, Amazon.com’da satılan çok daha fazla kategoride ürünler bulunmaktadır. Diğer farklı kategorilerde yorumların satışları farklı biçimlerde etkilemesi olasıdır.</w:t>
      </w:r>
    </w:p>
    <w:p>
      <w:pPr>
        <w:pStyle w:val="Heading1"/>
        <w:numPr>
          <w:ilvl w:val="2"/>
          <w:numId w:val="2"/>
        </w:numPr>
        <w:tabs>
          <w:tab w:pos="1857" w:val="left" w:leader="none"/>
        </w:tabs>
        <w:spacing w:line="240" w:lineRule="auto" w:before="81" w:after="0"/>
        <w:ind w:left="1856" w:right="0" w:hanging="601"/>
        <w:jc w:val="both"/>
      </w:pPr>
      <w:r>
        <w:rPr/>
        <w:t>Gelecek</w:t>
      </w:r>
      <w:r>
        <w:rPr>
          <w:spacing w:val="-1"/>
        </w:rPr>
        <w:t> </w:t>
      </w:r>
      <w:r>
        <w:rPr/>
        <w:t>Çalışmalar</w:t>
      </w:r>
    </w:p>
    <w:p>
      <w:pPr>
        <w:pStyle w:val="BodyText"/>
        <w:spacing w:line="360" w:lineRule="auto" w:before="138"/>
        <w:ind w:right="310" w:firstLine="708"/>
      </w:pPr>
      <w:r>
        <w:rPr/>
        <w:t>Çalışmanın kısıtları ışığında, gelecek çalışmalar için sunulabilecek öneriler şöyle sıralanabilir. Öncelikli olarak, gelecekte bu çalışmada kullanılan modeller kullanarak, Amazon.com dışındaki perakendecilerden toplanan verilerle ve daha farklı ürün kategorileriyle analizler gerçekleştirilmesi yorum özelliklerinin ürün kategorilerine göre ne düzeyde farklılaştığına yönelik içgörüyü genişletebilir. Özellikle, yorum özellikleri içerisinde nötr yorumların literatürde genellikle göz ardı edilmiş olmasından dolayı,</w:t>
      </w:r>
      <w:r>
        <w:rPr>
          <w:spacing w:val="-20"/>
        </w:rPr>
        <w:t> </w:t>
      </w:r>
      <w:r>
        <w:rPr/>
        <w:t>gelecek çalışmalarda nötr yorumların da olumlu ve olumsuz yorumlarla birlikte analizlere dahil edilmesi nötr yorumların satışlar ile ilişkisini daha net ortaya koyabilir. Ayrıca, yorum faydalılığı gibi yorumlara ait diğer unsurların da bu çalışmadaki modellere dahil edilmesi yorum-satış ilişkisine farklı bakış açıları getirebilir. Son olarak, ürün kategorisi haricinde farklı bir etmenin de aracılık etkisine bu çalışmanın modellerinde yer verilebilir. Örneğin, ürün kategorisi ile birlikte markalar da aracı değişken olarak modellere dahil</w:t>
      </w:r>
      <w:r>
        <w:rPr>
          <w:spacing w:val="-7"/>
        </w:rPr>
        <w:t> </w:t>
      </w:r>
      <w:r>
        <w:rPr/>
        <w:t>edilebilir.</w:t>
      </w:r>
    </w:p>
    <w:p>
      <w:pPr>
        <w:spacing w:after="0" w:line="360" w:lineRule="auto"/>
        <w:sectPr>
          <w:pgSz w:w="12240" w:h="15840"/>
          <w:pgMar w:header="718" w:footer="0" w:top="1300" w:bottom="280" w:left="1720" w:right="820"/>
        </w:sectPr>
      </w:pPr>
    </w:p>
    <w:p>
      <w:pPr>
        <w:pStyle w:val="Heading1"/>
        <w:spacing w:before="100"/>
        <w:ind w:left="1272" w:right="328" w:firstLine="0"/>
        <w:jc w:val="center"/>
      </w:pPr>
      <w:r>
        <w:rPr/>
        <w:t>ÜÇÜNCÜ BÖLÜM</w:t>
      </w:r>
    </w:p>
    <w:p>
      <w:pPr>
        <w:pStyle w:val="BodyText"/>
        <w:spacing w:before="10"/>
        <w:ind w:left="0"/>
        <w:jc w:val="left"/>
        <w:rPr>
          <w:b/>
          <w:sz w:val="25"/>
        </w:rPr>
      </w:pPr>
    </w:p>
    <w:p>
      <w:pPr>
        <w:spacing w:before="1"/>
        <w:ind w:left="562" w:right="328" w:firstLine="0"/>
        <w:jc w:val="center"/>
        <w:rPr>
          <w:b/>
          <w:sz w:val="24"/>
        </w:rPr>
      </w:pPr>
      <w:r>
        <w:rPr>
          <w:b/>
          <w:sz w:val="24"/>
        </w:rPr>
        <w:t>ONLİNE YORUMLARIN SATIŞLARA ETKİSİ: ETSY.COM ÖRNEĞİ</w:t>
      </w:r>
    </w:p>
    <w:p>
      <w:pPr>
        <w:pStyle w:val="BodyText"/>
        <w:spacing w:before="11"/>
        <w:ind w:left="0"/>
        <w:jc w:val="left"/>
        <w:rPr>
          <w:b/>
          <w:sz w:val="32"/>
        </w:rPr>
      </w:pPr>
    </w:p>
    <w:p>
      <w:pPr>
        <w:pStyle w:val="BodyText"/>
        <w:spacing w:line="360" w:lineRule="auto"/>
        <w:ind w:right="311" w:firstLine="708"/>
      </w:pPr>
      <w:r>
        <w:rPr/>
        <w:t>Yorumların satışlar üzerine etkisini incelemeyi amaçlayan bu tezin uygulama kısmı iki bölümden oluşmaktadır. İlk uygulamada, önceki bölümde, ürünler hakkında yapılan yorumların satışlara etkisine odaklanılmıştır. İkinci uygulama ise, satıcılar hakkında yapılan yorumların satışlara etkisini incelemek için Etsy.com’dan toplanan verilerle gerçekleştirilmiştir.</w:t>
      </w:r>
    </w:p>
    <w:p>
      <w:pPr>
        <w:pStyle w:val="BodyText"/>
        <w:spacing w:line="360" w:lineRule="auto"/>
        <w:ind w:right="312" w:firstLine="708"/>
      </w:pPr>
      <w:r>
        <w:rPr/>
        <w:t>Bu bölümde, öncelikli olarak Etsy’nin tarihçesinden ve yorum sisteminden bahsedilmektedir. Metodoloji kısmında ise, sırasıyla araştırmanın amacı, modeli,</w:t>
      </w:r>
      <w:r>
        <w:rPr>
          <w:spacing w:val="-36"/>
        </w:rPr>
        <w:t> </w:t>
      </w:r>
      <w:r>
        <w:rPr/>
        <w:t>hipotezleri ve bulguları</w:t>
      </w:r>
      <w:r>
        <w:rPr>
          <w:spacing w:val="-2"/>
        </w:rPr>
        <w:t> </w:t>
      </w:r>
      <w:r>
        <w:rPr/>
        <w:t>sunulmaktadır.</w:t>
      </w:r>
    </w:p>
    <w:p>
      <w:pPr>
        <w:pStyle w:val="Heading1"/>
        <w:numPr>
          <w:ilvl w:val="1"/>
          <w:numId w:val="3"/>
        </w:numPr>
        <w:tabs>
          <w:tab w:pos="1677" w:val="left" w:leader="none"/>
        </w:tabs>
        <w:spacing w:line="240" w:lineRule="auto" w:before="159" w:after="0"/>
        <w:ind w:left="1676" w:right="0" w:hanging="421"/>
        <w:jc w:val="both"/>
      </w:pPr>
      <w:r>
        <w:rPr/>
        <w:t>Etsy</w:t>
      </w:r>
    </w:p>
    <w:p>
      <w:pPr>
        <w:pStyle w:val="BodyText"/>
        <w:spacing w:line="360" w:lineRule="auto" w:before="139"/>
        <w:ind w:right="319" w:firstLine="828"/>
      </w:pPr>
      <w:r>
        <w:rPr/>
        <w:t>Bu bölümde, tezin ikinci uygulama kısmında kullanılan veri setini içeren Etsy.com’un tarihçesine ve yorum sistemine değinilmektedir.</w:t>
      </w:r>
    </w:p>
    <w:p>
      <w:pPr>
        <w:pStyle w:val="Heading1"/>
        <w:numPr>
          <w:ilvl w:val="2"/>
          <w:numId w:val="3"/>
        </w:numPr>
        <w:tabs>
          <w:tab w:pos="1857" w:val="left" w:leader="none"/>
        </w:tabs>
        <w:spacing w:line="240" w:lineRule="auto" w:before="118" w:after="0"/>
        <w:ind w:left="1856" w:right="0" w:hanging="601"/>
        <w:jc w:val="both"/>
      </w:pPr>
      <w:r>
        <w:rPr/>
        <w:t>Etsy</w:t>
      </w:r>
      <w:r>
        <w:rPr>
          <w:spacing w:val="-1"/>
        </w:rPr>
        <w:t> </w:t>
      </w:r>
      <w:r>
        <w:rPr/>
        <w:t>Tarihçesi</w:t>
      </w:r>
    </w:p>
    <w:p>
      <w:pPr>
        <w:pStyle w:val="BodyText"/>
        <w:spacing w:line="360" w:lineRule="auto" w:before="139"/>
        <w:ind w:right="310" w:firstLine="708"/>
      </w:pPr>
      <w:r>
        <w:rPr/>
        <w:pict>
          <v:group style="position:absolute;margin-left:114.644997pt;margin-top:70.288109pt;width:441.85pt;height:225pt;mso-position-horizontal-relative:page;mso-position-vertical-relative:paragraph;z-index:-15707648;mso-wrap-distance-left:0;mso-wrap-distance-right:0" coordorigin="2293,1406" coordsize="8837,4500" alt="C:\Users\Pau\AppData\Local\Microsoft\Windows\INetCache\Content.Word\etsy ilk hali.png">
            <v:shape style="position:absolute;left:2356;top:1410;width:8769;height:4490" type="#_x0000_t75" alt="C:\Users\Pau\AppData\Local\Microsoft\Windows\INetCache\Content.Word\etsy ilk hali.png" stroked="false">
              <v:imagedata r:id="rId26" o:title=""/>
            </v:shape>
            <v:rect style="position:absolute;left:2295;top:1408;width:8832;height:4495" filled="false" stroked="true" strokeweight=".25pt" strokecolor="#000000">
              <v:stroke dashstyle="solid"/>
            </v:rect>
            <w10:wrap type="topAndBottom"/>
          </v:group>
        </w:pict>
      </w:r>
      <w:r>
        <w:rPr/>
        <w:t>Etsy, 2005 yılında Rob Kalin ve iki arkadaşı, Chris Maguire ve Haim Schoppik, tarafından</w:t>
      </w:r>
      <w:r>
        <w:rPr>
          <w:spacing w:val="-14"/>
        </w:rPr>
        <w:t> </w:t>
      </w:r>
      <w:r>
        <w:rPr/>
        <w:t>Brooklyn,</w:t>
      </w:r>
      <w:r>
        <w:rPr>
          <w:spacing w:val="-15"/>
        </w:rPr>
        <w:t> </w:t>
      </w:r>
      <w:r>
        <w:rPr/>
        <w:t>New</w:t>
      </w:r>
      <w:r>
        <w:rPr>
          <w:spacing w:val="-15"/>
        </w:rPr>
        <w:t> </w:t>
      </w:r>
      <w:r>
        <w:rPr/>
        <w:t>York’da</w:t>
      </w:r>
      <w:r>
        <w:rPr>
          <w:spacing w:val="-18"/>
        </w:rPr>
        <w:t> </w:t>
      </w:r>
      <w:r>
        <w:rPr/>
        <w:t>kurulmuştur</w:t>
      </w:r>
      <w:r>
        <w:rPr>
          <w:spacing w:val="-16"/>
        </w:rPr>
        <w:t> </w:t>
      </w:r>
      <w:r>
        <w:rPr/>
        <w:t>(Fitzgerald,</w:t>
      </w:r>
      <w:r>
        <w:rPr>
          <w:spacing w:val="-15"/>
        </w:rPr>
        <w:t> </w:t>
      </w:r>
      <w:r>
        <w:rPr/>
        <w:t>2009).</w:t>
      </w:r>
      <w:r>
        <w:rPr>
          <w:spacing w:val="-11"/>
        </w:rPr>
        <w:t> </w:t>
      </w:r>
      <w:r>
        <w:rPr/>
        <w:t>Şekil</w:t>
      </w:r>
      <w:r>
        <w:rPr>
          <w:spacing w:val="-14"/>
        </w:rPr>
        <w:t> </w:t>
      </w:r>
      <w:r>
        <w:rPr/>
        <w:t>12’de</w:t>
      </w:r>
      <w:r>
        <w:rPr>
          <w:spacing w:val="-18"/>
        </w:rPr>
        <w:t> </w:t>
      </w:r>
      <w:r>
        <w:rPr/>
        <w:t>Etsy.com</w:t>
      </w:r>
      <w:r>
        <w:rPr>
          <w:spacing w:val="-13"/>
        </w:rPr>
        <w:t> </w:t>
      </w:r>
      <w:r>
        <w:rPr/>
        <w:t>ana sayfasının ilk hali</w:t>
      </w:r>
      <w:r>
        <w:rPr>
          <w:spacing w:val="-1"/>
        </w:rPr>
        <w:t> </w:t>
      </w:r>
      <w:r>
        <w:rPr/>
        <w:t>görülmektedir.</w:t>
      </w:r>
    </w:p>
    <w:p>
      <w:pPr>
        <w:spacing w:before="5"/>
        <w:ind w:left="548" w:right="0" w:firstLine="0"/>
        <w:jc w:val="left"/>
        <w:rPr>
          <w:sz w:val="24"/>
        </w:rPr>
      </w:pPr>
      <w:r>
        <w:rPr>
          <w:b/>
          <w:sz w:val="24"/>
        </w:rPr>
        <w:t>Şekil 12: </w:t>
      </w:r>
      <w:r>
        <w:rPr>
          <w:sz w:val="24"/>
        </w:rPr>
        <w:t>Etsy.com ana sayfasının ilk hali</w:t>
      </w:r>
    </w:p>
    <w:p>
      <w:pPr>
        <w:pStyle w:val="BodyText"/>
        <w:jc w:val="left"/>
      </w:pPr>
      <w:r>
        <w:rPr/>
        <w:t>Kaynak: https://web.archive.org/web/2005063023</w:t>
      </w:r>
      <w:hyperlink r:id="rId27">
        <w:r>
          <w:rPr/>
          <w:t>4058/ht</w:t>
        </w:r>
      </w:hyperlink>
      <w:r>
        <w:rPr/>
        <w:t>tp://</w:t>
      </w:r>
      <w:hyperlink r:id="rId27">
        <w:r>
          <w:rPr/>
          <w:t>www.etsy.com/ </w:t>
        </w:r>
      </w:hyperlink>
      <w:r>
        <w:rPr/>
        <w:t>(16/01/2020)</w:t>
      </w:r>
    </w:p>
    <w:p>
      <w:pPr>
        <w:spacing w:after="0"/>
        <w:jc w:val="left"/>
        <w:sectPr>
          <w:pgSz w:w="12240" w:h="15840"/>
          <w:pgMar w:header="718" w:footer="0" w:top="1300" w:bottom="280" w:left="1720" w:right="820"/>
        </w:sectPr>
      </w:pPr>
    </w:p>
    <w:p>
      <w:pPr>
        <w:pStyle w:val="BodyText"/>
        <w:spacing w:line="360" w:lineRule="auto" w:before="100"/>
        <w:ind w:right="308" w:firstLine="708"/>
      </w:pPr>
      <w:r>
        <w:rPr/>
        <w:t>Etsy, satıcıların kendilerinin ürettiği ya da tasarladığı el yapımı ürünlerin, en az 20 yıllık klasik (vintage) ürünlerin ve el yapımı ürünler için malzemelerin satıldığı online bir pazar alanıdır (Eldridge, 2019). İlk günden itibaren zanaatkarların kendi tasarladıkları el yapımı ürünlerini satabilecekleri bir platform olarak kendisini konumlandıran Etsy, kısa sürede başarıya ulaşan bir girişim olmuştur. Henüz iki yaşındayken, 2007’de yaklaşık 450 bin satıcının bulunduğu ve yıllık 26 milyon $’lık satışın gerçekleştiği bir platform haline gelmiştir. Temmuz 2007’de Etsy üzerinden 1 milyonuncu satış gerçekleşmiştir (Majewski, 2015).</w:t>
      </w:r>
      <w:r>
        <w:rPr>
          <w:spacing w:val="-10"/>
        </w:rPr>
        <w:t> </w:t>
      </w:r>
      <w:r>
        <w:rPr/>
        <w:t>2008</w:t>
      </w:r>
      <w:r>
        <w:rPr>
          <w:spacing w:val="-9"/>
        </w:rPr>
        <w:t> </w:t>
      </w:r>
      <w:r>
        <w:rPr/>
        <w:t>yılında</w:t>
      </w:r>
      <w:r>
        <w:rPr>
          <w:spacing w:val="-9"/>
        </w:rPr>
        <w:t> </w:t>
      </w:r>
      <w:r>
        <w:rPr/>
        <w:t>toplam</w:t>
      </w:r>
      <w:r>
        <w:rPr>
          <w:spacing w:val="-9"/>
        </w:rPr>
        <w:t> </w:t>
      </w:r>
      <w:r>
        <w:rPr/>
        <w:t>satış</w:t>
      </w:r>
      <w:r>
        <w:rPr>
          <w:spacing w:val="-9"/>
        </w:rPr>
        <w:t> </w:t>
      </w:r>
      <w:r>
        <w:rPr/>
        <w:t>rakamı</w:t>
      </w:r>
      <w:r>
        <w:rPr>
          <w:spacing w:val="-8"/>
        </w:rPr>
        <w:t> </w:t>
      </w:r>
      <w:r>
        <w:rPr/>
        <w:t>bir</w:t>
      </w:r>
      <w:r>
        <w:rPr>
          <w:spacing w:val="-9"/>
        </w:rPr>
        <w:t> </w:t>
      </w:r>
      <w:r>
        <w:rPr/>
        <w:t>önceki</w:t>
      </w:r>
      <w:r>
        <w:rPr>
          <w:spacing w:val="-11"/>
        </w:rPr>
        <w:t> </w:t>
      </w:r>
      <w:r>
        <w:rPr/>
        <w:t>yılın</w:t>
      </w:r>
      <w:r>
        <w:rPr>
          <w:spacing w:val="-9"/>
        </w:rPr>
        <w:t> </w:t>
      </w:r>
      <w:r>
        <w:rPr/>
        <w:t>yaklaşık</w:t>
      </w:r>
      <w:r>
        <w:rPr>
          <w:spacing w:val="-8"/>
        </w:rPr>
        <w:t> </w:t>
      </w:r>
      <w:r>
        <w:rPr/>
        <w:t>üç</w:t>
      </w:r>
      <w:r>
        <w:rPr>
          <w:spacing w:val="-10"/>
        </w:rPr>
        <w:t> </w:t>
      </w:r>
      <w:r>
        <w:rPr/>
        <w:t>katına</w:t>
      </w:r>
      <w:r>
        <w:rPr>
          <w:spacing w:val="-10"/>
        </w:rPr>
        <w:t> </w:t>
      </w:r>
      <w:r>
        <w:rPr/>
        <w:t>çıkarak</w:t>
      </w:r>
      <w:r>
        <w:rPr>
          <w:spacing w:val="-10"/>
        </w:rPr>
        <w:t> </w:t>
      </w:r>
      <w:r>
        <w:rPr/>
        <w:t>90</w:t>
      </w:r>
      <w:r>
        <w:rPr>
          <w:spacing w:val="-9"/>
        </w:rPr>
        <w:t> </w:t>
      </w:r>
      <w:r>
        <w:rPr/>
        <w:t>milyon</w:t>
      </w:r>
    </w:p>
    <w:p>
      <w:pPr>
        <w:pStyle w:val="BodyText"/>
        <w:spacing w:line="360" w:lineRule="auto" w:before="1"/>
        <w:ind w:right="316"/>
      </w:pPr>
      <w:r>
        <w:rPr/>
        <w:t>$’a ulaşmıştır. Başarılı bir girişim olan Etsy 2007, 2008 ve 2011 yıllarında önemli miktarlarda girişim fonu elde etmiştir (Fitzgerald, 2009).</w:t>
      </w:r>
    </w:p>
    <w:p>
      <w:pPr>
        <w:pStyle w:val="BodyText"/>
        <w:spacing w:line="360" w:lineRule="auto"/>
        <w:ind w:right="309" w:firstLine="708"/>
      </w:pPr>
      <w:r>
        <w:rPr/>
        <w:t>Hızlı büyümenin sonucu olarak, şirketin kurumsal olarak yönetilmesi ihtiyacı ortaya çıkmış, şirket kurucularının idealist yaklaşımları devamlılık için yetersiz kalmış ve kuruculardan Chris Maguire ve Haim Schoppik 2008’de şirketten ayrılmışlardır Aynı yıl, Kalin, Yahoo’da ürün direktörlüğü yapmış olan Chad Dickerson’ı teknolojiden sorumlu yönetici olarak işe almış ve kendisi de yavaş yavaş sorumluluklarını azaltmaya başlamıştır (Reader, 2015). 2011 yılında şirket yönetim kurulu Kalin’ın yerine Dickerson’ı yönetim kurulu</w:t>
      </w:r>
      <w:r>
        <w:rPr>
          <w:spacing w:val="-17"/>
        </w:rPr>
        <w:t> </w:t>
      </w:r>
      <w:r>
        <w:rPr/>
        <w:t>başkanı</w:t>
      </w:r>
      <w:r>
        <w:rPr>
          <w:spacing w:val="-16"/>
        </w:rPr>
        <w:t> </w:t>
      </w:r>
      <w:r>
        <w:rPr/>
        <w:t>olarak</w:t>
      </w:r>
      <w:r>
        <w:rPr>
          <w:spacing w:val="-14"/>
        </w:rPr>
        <w:t> </w:t>
      </w:r>
      <w:r>
        <w:rPr/>
        <w:t>atamıştır</w:t>
      </w:r>
      <w:r>
        <w:rPr>
          <w:spacing w:val="-18"/>
        </w:rPr>
        <w:t> </w:t>
      </w:r>
      <w:r>
        <w:rPr/>
        <w:t>(Gelles,</w:t>
      </w:r>
      <w:r>
        <w:rPr>
          <w:spacing w:val="-17"/>
        </w:rPr>
        <w:t> </w:t>
      </w:r>
      <w:r>
        <w:rPr/>
        <w:t>2017).</w:t>
      </w:r>
      <w:r>
        <w:rPr>
          <w:spacing w:val="-17"/>
        </w:rPr>
        <w:t> </w:t>
      </w:r>
      <w:r>
        <w:rPr/>
        <w:t>Dickerson</w:t>
      </w:r>
      <w:r>
        <w:rPr>
          <w:spacing w:val="-17"/>
        </w:rPr>
        <w:t> </w:t>
      </w:r>
      <w:r>
        <w:rPr/>
        <w:t>yönetiminin</w:t>
      </w:r>
      <w:r>
        <w:rPr>
          <w:spacing w:val="-13"/>
        </w:rPr>
        <w:t> </w:t>
      </w:r>
      <w:r>
        <w:rPr/>
        <w:t>ikinci</w:t>
      </w:r>
      <w:r>
        <w:rPr>
          <w:spacing w:val="-19"/>
        </w:rPr>
        <w:t> </w:t>
      </w:r>
      <w:r>
        <w:rPr/>
        <w:t>yılında,</w:t>
      </w:r>
      <w:r>
        <w:rPr>
          <w:spacing w:val="-17"/>
        </w:rPr>
        <w:t> </w:t>
      </w:r>
      <w:r>
        <w:rPr/>
        <w:t>2013’te, şirket finansal gücünü sağlamlaştırmak adına idealist köklerinden uzaklaşarak satıcılar için kullanım şartlarını esnetmiş ve satıcıların tasarımlarını başka üreticilere/imalathanelere ürettirip satmasına da izin vermiştir (Tiffany, 2019). Mayıs 2017’de Dickerson’ın görevine son verilmiş yerine American Express, Skype ve eBay’de üst düzey yöneticilik ve yönetim kurulu başkanlığı yapmış olan Josh Silverman yönetim kurulu başkanı olarak atanmıştır ve halen görevine devam etmektedir (Gelles,</w:t>
      </w:r>
      <w:r>
        <w:rPr>
          <w:spacing w:val="-1"/>
        </w:rPr>
        <w:t> </w:t>
      </w:r>
      <w:r>
        <w:rPr/>
        <w:t>2017).</w:t>
      </w:r>
    </w:p>
    <w:p>
      <w:pPr>
        <w:pStyle w:val="BodyText"/>
        <w:spacing w:line="360" w:lineRule="auto"/>
        <w:ind w:right="311" w:firstLine="708"/>
      </w:pPr>
      <w:r>
        <w:rPr/>
        <w:t>Etsy</w:t>
      </w:r>
      <w:r>
        <w:rPr>
          <w:spacing w:val="-12"/>
        </w:rPr>
        <w:t> </w:t>
      </w:r>
      <w:r>
        <w:rPr/>
        <w:t>tarihinde</w:t>
      </w:r>
      <w:r>
        <w:rPr>
          <w:spacing w:val="-12"/>
        </w:rPr>
        <w:t> </w:t>
      </w:r>
      <w:r>
        <w:rPr/>
        <w:t>şirket</w:t>
      </w:r>
      <w:r>
        <w:rPr>
          <w:spacing w:val="-8"/>
        </w:rPr>
        <w:t> </w:t>
      </w:r>
      <w:r>
        <w:rPr/>
        <w:t>alımları</w:t>
      </w:r>
      <w:r>
        <w:rPr>
          <w:spacing w:val="-11"/>
        </w:rPr>
        <w:t> </w:t>
      </w:r>
      <w:r>
        <w:rPr/>
        <w:t>ve</w:t>
      </w:r>
      <w:r>
        <w:rPr>
          <w:spacing w:val="-12"/>
        </w:rPr>
        <w:t> </w:t>
      </w:r>
      <w:r>
        <w:rPr/>
        <w:t>uluslararası</w:t>
      </w:r>
      <w:r>
        <w:rPr>
          <w:spacing w:val="-10"/>
        </w:rPr>
        <w:t> </w:t>
      </w:r>
      <w:r>
        <w:rPr/>
        <w:t>pazarlara</w:t>
      </w:r>
      <w:r>
        <w:rPr>
          <w:spacing w:val="-13"/>
        </w:rPr>
        <w:t> </w:t>
      </w:r>
      <w:r>
        <w:rPr/>
        <w:t>giriş</w:t>
      </w:r>
      <w:r>
        <w:rPr>
          <w:spacing w:val="-11"/>
        </w:rPr>
        <w:t> </w:t>
      </w:r>
      <w:r>
        <w:rPr/>
        <w:t>de</w:t>
      </w:r>
      <w:r>
        <w:rPr>
          <w:spacing w:val="-11"/>
        </w:rPr>
        <w:t> </w:t>
      </w:r>
      <w:r>
        <w:rPr/>
        <w:t>önemli</w:t>
      </w:r>
      <w:r>
        <w:rPr>
          <w:spacing w:val="-11"/>
        </w:rPr>
        <w:t> </w:t>
      </w:r>
      <w:r>
        <w:rPr/>
        <w:t>yer</w:t>
      </w:r>
      <w:r>
        <w:rPr>
          <w:spacing w:val="-10"/>
        </w:rPr>
        <w:t> </w:t>
      </w:r>
      <w:r>
        <w:rPr/>
        <w:t>tutmaktadır. 2009’da</w:t>
      </w:r>
      <w:r>
        <w:rPr>
          <w:spacing w:val="-15"/>
        </w:rPr>
        <w:t> </w:t>
      </w:r>
      <w:r>
        <w:rPr/>
        <w:t>reklam</w:t>
      </w:r>
      <w:r>
        <w:rPr>
          <w:spacing w:val="-14"/>
        </w:rPr>
        <w:t> </w:t>
      </w:r>
      <w:r>
        <w:rPr/>
        <w:t>platformu</w:t>
      </w:r>
      <w:r>
        <w:rPr>
          <w:spacing w:val="-13"/>
        </w:rPr>
        <w:t> </w:t>
      </w:r>
      <w:r>
        <w:rPr/>
        <w:t>Adtuitive’i,</w:t>
      </w:r>
      <w:r>
        <w:rPr>
          <w:spacing w:val="-14"/>
        </w:rPr>
        <w:t> </w:t>
      </w:r>
      <w:r>
        <w:rPr/>
        <w:t>2012’de</w:t>
      </w:r>
      <w:r>
        <w:rPr>
          <w:spacing w:val="-14"/>
        </w:rPr>
        <w:t> </w:t>
      </w:r>
      <w:r>
        <w:rPr/>
        <w:t>toptan</w:t>
      </w:r>
      <w:r>
        <w:rPr>
          <w:spacing w:val="-14"/>
        </w:rPr>
        <w:t> </w:t>
      </w:r>
      <w:r>
        <w:rPr/>
        <w:t>zanaat</w:t>
      </w:r>
      <w:r>
        <w:rPr>
          <w:spacing w:val="-13"/>
        </w:rPr>
        <w:t> </w:t>
      </w:r>
      <w:r>
        <w:rPr/>
        <w:t>ürünleri</w:t>
      </w:r>
      <w:r>
        <w:rPr>
          <w:spacing w:val="-15"/>
        </w:rPr>
        <w:t> </w:t>
      </w:r>
      <w:r>
        <w:rPr/>
        <w:t>satan</w:t>
      </w:r>
      <w:r>
        <w:rPr>
          <w:spacing w:val="-12"/>
        </w:rPr>
        <w:t> </w:t>
      </w:r>
      <w:r>
        <w:rPr/>
        <w:t>Trunkt’ı,</w:t>
      </w:r>
      <w:r>
        <w:rPr>
          <w:spacing w:val="-14"/>
        </w:rPr>
        <w:t> </w:t>
      </w:r>
      <w:r>
        <w:rPr/>
        <w:t>2013’te mobil araçlar için sosyal ağ uygulamaları geliştiren Lascaux’u, 2014’te yaratıcı teknoloji pazar alanı Grand St.’i ve Fransız online pazar alanı A Little Market’i (Majewski, 2015) ve 2019’da müzik aletleri satan Reverb‘ü satın almıştır (Vega, 2019). 2012 yılından itibaren, başlangıçta Fransa, Almanya, Avustralya ve sonrasında İngiltere ve İrlanda pazarlarına girmiştir (Majewski,</w:t>
      </w:r>
      <w:r>
        <w:rPr>
          <w:spacing w:val="-2"/>
        </w:rPr>
        <w:t> </w:t>
      </w:r>
      <w:r>
        <w:rPr/>
        <w:t>2015).</w:t>
      </w:r>
    </w:p>
    <w:p>
      <w:pPr>
        <w:spacing w:after="0" w:line="360" w:lineRule="auto"/>
        <w:sectPr>
          <w:pgSz w:w="12240" w:h="15840"/>
          <w:pgMar w:header="718" w:footer="0" w:top="1300" w:bottom="280" w:left="1720" w:right="820"/>
        </w:sectPr>
      </w:pPr>
    </w:p>
    <w:p>
      <w:pPr>
        <w:pStyle w:val="BodyText"/>
        <w:spacing w:line="360" w:lineRule="auto" w:before="100"/>
        <w:ind w:right="309" w:firstLine="708"/>
      </w:pPr>
      <w:r>
        <w:rPr/>
        <w:t>Kurulduktan 10 yıl sonra, 2015’te, Etsy halka açılmıştır. Halka açıldığı günlerde Etsy’nin bünyesinde yaklaşık 1.4 milyon aktif satıcı ve 20 milyon alıcı bulunmakta ve yıllık yaklaşık 2 milyar $’lık ürün satışı gerçekleşmekteydi (Gelles, 2017). Günümüzde ise, Etsy yaklaşık 1200 çalışana, 2.6 milyon aktif satıcıya, 44.8 milyon aktıf alıcıya, 60 milyondan fazla listelenen ürüne ve 4 milyar $’a yakın yıllık ürün satışına sahiptir (Etsy, e.t. 15/01/2020).</w:t>
      </w:r>
    </w:p>
    <w:p>
      <w:pPr>
        <w:pStyle w:val="BodyText"/>
        <w:spacing w:line="360" w:lineRule="auto" w:before="1"/>
        <w:ind w:right="308" w:firstLine="708"/>
      </w:pPr>
      <w:r>
        <w:rPr/>
        <w:t>Etsy dünyanın 83 ülkesinden satıcılara ev sahipliği yapmaktadır. Etsy’de aktif satış yapanların</w:t>
      </w:r>
      <w:r>
        <w:rPr>
          <w:spacing w:val="-11"/>
        </w:rPr>
        <w:t> </w:t>
      </w:r>
      <w:r>
        <w:rPr/>
        <w:t>önemli</w:t>
      </w:r>
      <w:r>
        <w:rPr>
          <w:spacing w:val="-13"/>
        </w:rPr>
        <w:t> </w:t>
      </w:r>
      <w:r>
        <w:rPr/>
        <w:t>bir</w:t>
      </w:r>
      <w:r>
        <w:rPr>
          <w:spacing w:val="-14"/>
        </w:rPr>
        <w:t> </w:t>
      </w:r>
      <w:r>
        <w:rPr/>
        <w:t>kısmını</w:t>
      </w:r>
      <w:r>
        <w:rPr>
          <w:spacing w:val="-11"/>
        </w:rPr>
        <w:t> </w:t>
      </w:r>
      <w:r>
        <w:rPr/>
        <w:t>kadınlar</w:t>
      </w:r>
      <w:r>
        <w:rPr>
          <w:spacing w:val="-13"/>
        </w:rPr>
        <w:t> </w:t>
      </w:r>
      <w:r>
        <w:rPr/>
        <w:t>(%87)</w:t>
      </w:r>
      <w:r>
        <w:rPr>
          <w:spacing w:val="36"/>
        </w:rPr>
        <w:t> </w:t>
      </w:r>
      <w:r>
        <w:rPr/>
        <w:t>oluşturmaktadır.</w:t>
      </w:r>
      <w:r>
        <w:rPr>
          <w:spacing w:val="-13"/>
        </w:rPr>
        <w:t> </w:t>
      </w:r>
      <w:r>
        <w:rPr/>
        <w:t>Satıcıların</w:t>
      </w:r>
      <w:r>
        <w:rPr>
          <w:spacing w:val="-10"/>
        </w:rPr>
        <w:t> </w:t>
      </w:r>
      <w:r>
        <w:rPr/>
        <w:t>ortanca</w:t>
      </w:r>
      <w:r>
        <w:rPr>
          <w:spacing w:val="-11"/>
        </w:rPr>
        <w:t> </w:t>
      </w:r>
      <w:r>
        <w:rPr/>
        <w:t>yaşı</w:t>
      </w:r>
      <w:r>
        <w:rPr>
          <w:spacing w:val="-13"/>
        </w:rPr>
        <w:t> </w:t>
      </w:r>
      <w:r>
        <w:rPr/>
        <w:t>37’dir ve %59’u lisans ve lisansüstü diplomasına sahiptir. Satıcıların %95’i evlerinden Etsy’deki işlerini yürütmekte ve %13’ü 4 yıldan uzun süredir Etsy’de satış yapmaktadır. Etsy’de yapılan</w:t>
      </w:r>
      <w:r>
        <w:rPr>
          <w:spacing w:val="-7"/>
        </w:rPr>
        <w:t> </w:t>
      </w:r>
      <w:r>
        <w:rPr/>
        <w:t>satışların</w:t>
      </w:r>
      <w:r>
        <w:rPr>
          <w:spacing w:val="-7"/>
        </w:rPr>
        <w:t> </w:t>
      </w:r>
      <w:r>
        <w:rPr/>
        <w:t>yaklaşık</w:t>
      </w:r>
      <w:r>
        <w:rPr>
          <w:spacing w:val="-6"/>
        </w:rPr>
        <w:t> </w:t>
      </w:r>
      <w:r>
        <w:rPr/>
        <w:t>%34’ü</w:t>
      </w:r>
      <w:r>
        <w:rPr>
          <w:spacing w:val="-8"/>
        </w:rPr>
        <w:t> </w:t>
      </w:r>
      <w:r>
        <w:rPr/>
        <w:t>Amerika</w:t>
      </w:r>
      <w:r>
        <w:rPr>
          <w:spacing w:val="-8"/>
        </w:rPr>
        <w:t> </w:t>
      </w:r>
      <w:r>
        <w:rPr/>
        <w:t>dışına</w:t>
      </w:r>
      <w:r>
        <w:rPr>
          <w:spacing w:val="-5"/>
        </w:rPr>
        <w:t> </w:t>
      </w:r>
      <w:r>
        <w:rPr/>
        <w:t>gerçekleşmekte</w:t>
      </w:r>
      <w:r>
        <w:rPr>
          <w:spacing w:val="-8"/>
        </w:rPr>
        <w:t> </w:t>
      </w:r>
      <w:r>
        <w:rPr/>
        <w:t>ve</w:t>
      </w:r>
      <w:r>
        <w:rPr>
          <w:spacing w:val="-8"/>
        </w:rPr>
        <w:t> </w:t>
      </w:r>
      <w:r>
        <w:rPr/>
        <w:t>Etsy</w:t>
      </w:r>
      <w:r>
        <w:rPr>
          <w:spacing w:val="-6"/>
        </w:rPr>
        <w:t> </w:t>
      </w:r>
      <w:r>
        <w:rPr/>
        <w:t>alıcılarının</w:t>
      </w:r>
      <w:r>
        <w:rPr>
          <w:spacing w:val="-7"/>
        </w:rPr>
        <w:t> </w:t>
      </w:r>
      <w:r>
        <w:rPr/>
        <w:t>%92’si Etsy’deki ürünleri başka bir yerde bulamayacaklarını düşünmektedir (Smith,</w:t>
      </w:r>
      <w:r>
        <w:rPr>
          <w:spacing w:val="-6"/>
        </w:rPr>
        <w:t> </w:t>
      </w:r>
      <w:r>
        <w:rPr/>
        <w:t>2019).</w:t>
      </w:r>
    </w:p>
    <w:p>
      <w:pPr>
        <w:pStyle w:val="Heading1"/>
        <w:numPr>
          <w:ilvl w:val="2"/>
          <w:numId w:val="3"/>
        </w:numPr>
        <w:tabs>
          <w:tab w:pos="1857" w:val="left" w:leader="none"/>
        </w:tabs>
        <w:spacing w:line="240" w:lineRule="auto" w:before="121" w:after="0"/>
        <w:ind w:left="1856" w:right="0" w:hanging="601"/>
        <w:jc w:val="both"/>
      </w:pPr>
      <w:r>
        <w:rPr/>
        <w:t>Etsy Yorum Sistemi</w:t>
      </w:r>
    </w:p>
    <w:p>
      <w:pPr>
        <w:pStyle w:val="BodyText"/>
        <w:spacing w:line="360" w:lineRule="auto" w:before="136"/>
        <w:ind w:right="309" w:firstLine="708"/>
      </w:pPr>
      <w:r>
        <w:rPr/>
        <w:t>Kurulduğu ilk zamanlarda, e-ticaret sayfalarında yaygın olarak kullanılan yıldızlı yorum sistemi Etsy’de bulunmamaktaydı. Bunun yerine, Etsy bir geri bildirim sistemi oluşturmuştu.</w:t>
      </w:r>
      <w:r>
        <w:rPr>
          <w:spacing w:val="-13"/>
        </w:rPr>
        <w:t> </w:t>
      </w:r>
      <w:r>
        <w:rPr/>
        <w:t>Bu</w:t>
      </w:r>
      <w:r>
        <w:rPr>
          <w:spacing w:val="-12"/>
        </w:rPr>
        <w:t> </w:t>
      </w:r>
      <w:r>
        <w:rPr/>
        <w:t>sistemde,</w:t>
      </w:r>
      <w:r>
        <w:rPr>
          <w:spacing w:val="-12"/>
        </w:rPr>
        <w:t> </w:t>
      </w:r>
      <w:r>
        <w:rPr/>
        <w:t>alıcıların</w:t>
      </w:r>
      <w:r>
        <w:rPr>
          <w:spacing w:val="-12"/>
        </w:rPr>
        <w:t> </w:t>
      </w:r>
      <w:r>
        <w:rPr/>
        <w:t>satıcılar</w:t>
      </w:r>
      <w:r>
        <w:rPr>
          <w:spacing w:val="-13"/>
        </w:rPr>
        <w:t> </w:t>
      </w:r>
      <w:r>
        <w:rPr/>
        <w:t>için</w:t>
      </w:r>
      <w:r>
        <w:rPr>
          <w:spacing w:val="-10"/>
        </w:rPr>
        <w:t> </w:t>
      </w:r>
      <w:r>
        <w:rPr/>
        <w:t>geri</w:t>
      </w:r>
      <w:r>
        <w:rPr>
          <w:spacing w:val="-12"/>
        </w:rPr>
        <w:t> </w:t>
      </w:r>
      <w:r>
        <w:rPr/>
        <w:t>bildirim</w:t>
      </w:r>
      <w:r>
        <w:rPr>
          <w:spacing w:val="-12"/>
        </w:rPr>
        <w:t> </w:t>
      </w:r>
      <w:r>
        <w:rPr/>
        <w:t>yazmasının</w:t>
      </w:r>
      <w:r>
        <w:rPr>
          <w:spacing w:val="-12"/>
        </w:rPr>
        <w:t> </w:t>
      </w:r>
      <w:r>
        <w:rPr/>
        <w:t>yanı</w:t>
      </w:r>
      <w:r>
        <w:rPr>
          <w:spacing w:val="-12"/>
        </w:rPr>
        <w:t> </w:t>
      </w:r>
      <w:r>
        <w:rPr/>
        <w:t>sıra,</w:t>
      </w:r>
      <w:r>
        <w:rPr>
          <w:spacing w:val="-12"/>
        </w:rPr>
        <w:t> </w:t>
      </w:r>
      <w:r>
        <w:rPr/>
        <w:t>satıcılar da alıcılar için geri bildirim yazabilmekteydi. Bu sistemde, geri bildirim metninin yanı sıra satıcı veya alıcı görüşünü olumlu, nötr veya olumsuz olarak özetlemesi ve görsel eklemesi de mümkündü (Etsy.com, e.t.</w:t>
      </w:r>
      <w:r>
        <w:rPr>
          <w:spacing w:val="-2"/>
        </w:rPr>
        <w:t> </w:t>
      </w:r>
      <w:r>
        <w:rPr/>
        <w:t>15/01/2020).</w:t>
      </w:r>
    </w:p>
    <w:p>
      <w:pPr>
        <w:pStyle w:val="BodyText"/>
        <w:spacing w:line="360" w:lineRule="auto" w:before="1"/>
        <w:ind w:right="308" w:firstLine="708"/>
        <w:jc w:val="right"/>
      </w:pPr>
      <w:r>
        <w:rPr/>
        <w:t>Bu geri bildirim sistemi 2013 yılına kadar kullanılmıştır. Ağustos 2013’te</w:t>
      </w:r>
      <w:r>
        <w:rPr>
          <w:spacing w:val="56"/>
        </w:rPr>
        <w:t> </w:t>
      </w:r>
      <w:r>
        <w:rPr/>
        <w:t>Etsy</w:t>
      </w:r>
      <w:r>
        <w:rPr>
          <w:spacing w:val="7"/>
        </w:rPr>
        <w:t> </w:t>
      </w:r>
      <w:r>
        <w:rPr/>
        <w:t>yeni yorum sistemini duyurmuştur. Yeni sistemde, satıcıların alıcılar için</w:t>
      </w:r>
      <w:r>
        <w:rPr>
          <w:spacing w:val="54"/>
        </w:rPr>
        <w:t> </w:t>
      </w:r>
      <w:r>
        <w:rPr/>
        <w:t>yorum</w:t>
      </w:r>
      <w:r>
        <w:rPr>
          <w:spacing w:val="60"/>
        </w:rPr>
        <w:t> </w:t>
      </w:r>
      <w:r>
        <w:rPr/>
        <w:t>yapabilme imkanı</w:t>
      </w:r>
      <w:r>
        <w:rPr>
          <w:spacing w:val="39"/>
        </w:rPr>
        <w:t> </w:t>
      </w:r>
      <w:r>
        <w:rPr/>
        <w:t>devre</w:t>
      </w:r>
      <w:r>
        <w:rPr>
          <w:spacing w:val="37"/>
        </w:rPr>
        <w:t> </w:t>
      </w:r>
      <w:r>
        <w:rPr/>
        <w:t>dışı</w:t>
      </w:r>
      <w:r>
        <w:rPr>
          <w:spacing w:val="40"/>
        </w:rPr>
        <w:t> </w:t>
      </w:r>
      <w:r>
        <w:rPr/>
        <w:t>bırakılmış</w:t>
      </w:r>
      <w:r>
        <w:rPr>
          <w:spacing w:val="39"/>
        </w:rPr>
        <w:t> </w:t>
      </w:r>
      <w:r>
        <w:rPr/>
        <w:t>ve</w:t>
      </w:r>
      <w:r>
        <w:rPr>
          <w:spacing w:val="38"/>
        </w:rPr>
        <w:t> </w:t>
      </w:r>
      <w:r>
        <w:rPr/>
        <w:t>çoğu</w:t>
      </w:r>
      <w:r>
        <w:rPr>
          <w:spacing w:val="39"/>
        </w:rPr>
        <w:t> </w:t>
      </w:r>
      <w:r>
        <w:rPr/>
        <w:t>diğer</w:t>
      </w:r>
      <w:r>
        <w:rPr>
          <w:spacing w:val="38"/>
        </w:rPr>
        <w:t> </w:t>
      </w:r>
      <w:r>
        <w:rPr/>
        <w:t>e-ticaret</w:t>
      </w:r>
      <w:r>
        <w:rPr>
          <w:spacing w:val="40"/>
        </w:rPr>
        <w:t> </w:t>
      </w:r>
      <w:r>
        <w:rPr/>
        <w:t>firmalarının</w:t>
      </w:r>
      <w:r>
        <w:rPr>
          <w:spacing w:val="39"/>
        </w:rPr>
        <w:t> </w:t>
      </w:r>
      <w:r>
        <w:rPr/>
        <w:t>da</w:t>
      </w:r>
      <w:r>
        <w:rPr>
          <w:spacing w:val="38"/>
        </w:rPr>
        <w:t> </w:t>
      </w:r>
      <w:r>
        <w:rPr/>
        <w:t>kullandığı</w:t>
      </w:r>
      <w:r>
        <w:rPr>
          <w:spacing w:val="40"/>
        </w:rPr>
        <w:t> </w:t>
      </w:r>
      <w:r>
        <w:rPr/>
        <w:t>5</w:t>
      </w:r>
      <w:r>
        <w:rPr>
          <w:spacing w:val="39"/>
        </w:rPr>
        <w:t> </w:t>
      </w:r>
      <w:r>
        <w:rPr/>
        <w:t>yıldızlı değerlendirme</w:t>
      </w:r>
      <w:r>
        <w:rPr>
          <w:spacing w:val="16"/>
        </w:rPr>
        <w:t> </w:t>
      </w:r>
      <w:r>
        <w:rPr/>
        <w:t>biçimi</w:t>
      </w:r>
      <w:r>
        <w:rPr>
          <w:spacing w:val="17"/>
        </w:rPr>
        <w:t> </w:t>
      </w:r>
      <w:r>
        <w:rPr/>
        <w:t>kullanılmıştır</w:t>
      </w:r>
      <w:r>
        <w:rPr>
          <w:spacing w:val="16"/>
        </w:rPr>
        <w:t> </w:t>
      </w:r>
      <w:r>
        <w:rPr/>
        <w:t>(Nerdwallet,</w:t>
      </w:r>
      <w:r>
        <w:rPr>
          <w:spacing w:val="17"/>
        </w:rPr>
        <w:t> </w:t>
      </w:r>
      <w:r>
        <w:rPr/>
        <w:t>2013).</w:t>
      </w:r>
      <w:r>
        <w:rPr>
          <w:spacing w:val="16"/>
        </w:rPr>
        <w:t> </w:t>
      </w:r>
      <w:r>
        <w:rPr/>
        <w:t>Günümüzde</w:t>
      </w:r>
      <w:r>
        <w:rPr>
          <w:spacing w:val="17"/>
        </w:rPr>
        <w:t> </w:t>
      </w:r>
      <w:r>
        <w:rPr/>
        <w:t>de</w:t>
      </w:r>
      <w:r>
        <w:rPr>
          <w:spacing w:val="17"/>
        </w:rPr>
        <w:t> </w:t>
      </w:r>
      <w:r>
        <w:rPr/>
        <w:t>kullanılan</w:t>
      </w:r>
      <w:r>
        <w:rPr>
          <w:spacing w:val="16"/>
        </w:rPr>
        <w:t> </w:t>
      </w:r>
      <w:r>
        <w:rPr/>
        <w:t>bu sistemde, bir alıcı ürünü teslim aldığını sistemden onayladıktan sonra 100</w:t>
      </w:r>
      <w:r>
        <w:rPr>
          <w:spacing w:val="-6"/>
        </w:rPr>
        <w:t> </w:t>
      </w:r>
      <w:r>
        <w:rPr/>
        <w:t>gün</w:t>
      </w:r>
      <w:r>
        <w:rPr>
          <w:spacing w:val="29"/>
        </w:rPr>
        <w:t> </w:t>
      </w:r>
      <w:r>
        <w:rPr/>
        <w:t>içerisinde yorumunu yazabilmekte ve düzenleyebilmektedir. 100 gün geçtikten sonra</w:t>
      </w:r>
      <w:r>
        <w:rPr>
          <w:spacing w:val="14"/>
        </w:rPr>
        <w:t> </w:t>
      </w:r>
      <w:r>
        <w:rPr/>
        <w:t>herhangi</w:t>
      </w:r>
      <w:r>
        <w:rPr>
          <w:spacing w:val="48"/>
        </w:rPr>
        <w:t> </w:t>
      </w:r>
      <w:r>
        <w:rPr/>
        <w:t>bir yorum ve düzenleme yapılması mümkün değildir Yorum bırakmak isteyen</w:t>
      </w:r>
      <w:r>
        <w:rPr>
          <w:spacing w:val="14"/>
        </w:rPr>
        <w:t> </w:t>
      </w:r>
      <w:r>
        <w:rPr/>
        <w:t>alıcı için</w:t>
      </w:r>
      <w:r>
        <w:rPr>
          <w:spacing w:val="30"/>
        </w:rPr>
        <w:t> </w:t>
      </w:r>
      <w:r>
        <w:rPr/>
        <w:t>tek zorunlu</w:t>
      </w:r>
      <w:r>
        <w:rPr>
          <w:spacing w:val="33"/>
        </w:rPr>
        <w:t> </w:t>
      </w:r>
      <w:r>
        <w:rPr/>
        <w:t>alan</w:t>
      </w:r>
      <w:r>
        <w:rPr>
          <w:spacing w:val="33"/>
        </w:rPr>
        <w:t> </w:t>
      </w:r>
      <w:r>
        <w:rPr/>
        <w:t>alıcının</w:t>
      </w:r>
      <w:r>
        <w:rPr>
          <w:spacing w:val="33"/>
        </w:rPr>
        <w:t> </w:t>
      </w:r>
      <w:r>
        <w:rPr/>
        <w:t>beğenisini</w:t>
      </w:r>
      <w:r>
        <w:rPr>
          <w:spacing w:val="34"/>
        </w:rPr>
        <w:t> </w:t>
      </w:r>
      <w:r>
        <w:rPr/>
        <w:t>özetleyen</w:t>
      </w:r>
      <w:r>
        <w:rPr>
          <w:spacing w:val="36"/>
        </w:rPr>
        <w:t> </w:t>
      </w:r>
      <w:r>
        <w:rPr/>
        <w:t>yıldız</w:t>
      </w:r>
      <w:r>
        <w:rPr>
          <w:spacing w:val="33"/>
        </w:rPr>
        <w:t> </w:t>
      </w:r>
      <w:r>
        <w:rPr/>
        <w:t>seçimidir.</w:t>
      </w:r>
      <w:r>
        <w:rPr>
          <w:spacing w:val="33"/>
        </w:rPr>
        <w:t> </w:t>
      </w:r>
      <w:r>
        <w:rPr/>
        <w:t>Alıcı</w:t>
      </w:r>
      <w:r>
        <w:rPr>
          <w:spacing w:val="33"/>
        </w:rPr>
        <w:t> </w:t>
      </w:r>
      <w:r>
        <w:rPr/>
        <w:t>yorum</w:t>
      </w:r>
      <w:r>
        <w:rPr>
          <w:spacing w:val="31"/>
        </w:rPr>
        <w:t> </w:t>
      </w:r>
      <w:r>
        <w:rPr/>
        <w:t>metni</w:t>
      </w:r>
      <w:r>
        <w:rPr>
          <w:spacing w:val="35"/>
        </w:rPr>
        <w:t> </w:t>
      </w:r>
      <w:r>
        <w:rPr/>
        <w:t>yazmadan sadece yıldızlarla satıcı hakkında görüşünü özetleyebilmektedir (Etsy.com, e.t.</w:t>
      </w:r>
      <w:r>
        <w:rPr>
          <w:spacing w:val="-17"/>
        </w:rPr>
        <w:t> </w:t>
      </w:r>
      <w:r>
        <w:rPr/>
        <w:t>16/01/2020).</w:t>
      </w:r>
    </w:p>
    <w:p>
      <w:pPr>
        <w:pStyle w:val="BodyText"/>
        <w:spacing w:line="360" w:lineRule="auto"/>
        <w:ind w:right="315" w:firstLine="708"/>
      </w:pPr>
      <w:r>
        <w:rPr/>
        <w:t>Şekil 13’te Etsy’deki bir satıcı sayfasının yorum alanı görülmektedir. Görüldüğü üzere yorumlarla ilgili özet bilgiler oldukça sınırlıdır. Satıcıya yapılan toplam yorum sayısı parantez  içinde  gösterilmektedir.  Ancak,  alıcıların  verdikleri  değerlendirme</w:t>
      </w:r>
      <w:r>
        <w:rPr>
          <w:spacing w:val="-26"/>
        </w:rPr>
        <w:t> </w:t>
      </w:r>
      <w:r>
        <w:rPr/>
        <w:t>yıldızlarının</w:t>
      </w:r>
    </w:p>
    <w:p>
      <w:pPr>
        <w:spacing w:after="0" w:line="360" w:lineRule="auto"/>
        <w:sectPr>
          <w:pgSz w:w="12240" w:h="15840"/>
          <w:pgMar w:header="718" w:footer="0" w:top="1300" w:bottom="280" w:left="1720" w:right="820"/>
        </w:sectPr>
      </w:pPr>
    </w:p>
    <w:p>
      <w:pPr>
        <w:pStyle w:val="BodyText"/>
        <w:spacing w:line="360" w:lineRule="auto" w:before="100" w:after="19"/>
        <w:ind w:right="316"/>
      </w:pPr>
      <w:r>
        <w:rPr/>
        <w:t>ortalamasına ya da dağılımına dair herhangi bir bilgi bulunmamaktadır. Değerlendirme ortalaması sadece görsel olarak sunulmaktadır. Bu durumda, birbirine yakın ortalama değerlendirme puanına sahip iki satıcı arasında hangisinin daha yüksek ortalamaya sahip olduğuna dair kesin bir yargıya varmak oldukça güç olmaktadır. Ayrıca, bu değerlendirme ortalaması</w:t>
      </w:r>
      <w:r>
        <w:rPr>
          <w:spacing w:val="-10"/>
        </w:rPr>
        <w:t> </w:t>
      </w:r>
      <w:r>
        <w:rPr/>
        <w:t>sadece</w:t>
      </w:r>
      <w:r>
        <w:rPr>
          <w:spacing w:val="-11"/>
        </w:rPr>
        <w:t> </w:t>
      </w:r>
      <w:r>
        <w:rPr/>
        <w:t>son</w:t>
      </w:r>
      <w:r>
        <w:rPr>
          <w:spacing w:val="-10"/>
        </w:rPr>
        <w:t> </w:t>
      </w:r>
      <w:r>
        <w:rPr/>
        <w:t>bir</w:t>
      </w:r>
      <w:r>
        <w:rPr>
          <w:spacing w:val="-11"/>
        </w:rPr>
        <w:t> </w:t>
      </w:r>
      <w:r>
        <w:rPr/>
        <w:t>yıl</w:t>
      </w:r>
      <w:r>
        <w:rPr>
          <w:spacing w:val="-9"/>
        </w:rPr>
        <w:t> </w:t>
      </w:r>
      <w:r>
        <w:rPr/>
        <w:t>içinde</w:t>
      </w:r>
      <w:r>
        <w:rPr>
          <w:spacing w:val="-11"/>
        </w:rPr>
        <w:t> </w:t>
      </w:r>
      <w:r>
        <w:rPr/>
        <w:t>yapılan</w:t>
      </w:r>
      <w:r>
        <w:rPr>
          <w:spacing w:val="-11"/>
        </w:rPr>
        <w:t> </w:t>
      </w:r>
      <w:r>
        <w:rPr/>
        <w:t>yorumların</w:t>
      </w:r>
      <w:r>
        <w:rPr>
          <w:spacing w:val="-10"/>
        </w:rPr>
        <w:t> </w:t>
      </w:r>
      <w:r>
        <w:rPr/>
        <w:t>ortalaması</w:t>
      </w:r>
      <w:r>
        <w:rPr>
          <w:spacing w:val="-9"/>
        </w:rPr>
        <w:t> </w:t>
      </w:r>
      <w:r>
        <w:rPr/>
        <w:t>alınarak</w:t>
      </w:r>
      <w:r>
        <w:rPr>
          <w:spacing w:val="-11"/>
        </w:rPr>
        <w:t> </w:t>
      </w:r>
      <w:r>
        <w:rPr/>
        <w:t>hesaplanmaktadır (Etsy.com,</w:t>
      </w:r>
      <w:r>
        <w:rPr>
          <w:spacing w:val="-1"/>
        </w:rPr>
        <w:t> </w:t>
      </w:r>
      <w:r>
        <w:rPr/>
        <w:t>17/01/2020).</w:t>
      </w:r>
    </w:p>
    <w:p>
      <w:pPr>
        <w:pStyle w:val="BodyText"/>
        <w:ind w:left="568"/>
        <w:jc w:val="left"/>
        <w:rPr>
          <w:sz w:val="20"/>
        </w:rPr>
      </w:pPr>
      <w:r>
        <w:rPr>
          <w:sz w:val="20"/>
        </w:rPr>
        <w:pict>
          <v:group style="width:393.95pt;height:191.8pt;mso-position-horizontal-relative:char;mso-position-vertical-relative:line" coordorigin="0,0" coordsize="7879,3836">
            <v:shape style="position:absolute;left:1055;top:469;width:4208;height:3023" type="#_x0000_t75" alt="etsy yorumlar" stroked="false">
              <v:imagedata r:id="rId28" o:title=""/>
            </v:shape>
            <v:rect style="position:absolute;left:5;top:5;width:7869;height:3826" filled="false" stroked="true" strokeweight=".5pt" strokecolor="#000000">
              <v:stroke dashstyle="solid"/>
            </v:rect>
          </v:group>
        </w:pict>
      </w:r>
      <w:r>
        <w:rPr>
          <w:sz w:val="20"/>
        </w:rPr>
      </w:r>
    </w:p>
    <w:p>
      <w:pPr>
        <w:pStyle w:val="BodyText"/>
        <w:spacing w:before="123"/>
        <w:ind w:right="4612"/>
        <w:jc w:val="left"/>
      </w:pPr>
      <w:r>
        <w:rPr>
          <w:b/>
        </w:rPr>
        <w:t>Şekil 13: </w:t>
      </w:r>
      <w:r>
        <w:rPr/>
        <w:t>Etsy.com örnek yorum sayfası Kaynak: Etsy.com (17/01/2020)</w:t>
      </w:r>
    </w:p>
    <w:p>
      <w:pPr>
        <w:pStyle w:val="BodyText"/>
        <w:spacing w:before="11"/>
        <w:ind w:left="0"/>
        <w:jc w:val="left"/>
        <w:rPr>
          <w:sz w:val="25"/>
        </w:rPr>
      </w:pPr>
    </w:p>
    <w:p>
      <w:pPr>
        <w:pStyle w:val="BodyText"/>
        <w:spacing w:line="360" w:lineRule="auto"/>
        <w:ind w:right="315" w:firstLine="708"/>
      </w:pPr>
      <w:r>
        <w:rPr/>
        <w:t>Yorumları tarihe ve alakaya göre sıralamak mümkündür. Ayrıca, tezin veri toplama süreci bittikten sonra, Etsy’nin yakın zamanda getirdiği yeniliklerle birlikte, yorumları “kalite”, “kargolama” ve “müşteri hizmetleri” başlıklarında filtrelemek ve faydalı bulunan yorumları beğenmek de artık mümkündür. Ancak, bir yorumun kaç kişi tarafından faydalı bulunduğu okuyucuya gösterilmemektedir.</w:t>
      </w:r>
    </w:p>
    <w:p>
      <w:pPr>
        <w:pStyle w:val="BodyText"/>
        <w:spacing w:line="360" w:lineRule="auto"/>
        <w:ind w:right="310" w:firstLine="708"/>
      </w:pPr>
      <w:r>
        <w:rPr/>
        <w:t>Alıcının ürünü teslim aldıktan sonra ve belli bir süre içerisinde satıcı ile ilgili yorum yapabilmesi sahte yorumları büyük ölçüde engelleyen bir uygulamadır. Ancak, sistem, satıcıların Etsy müşterisi olmayan kişilere ücretsiz ya da indirimli ürün gönderip kendileri için yanlı yorum yapmalarını teşvik etmesini engelleyememektedir. Hatta, bu açığı ticari olarak kullanan appsally.com (e.t. 18/01/2020) gibi internet sayfaları da mevcuttur. Appsally.com ve benzerleri satıcılardan yorum başına ücret almaktadır. Bunu yaparken, gerçek bir alıcı gibi Etsy üzerinden ürünü satın almakta, ancak ürün bedeli ve kargo ve gümrük</w:t>
      </w:r>
      <w:r>
        <w:rPr>
          <w:spacing w:val="-10"/>
        </w:rPr>
        <w:t> </w:t>
      </w:r>
      <w:r>
        <w:rPr/>
        <w:t>ücreti</w:t>
      </w:r>
      <w:r>
        <w:rPr>
          <w:spacing w:val="-9"/>
        </w:rPr>
        <w:t> </w:t>
      </w:r>
      <w:r>
        <w:rPr/>
        <w:t>gibi</w:t>
      </w:r>
      <w:r>
        <w:rPr>
          <w:spacing w:val="-9"/>
        </w:rPr>
        <w:t> </w:t>
      </w:r>
      <w:r>
        <w:rPr/>
        <w:t>masrafları</w:t>
      </w:r>
      <w:r>
        <w:rPr>
          <w:spacing w:val="-10"/>
        </w:rPr>
        <w:t> </w:t>
      </w:r>
      <w:r>
        <w:rPr/>
        <w:t>da</w:t>
      </w:r>
      <w:r>
        <w:rPr>
          <w:spacing w:val="-11"/>
        </w:rPr>
        <w:t> </w:t>
      </w:r>
      <w:r>
        <w:rPr/>
        <w:t>satıcıdan</w:t>
      </w:r>
      <w:r>
        <w:rPr>
          <w:spacing w:val="-10"/>
        </w:rPr>
        <w:t> </w:t>
      </w:r>
      <w:r>
        <w:rPr/>
        <w:t>tahsil</w:t>
      </w:r>
      <w:r>
        <w:rPr>
          <w:spacing w:val="-9"/>
        </w:rPr>
        <w:t> </w:t>
      </w:r>
      <w:r>
        <w:rPr/>
        <w:t>etmektedir.</w:t>
      </w:r>
      <w:r>
        <w:rPr>
          <w:spacing w:val="-10"/>
        </w:rPr>
        <w:t> </w:t>
      </w:r>
      <w:r>
        <w:rPr/>
        <w:t>Etsy’nin</w:t>
      </w:r>
      <w:r>
        <w:rPr>
          <w:spacing w:val="-9"/>
        </w:rPr>
        <w:t> </w:t>
      </w:r>
      <w:r>
        <w:rPr/>
        <w:t>bu</w:t>
      </w:r>
      <w:r>
        <w:rPr>
          <w:spacing w:val="-10"/>
        </w:rPr>
        <w:t> </w:t>
      </w:r>
      <w:r>
        <w:rPr/>
        <w:t>sahte</w:t>
      </w:r>
      <w:r>
        <w:rPr>
          <w:spacing w:val="-10"/>
        </w:rPr>
        <w:t> </w:t>
      </w:r>
      <w:r>
        <w:rPr/>
        <w:t>alışverişleri</w:t>
      </w:r>
      <w:r>
        <w:rPr>
          <w:spacing w:val="-9"/>
        </w:rPr>
        <w:t> </w:t>
      </w:r>
      <w:r>
        <w:rPr/>
        <w:t>ve bu alışverişler sonucu yazılan yorumları tespit etmesi mümkün</w:t>
      </w:r>
      <w:r>
        <w:rPr>
          <w:spacing w:val="-7"/>
        </w:rPr>
        <w:t> </w:t>
      </w:r>
      <w:r>
        <w:rPr/>
        <w:t>olmamaktadır.</w:t>
      </w:r>
    </w:p>
    <w:p>
      <w:pPr>
        <w:spacing w:after="0" w:line="360" w:lineRule="auto"/>
        <w:sectPr>
          <w:pgSz w:w="12240" w:h="15840"/>
          <w:pgMar w:header="718" w:footer="0" w:top="1300" w:bottom="280" w:left="1720" w:right="820"/>
        </w:sectPr>
      </w:pPr>
    </w:p>
    <w:p>
      <w:pPr>
        <w:pStyle w:val="BodyText"/>
        <w:spacing w:line="360" w:lineRule="auto" w:before="100"/>
        <w:ind w:right="309" w:firstLine="708"/>
      </w:pPr>
      <w:r>
        <w:rPr/>
        <w:t>Etsy’nin</w:t>
      </w:r>
      <w:r>
        <w:rPr>
          <w:spacing w:val="-16"/>
        </w:rPr>
        <w:t> </w:t>
      </w:r>
      <w:r>
        <w:rPr/>
        <w:t>yorum</w:t>
      </w:r>
      <w:r>
        <w:rPr>
          <w:spacing w:val="-16"/>
        </w:rPr>
        <w:t> </w:t>
      </w:r>
      <w:r>
        <w:rPr/>
        <w:t>sistemi</w:t>
      </w:r>
      <w:r>
        <w:rPr>
          <w:spacing w:val="-15"/>
        </w:rPr>
        <w:t> </w:t>
      </w:r>
      <w:r>
        <w:rPr/>
        <w:t>Amazon’un</w:t>
      </w:r>
      <w:r>
        <w:rPr>
          <w:spacing w:val="-17"/>
        </w:rPr>
        <w:t> </w:t>
      </w:r>
      <w:r>
        <w:rPr/>
        <w:t>yorum</w:t>
      </w:r>
      <w:r>
        <w:rPr>
          <w:spacing w:val="-15"/>
        </w:rPr>
        <w:t> </w:t>
      </w:r>
      <w:r>
        <w:rPr/>
        <w:t>sistemine</w:t>
      </w:r>
      <w:r>
        <w:rPr>
          <w:spacing w:val="-16"/>
        </w:rPr>
        <w:t> </w:t>
      </w:r>
      <w:r>
        <w:rPr/>
        <w:t>kıyasla</w:t>
      </w:r>
      <w:r>
        <w:rPr>
          <w:spacing w:val="-17"/>
        </w:rPr>
        <w:t> </w:t>
      </w:r>
      <w:r>
        <w:rPr/>
        <w:t>okuyucu</w:t>
      </w:r>
      <w:r>
        <w:rPr>
          <w:spacing w:val="-16"/>
        </w:rPr>
        <w:t> </w:t>
      </w:r>
      <w:r>
        <w:rPr/>
        <w:t>için</w:t>
      </w:r>
      <w:r>
        <w:rPr>
          <w:spacing w:val="-15"/>
        </w:rPr>
        <w:t> </w:t>
      </w:r>
      <w:r>
        <w:rPr/>
        <w:t>daha</w:t>
      </w:r>
      <w:r>
        <w:rPr>
          <w:spacing w:val="-17"/>
        </w:rPr>
        <w:t> </w:t>
      </w:r>
      <w:r>
        <w:rPr/>
        <w:t>sınırlı bilgi sunmaktadır. Ancak, Etsy’de yer alan ürünlerin doğası Etsy’yi e-ticarette özel bir yere koymaktadır.</w:t>
      </w:r>
      <w:r>
        <w:rPr>
          <w:spacing w:val="-8"/>
        </w:rPr>
        <w:t> </w:t>
      </w:r>
      <w:r>
        <w:rPr/>
        <w:t>Etsy’deki</w:t>
      </w:r>
      <w:r>
        <w:rPr>
          <w:spacing w:val="-7"/>
        </w:rPr>
        <w:t> </w:t>
      </w:r>
      <w:r>
        <w:rPr/>
        <w:t>satıcıların</w:t>
      </w:r>
      <w:r>
        <w:rPr>
          <w:spacing w:val="-8"/>
        </w:rPr>
        <w:t> </w:t>
      </w:r>
      <w:r>
        <w:rPr/>
        <w:t>büyük</w:t>
      </w:r>
      <w:r>
        <w:rPr>
          <w:spacing w:val="-7"/>
        </w:rPr>
        <w:t> </w:t>
      </w:r>
      <w:r>
        <w:rPr/>
        <w:t>çoğunluğu</w:t>
      </w:r>
      <w:r>
        <w:rPr>
          <w:spacing w:val="-5"/>
        </w:rPr>
        <w:t> </w:t>
      </w:r>
      <w:r>
        <w:rPr/>
        <w:t>hobilerinden</w:t>
      </w:r>
      <w:r>
        <w:rPr>
          <w:spacing w:val="-6"/>
        </w:rPr>
        <w:t> </w:t>
      </w:r>
      <w:r>
        <w:rPr/>
        <w:t>para</w:t>
      </w:r>
      <w:r>
        <w:rPr>
          <w:spacing w:val="-9"/>
        </w:rPr>
        <w:t> </w:t>
      </w:r>
      <w:r>
        <w:rPr/>
        <w:t>kazanmaya</w:t>
      </w:r>
      <w:r>
        <w:rPr>
          <w:spacing w:val="-9"/>
        </w:rPr>
        <w:t> </w:t>
      </w:r>
      <w:r>
        <w:rPr/>
        <w:t>çalışan</w:t>
      </w:r>
      <w:r>
        <w:rPr>
          <w:spacing w:val="-7"/>
        </w:rPr>
        <w:t> </w:t>
      </w:r>
      <w:r>
        <w:rPr/>
        <w:t>ve evlerinden işlerini yürüten kişilerdir. Aynı zamanda, satılan ürünler markasız, bir atölyede veya satıcıların evlerinde üretilen ürünlerdir. Ürünlerin büyük çoğunluğunu başka bir mecrada bulmak da mümkün değildir (Smith, 2019). Dolayısıyla, alıcının çoğu satıcı hakkında bilgi edinebileceği tek yer Etsy’dir. Bu noktada, alıcının alışverişinde karşılabileceği riskleri azaltmak için başvuracağı en önemli bilgi kaynağının Etsy’de satıcı için</w:t>
      </w:r>
      <w:r>
        <w:rPr>
          <w:spacing w:val="-7"/>
        </w:rPr>
        <w:t> </w:t>
      </w:r>
      <w:r>
        <w:rPr/>
        <w:t>yapılmış</w:t>
      </w:r>
      <w:r>
        <w:rPr>
          <w:spacing w:val="-6"/>
        </w:rPr>
        <w:t> </w:t>
      </w:r>
      <w:r>
        <w:rPr/>
        <w:t>yorumlar</w:t>
      </w:r>
      <w:r>
        <w:rPr>
          <w:spacing w:val="-8"/>
        </w:rPr>
        <w:t> </w:t>
      </w:r>
      <w:r>
        <w:rPr/>
        <w:t>olması</w:t>
      </w:r>
      <w:r>
        <w:rPr>
          <w:spacing w:val="-6"/>
        </w:rPr>
        <w:t> </w:t>
      </w:r>
      <w:r>
        <w:rPr/>
        <w:t>öngörülebilir.</w:t>
      </w:r>
      <w:r>
        <w:rPr>
          <w:spacing w:val="-7"/>
        </w:rPr>
        <w:t> </w:t>
      </w:r>
      <w:r>
        <w:rPr/>
        <w:t>Bu</w:t>
      </w:r>
      <w:r>
        <w:rPr>
          <w:spacing w:val="-6"/>
        </w:rPr>
        <w:t> </w:t>
      </w:r>
      <w:r>
        <w:rPr/>
        <w:t>öngörüden</w:t>
      </w:r>
      <w:r>
        <w:rPr>
          <w:spacing w:val="-7"/>
        </w:rPr>
        <w:t> </w:t>
      </w:r>
      <w:r>
        <w:rPr/>
        <w:t>yola</w:t>
      </w:r>
      <w:r>
        <w:rPr>
          <w:spacing w:val="-7"/>
        </w:rPr>
        <w:t> </w:t>
      </w:r>
      <w:r>
        <w:rPr/>
        <w:t>çıkarak,</w:t>
      </w:r>
      <w:r>
        <w:rPr>
          <w:spacing w:val="-6"/>
        </w:rPr>
        <w:t> </w:t>
      </w:r>
      <w:r>
        <w:rPr/>
        <w:t>Etsy’nin</w:t>
      </w:r>
      <w:r>
        <w:rPr>
          <w:spacing w:val="-6"/>
        </w:rPr>
        <w:t> </w:t>
      </w:r>
      <w:r>
        <w:rPr/>
        <w:t>elektronik ağızdan ağıza iletişim literatüründeki yerini tespit edebilmek adına Web of Science, Scopus ve</w:t>
      </w:r>
      <w:r>
        <w:rPr>
          <w:spacing w:val="-18"/>
        </w:rPr>
        <w:t> </w:t>
      </w:r>
      <w:r>
        <w:rPr/>
        <w:t>Google</w:t>
      </w:r>
      <w:r>
        <w:rPr>
          <w:spacing w:val="-16"/>
        </w:rPr>
        <w:t> </w:t>
      </w:r>
      <w:r>
        <w:rPr/>
        <w:t>Scholar’da</w:t>
      </w:r>
      <w:r>
        <w:rPr>
          <w:spacing w:val="-15"/>
        </w:rPr>
        <w:t> </w:t>
      </w:r>
      <w:r>
        <w:rPr/>
        <w:t>aramalar</w:t>
      </w:r>
      <w:r>
        <w:rPr>
          <w:spacing w:val="-18"/>
        </w:rPr>
        <w:t> </w:t>
      </w:r>
      <w:r>
        <w:rPr/>
        <w:t>gerçekleştirilmiştir.</w:t>
      </w:r>
      <w:r>
        <w:rPr>
          <w:spacing w:val="-17"/>
        </w:rPr>
        <w:t> </w:t>
      </w:r>
      <w:r>
        <w:rPr/>
        <w:t>Ancak,</w:t>
      </w:r>
      <w:r>
        <w:rPr>
          <w:spacing w:val="-15"/>
        </w:rPr>
        <w:t> </w:t>
      </w:r>
      <w:r>
        <w:rPr/>
        <w:t>2020</w:t>
      </w:r>
      <w:r>
        <w:rPr>
          <w:spacing w:val="-17"/>
        </w:rPr>
        <w:t> </w:t>
      </w:r>
      <w:r>
        <w:rPr/>
        <w:t>yılı</w:t>
      </w:r>
      <w:r>
        <w:rPr>
          <w:spacing w:val="-13"/>
        </w:rPr>
        <w:t> </w:t>
      </w:r>
      <w:r>
        <w:rPr/>
        <w:t>Ocak</w:t>
      </w:r>
      <w:r>
        <w:rPr>
          <w:spacing w:val="-15"/>
        </w:rPr>
        <w:t> </w:t>
      </w:r>
      <w:r>
        <w:rPr/>
        <w:t>ayı</w:t>
      </w:r>
      <w:r>
        <w:rPr>
          <w:spacing w:val="-16"/>
        </w:rPr>
        <w:t> </w:t>
      </w:r>
      <w:r>
        <w:rPr/>
        <w:t>itibariyle,</w:t>
      </w:r>
      <w:r>
        <w:rPr>
          <w:spacing w:val="-16"/>
        </w:rPr>
        <w:t> </w:t>
      </w:r>
      <w:r>
        <w:rPr/>
        <w:t>Etsy örneklemiyle yapılmış herhangi bir elektronik ağızdan ağıza iletişim çalışmasına rastlanmamıştır.</w:t>
      </w:r>
      <w:r>
        <w:rPr>
          <w:spacing w:val="-13"/>
        </w:rPr>
        <w:t> </w:t>
      </w:r>
      <w:r>
        <w:rPr/>
        <w:t>Yaptığımız</w:t>
      </w:r>
      <w:r>
        <w:rPr>
          <w:spacing w:val="-12"/>
        </w:rPr>
        <w:t> </w:t>
      </w:r>
      <w:r>
        <w:rPr/>
        <w:t>bu</w:t>
      </w:r>
      <w:r>
        <w:rPr>
          <w:spacing w:val="-13"/>
        </w:rPr>
        <w:t> </w:t>
      </w:r>
      <w:r>
        <w:rPr/>
        <w:t>araştırma,</w:t>
      </w:r>
      <w:r>
        <w:rPr>
          <w:spacing w:val="-12"/>
        </w:rPr>
        <w:t> </w:t>
      </w:r>
      <w:r>
        <w:rPr/>
        <w:t>bu</w:t>
      </w:r>
      <w:r>
        <w:rPr>
          <w:spacing w:val="-11"/>
        </w:rPr>
        <w:t> </w:t>
      </w:r>
      <w:r>
        <w:rPr/>
        <w:t>anlamda</w:t>
      </w:r>
      <w:r>
        <w:rPr>
          <w:spacing w:val="-12"/>
        </w:rPr>
        <w:t> </w:t>
      </w:r>
      <w:r>
        <w:rPr/>
        <w:t>literatürdeki</w:t>
      </w:r>
      <w:r>
        <w:rPr>
          <w:spacing w:val="-13"/>
        </w:rPr>
        <w:t> </w:t>
      </w:r>
      <w:r>
        <w:rPr/>
        <w:t>ilk</w:t>
      </w:r>
      <w:r>
        <w:rPr>
          <w:spacing w:val="-12"/>
        </w:rPr>
        <w:t> </w:t>
      </w:r>
      <w:r>
        <w:rPr/>
        <w:t>çalışmadır.</w:t>
      </w:r>
      <w:r>
        <w:rPr>
          <w:spacing w:val="-9"/>
        </w:rPr>
        <w:t> </w:t>
      </w:r>
      <w:r>
        <w:rPr/>
        <w:t>Bu</w:t>
      </w:r>
      <w:r>
        <w:rPr>
          <w:spacing w:val="-12"/>
        </w:rPr>
        <w:t> </w:t>
      </w:r>
      <w:r>
        <w:rPr/>
        <w:t>durum, tezin Etsy örneklemiyle ampirik uygulama yapılan bu bölümünün ağızdan ağıza iletişim literatürü için öneminin göstergesidir. Sonraki metodoloji başlığı altında, sırasıyla, araştırmanın amacı, hipotezler, modeller ve ampirik uygulama bulguları</w:t>
      </w:r>
      <w:r>
        <w:rPr>
          <w:spacing w:val="-11"/>
        </w:rPr>
        <w:t> </w:t>
      </w:r>
      <w:r>
        <w:rPr/>
        <w:t>aktarılmaktadır.</w:t>
      </w:r>
    </w:p>
    <w:p>
      <w:pPr>
        <w:pStyle w:val="Heading1"/>
        <w:numPr>
          <w:ilvl w:val="1"/>
          <w:numId w:val="3"/>
        </w:numPr>
        <w:tabs>
          <w:tab w:pos="1677" w:val="left" w:leader="none"/>
        </w:tabs>
        <w:spacing w:line="240" w:lineRule="auto" w:before="122" w:after="0"/>
        <w:ind w:left="1676" w:right="0" w:hanging="421"/>
        <w:jc w:val="both"/>
      </w:pPr>
      <w:r>
        <w:rPr/>
        <w:t>Metodoloji</w:t>
      </w:r>
    </w:p>
    <w:p>
      <w:pPr>
        <w:pStyle w:val="ListParagraph"/>
        <w:numPr>
          <w:ilvl w:val="2"/>
          <w:numId w:val="3"/>
        </w:numPr>
        <w:tabs>
          <w:tab w:pos="1857" w:val="left" w:leader="none"/>
        </w:tabs>
        <w:spacing w:line="240" w:lineRule="auto" w:before="137" w:after="0"/>
        <w:ind w:left="1856" w:right="0" w:hanging="601"/>
        <w:jc w:val="both"/>
        <w:rPr>
          <w:b/>
          <w:sz w:val="24"/>
        </w:rPr>
      </w:pPr>
      <w:r>
        <w:rPr>
          <w:b/>
          <w:sz w:val="24"/>
        </w:rPr>
        <w:t>Araştırmanın Amacı</w:t>
      </w:r>
    </w:p>
    <w:p>
      <w:pPr>
        <w:pStyle w:val="BodyText"/>
        <w:spacing w:line="360" w:lineRule="auto" w:before="139"/>
        <w:ind w:right="313" w:firstLine="708"/>
      </w:pPr>
      <w:r>
        <w:rPr/>
        <w:t>Sanal bir mecra olan internette gerçekleşen alışverişlerde belirsizliğin ve algılanan riskin</w:t>
      </w:r>
      <w:r>
        <w:rPr>
          <w:spacing w:val="-16"/>
        </w:rPr>
        <w:t> </w:t>
      </w:r>
      <w:r>
        <w:rPr/>
        <w:t>yüksek</w:t>
      </w:r>
      <w:r>
        <w:rPr>
          <w:spacing w:val="-16"/>
        </w:rPr>
        <w:t> </w:t>
      </w:r>
      <w:r>
        <w:rPr/>
        <w:t>olması</w:t>
      </w:r>
      <w:r>
        <w:rPr>
          <w:spacing w:val="-15"/>
        </w:rPr>
        <w:t> </w:t>
      </w:r>
      <w:r>
        <w:rPr/>
        <w:t>güvenin</w:t>
      </w:r>
      <w:r>
        <w:rPr>
          <w:spacing w:val="-14"/>
        </w:rPr>
        <w:t> </w:t>
      </w:r>
      <w:r>
        <w:rPr/>
        <w:t>satın</w:t>
      </w:r>
      <w:r>
        <w:rPr>
          <w:spacing w:val="-16"/>
        </w:rPr>
        <w:t> </w:t>
      </w:r>
      <w:r>
        <w:rPr/>
        <w:t>alma</w:t>
      </w:r>
      <w:r>
        <w:rPr>
          <w:spacing w:val="-15"/>
        </w:rPr>
        <w:t> </w:t>
      </w:r>
      <w:r>
        <w:rPr/>
        <w:t>kararında</w:t>
      </w:r>
      <w:r>
        <w:rPr>
          <w:spacing w:val="-13"/>
        </w:rPr>
        <w:t> </w:t>
      </w:r>
      <w:r>
        <w:rPr/>
        <w:t>daha</w:t>
      </w:r>
      <w:r>
        <w:rPr>
          <w:spacing w:val="-17"/>
        </w:rPr>
        <w:t> </w:t>
      </w:r>
      <w:r>
        <w:rPr/>
        <w:t>belirgin</w:t>
      </w:r>
      <w:r>
        <w:rPr>
          <w:spacing w:val="-14"/>
        </w:rPr>
        <w:t> </w:t>
      </w:r>
      <w:r>
        <w:rPr/>
        <w:t>şekilde</w:t>
      </w:r>
      <w:r>
        <w:rPr>
          <w:spacing w:val="-14"/>
        </w:rPr>
        <w:t> </w:t>
      </w:r>
      <w:r>
        <w:rPr/>
        <w:t>etkili</w:t>
      </w:r>
      <w:r>
        <w:rPr>
          <w:spacing w:val="-15"/>
        </w:rPr>
        <w:t> </w:t>
      </w:r>
      <w:r>
        <w:rPr/>
        <w:t>olmasına</w:t>
      </w:r>
      <w:r>
        <w:rPr>
          <w:spacing w:val="-16"/>
        </w:rPr>
        <w:t> </w:t>
      </w:r>
      <w:r>
        <w:rPr/>
        <w:t>neden olmaktadır (Bulut ve Karabulut, 2018). Tüketiciler, internetten alışveriş yaparken karşılaşabilecekleri riskleri en aza indirgeyerek alışverişin gerçekleşeceği e-ticaret platformuna</w:t>
      </w:r>
      <w:r>
        <w:rPr>
          <w:spacing w:val="-10"/>
        </w:rPr>
        <w:t> </w:t>
      </w:r>
      <w:r>
        <w:rPr/>
        <w:t>ve</w:t>
      </w:r>
      <w:r>
        <w:rPr>
          <w:spacing w:val="-6"/>
        </w:rPr>
        <w:t> </w:t>
      </w:r>
      <w:r>
        <w:rPr/>
        <w:t>satıcıya</w:t>
      </w:r>
      <w:r>
        <w:rPr>
          <w:spacing w:val="-9"/>
        </w:rPr>
        <w:t> </w:t>
      </w:r>
      <w:r>
        <w:rPr/>
        <w:t>duyacakları</w:t>
      </w:r>
      <w:r>
        <w:rPr>
          <w:spacing w:val="-8"/>
        </w:rPr>
        <w:t> </w:t>
      </w:r>
      <w:r>
        <w:rPr/>
        <w:t>güveni</w:t>
      </w:r>
      <w:r>
        <w:rPr>
          <w:spacing w:val="-5"/>
        </w:rPr>
        <w:t> </w:t>
      </w:r>
      <w:r>
        <w:rPr/>
        <w:t>artıracak</w:t>
      </w:r>
      <w:r>
        <w:rPr>
          <w:spacing w:val="-9"/>
        </w:rPr>
        <w:t> </w:t>
      </w:r>
      <w:r>
        <w:rPr/>
        <w:t>ipuçlarına</w:t>
      </w:r>
      <w:r>
        <w:rPr>
          <w:spacing w:val="-9"/>
        </w:rPr>
        <w:t> </w:t>
      </w:r>
      <w:r>
        <w:rPr/>
        <w:t>ihtiyaç</w:t>
      </w:r>
      <w:r>
        <w:rPr>
          <w:spacing w:val="-10"/>
        </w:rPr>
        <w:t> </w:t>
      </w:r>
      <w:r>
        <w:rPr/>
        <w:t>duymaktadır</w:t>
      </w:r>
      <w:r>
        <w:rPr>
          <w:spacing w:val="-8"/>
        </w:rPr>
        <w:t> </w:t>
      </w:r>
      <w:r>
        <w:rPr/>
        <w:t>(Kim</w:t>
      </w:r>
      <w:r>
        <w:rPr>
          <w:spacing w:val="-7"/>
        </w:rPr>
        <w:t> </w:t>
      </w:r>
      <w:r>
        <w:rPr/>
        <w:t>ve Peterson, 2017). İnternet alışverişlerinde, özellikle satıcıya duyulan güvenin en önemli belirleyicilerinden birinin diğer tüketicilerin satıcıyla olan deneyimlerine dayanarak yaptıkları yorumlar olduğu ifade edilmiştir (Utz vd.,</w:t>
      </w:r>
      <w:r>
        <w:rPr>
          <w:spacing w:val="-4"/>
        </w:rPr>
        <w:t> </w:t>
      </w:r>
      <w:r>
        <w:rPr/>
        <w:t>2012).</w:t>
      </w:r>
    </w:p>
    <w:p>
      <w:pPr>
        <w:pStyle w:val="BodyText"/>
        <w:spacing w:line="360" w:lineRule="auto"/>
        <w:ind w:right="310" w:firstLine="708"/>
      </w:pPr>
      <w:r>
        <w:rPr/>
        <w:t>Etsy, dünyanın 80’den fazla ülkesinden, pek çoğu kendi evinden iş yapan 1 milyondan fazla satıcıyı bünyesinde bulundurmaktadır. Aynı zamanda, Etsy’de satılan ürünlerin önemli çoğunluğu el işi olduğundan, bu ürünleri başka bir yerden satın almak da mümkün</w:t>
      </w:r>
      <w:r>
        <w:rPr>
          <w:spacing w:val="-9"/>
        </w:rPr>
        <w:t> </w:t>
      </w:r>
      <w:r>
        <w:rPr/>
        <w:t>değildir</w:t>
      </w:r>
      <w:r>
        <w:rPr>
          <w:spacing w:val="-8"/>
        </w:rPr>
        <w:t> </w:t>
      </w:r>
      <w:r>
        <w:rPr/>
        <w:t>(Smith,</w:t>
      </w:r>
      <w:r>
        <w:rPr>
          <w:spacing w:val="-8"/>
        </w:rPr>
        <w:t> </w:t>
      </w:r>
      <w:r>
        <w:rPr/>
        <w:t>2019).</w:t>
      </w:r>
      <w:r>
        <w:rPr>
          <w:spacing w:val="-8"/>
        </w:rPr>
        <w:t> </w:t>
      </w:r>
      <w:r>
        <w:rPr/>
        <w:t>Etsy’nin</w:t>
      </w:r>
      <w:r>
        <w:rPr>
          <w:spacing w:val="-6"/>
        </w:rPr>
        <w:t> </w:t>
      </w:r>
      <w:r>
        <w:rPr/>
        <w:t>bu</w:t>
      </w:r>
      <w:r>
        <w:rPr>
          <w:spacing w:val="-8"/>
        </w:rPr>
        <w:t> </w:t>
      </w:r>
      <w:r>
        <w:rPr/>
        <w:t>özelliklerinden</w:t>
      </w:r>
      <w:r>
        <w:rPr>
          <w:spacing w:val="-9"/>
        </w:rPr>
        <w:t> </w:t>
      </w:r>
      <w:r>
        <w:rPr/>
        <w:t>dolayı,</w:t>
      </w:r>
      <w:r>
        <w:rPr>
          <w:spacing w:val="-6"/>
        </w:rPr>
        <w:t> </w:t>
      </w:r>
      <w:r>
        <w:rPr/>
        <w:t>tüketicinin</w:t>
      </w:r>
      <w:r>
        <w:rPr>
          <w:spacing w:val="-8"/>
        </w:rPr>
        <w:t> </w:t>
      </w:r>
      <w:r>
        <w:rPr/>
        <w:t>Etsy’deki</w:t>
      </w:r>
      <w:r>
        <w:rPr>
          <w:spacing w:val="-7"/>
        </w:rPr>
        <w:t> </w:t>
      </w:r>
      <w:r>
        <w:rPr/>
        <w:t>bir satıcıya</w:t>
      </w:r>
      <w:r>
        <w:rPr>
          <w:spacing w:val="40"/>
        </w:rPr>
        <w:t> </w:t>
      </w:r>
      <w:r>
        <w:rPr/>
        <w:t>güven</w:t>
      </w:r>
      <w:r>
        <w:rPr>
          <w:spacing w:val="41"/>
        </w:rPr>
        <w:t> </w:t>
      </w:r>
      <w:r>
        <w:rPr/>
        <w:t>duyabilmesi</w:t>
      </w:r>
      <w:r>
        <w:rPr>
          <w:spacing w:val="42"/>
        </w:rPr>
        <w:t> </w:t>
      </w:r>
      <w:r>
        <w:rPr/>
        <w:t>için</w:t>
      </w:r>
      <w:r>
        <w:rPr>
          <w:spacing w:val="44"/>
        </w:rPr>
        <w:t> </w:t>
      </w:r>
      <w:r>
        <w:rPr/>
        <w:t>yegane</w:t>
      </w:r>
      <w:r>
        <w:rPr>
          <w:spacing w:val="41"/>
        </w:rPr>
        <w:t> </w:t>
      </w:r>
      <w:r>
        <w:rPr/>
        <w:t>bilgi</w:t>
      </w:r>
      <w:r>
        <w:rPr>
          <w:spacing w:val="42"/>
        </w:rPr>
        <w:t> </w:t>
      </w:r>
      <w:r>
        <w:rPr/>
        <w:t>kaynağı</w:t>
      </w:r>
      <w:r>
        <w:rPr>
          <w:spacing w:val="41"/>
        </w:rPr>
        <w:t> </w:t>
      </w:r>
      <w:r>
        <w:rPr/>
        <w:t>aynı</w:t>
      </w:r>
      <w:r>
        <w:rPr>
          <w:spacing w:val="42"/>
        </w:rPr>
        <w:t> </w:t>
      </w:r>
      <w:r>
        <w:rPr/>
        <w:t>satıcıdan</w:t>
      </w:r>
      <w:r>
        <w:rPr>
          <w:spacing w:val="41"/>
        </w:rPr>
        <w:t> </w:t>
      </w:r>
      <w:r>
        <w:rPr/>
        <w:t>daha</w:t>
      </w:r>
      <w:r>
        <w:rPr>
          <w:spacing w:val="41"/>
        </w:rPr>
        <w:t> </w:t>
      </w:r>
      <w:r>
        <w:rPr/>
        <w:t>önce</w:t>
      </w:r>
      <w:r>
        <w:rPr>
          <w:spacing w:val="41"/>
        </w:rPr>
        <w:t> </w:t>
      </w:r>
      <w:r>
        <w:rPr/>
        <w:t>alışveriş</w:t>
      </w:r>
    </w:p>
    <w:p>
      <w:pPr>
        <w:spacing w:after="0" w:line="360" w:lineRule="auto"/>
        <w:sectPr>
          <w:pgSz w:w="12240" w:h="15840"/>
          <w:pgMar w:header="718" w:footer="0" w:top="1300" w:bottom="280" w:left="1720" w:right="820"/>
        </w:sectPr>
      </w:pPr>
    </w:p>
    <w:p>
      <w:pPr>
        <w:pStyle w:val="BodyText"/>
        <w:spacing w:line="360" w:lineRule="auto" w:before="100"/>
        <w:ind w:right="314"/>
      </w:pPr>
      <w:r>
        <w:rPr/>
        <w:t>yapmış tüketicilerin yorumlarıdır. Ancak, Etsy, ağızdan ağıza iletişim çalışmalarının bu zamana kadar ilgisini çekememiştir.</w:t>
      </w:r>
    </w:p>
    <w:p>
      <w:pPr>
        <w:pStyle w:val="BodyText"/>
        <w:spacing w:line="360" w:lineRule="auto" w:before="1"/>
        <w:ind w:right="315" w:firstLine="708"/>
      </w:pPr>
      <w:r>
        <w:rPr/>
        <w:t>Ağızdan ağıza iletişim literatüründe satıcıya yapılan yorumların çok az ilgi çekmesi (Jaikumar, 2019) ve Etsy ile ilgili çalışmalara rastlanmamış olmasından hareketle, bu çalışmada online pazar alanında yer alan satıcılara yönelik yorumların satışlara etkisini irdelemek amaçlanmaktadır.</w:t>
      </w:r>
    </w:p>
    <w:p>
      <w:pPr>
        <w:pStyle w:val="Heading1"/>
        <w:numPr>
          <w:ilvl w:val="2"/>
          <w:numId w:val="3"/>
        </w:numPr>
        <w:tabs>
          <w:tab w:pos="1857" w:val="left" w:leader="none"/>
        </w:tabs>
        <w:spacing w:line="240" w:lineRule="auto" w:before="120" w:after="0"/>
        <w:ind w:left="1856" w:right="0" w:hanging="601"/>
        <w:jc w:val="both"/>
      </w:pPr>
      <w:r>
        <w:rPr/>
        <w:t>Hipotez</w:t>
      </w:r>
      <w:r>
        <w:rPr>
          <w:spacing w:val="-1"/>
        </w:rPr>
        <w:t> </w:t>
      </w:r>
      <w:r>
        <w:rPr/>
        <w:t>Geliştirme</w:t>
      </w:r>
    </w:p>
    <w:p>
      <w:pPr>
        <w:pStyle w:val="BodyText"/>
        <w:spacing w:line="360" w:lineRule="auto" w:before="137"/>
        <w:ind w:right="312" w:firstLine="708"/>
      </w:pPr>
      <w:r>
        <w:rPr/>
        <w:t>Online pazar alanlarında, satıcıların başarılı bir şekilde ticari faaliyetlerine devam edebilmeleri için tüketicilerin güvenini kazanması ve bu güvenilirliğini sürdürmesi gerekmektedir. Güvenilirliğin belirleyicisi ise satıcının itibarıdır (Wang vd., 2016). Satıcı itibarının</w:t>
      </w:r>
      <w:r>
        <w:rPr>
          <w:spacing w:val="-14"/>
        </w:rPr>
        <w:t> </w:t>
      </w:r>
      <w:r>
        <w:rPr/>
        <w:t>yüksek</w:t>
      </w:r>
      <w:r>
        <w:rPr>
          <w:spacing w:val="-13"/>
        </w:rPr>
        <w:t> </w:t>
      </w:r>
      <w:r>
        <w:rPr/>
        <w:t>olması</w:t>
      </w:r>
      <w:r>
        <w:rPr>
          <w:spacing w:val="-13"/>
        </w:rPr>
        <w:t> </w:t>
      </w:r>
      <w:r>
        <w:rPr/>
        <w:t>ürünlerinin</w:t>
      </w:r>
      <w:r>
        <w:rPr>
          <w:spacing w:val="-14"/>
        </w:rPr>
        <w:t> </w:t>
      </w:r>
      <w:r>
        <w:rPr/>
        <w:t>de</w:t>
      </w:r>
      <w:r>
        <w:rPr>
          <w:spacing w:val="-14"/>
        </w:rPr>
        <w:t> </w:t>
      </w:r>
      <w:r>
        <w:rPr/>
        <w:t>yüksek</w:t>
      </w:r>
      <w:r>
        <w:rPr>
          <w:spacing w:val="-13"/>
        </w:rPr>
        <w:t> </w:t>
      </w:r>
      <w:r>
        <w:rPr/>
        <w:t>kaliteli</w:t>
      </w:r>
      <w:r>
        <w:rPr>
          <w:spacing w:val="-13"/>
        </w:rPr>
        <w:t> </w:t>
      </w:r>
      <w:r>
        <w:rPr/>
        <w:t>olduğunun</w:t>
      </w:r>
      <w:r>
        <w:rPr>
          <w:spacing w:val="-14"/>
        </w:rPr>
        <w:t> </w:t>
      </w:r>
      <w:r>
        <w:rPr/>
        <w:t>düşünülmesine</w:t>
      </w:r>
      <w:r>
        <w:rPr>
          <w:spacing w:val="-14"/>
        </w:rPr>
        <w:t> </w:t>
      </w:r>
      <w:r>
        <w:rPr/>
        <w:t>(Zhang</w:t>
      </w:r>
      <w:r>
        <w:rPr>
          <w:spacing w:val="-13"/>
        </w:rPr>
        <w:t> </w:t>
      </w:r>
      <w:r>
        <w:rPr/>
        <w:t>vd., 2016) ve dolayısıyla alıcıların bu ürünler için daha fazla ödemeye istekli olmalarına neden olmaktadır (Cabral,</w:t>
      </w:r>
      <w:r>
        <w:rPr>
          <w:spacing w:val="-2"/>
        </w:rPr>
        <w:t> </w:t>
      </w:r>
      <w:r>
        <w:rPr/>
        <w:t>2012).</w:t>
      </w:r>
    </w:p>
    <w:p>
      <w:pPr>
        <w:pStyle w:val="BodyText"/>
        <w:spacing w:line="360" w:lineRule="auto"/>
        <w:ind w:right="310" w:firstLine="708"/>
      </w:pPr>
      <w:r>
        <w:rPr/>
        <w:t>Satıcı itibarına dair ipuçları yorumların sayısal ve metinsel bileşenlerinden elde edilebilir (Zhang vd., 2016). Dolayısıyla, satıcıya yapılan yorumların sayısal ve metinsel bileşenlerinin satış miktarına etki etmesi olasıdır. Bu doğrultuda, satıcılar için yapılan yorumların satışlar üzerine etkisi, literatürde elektronik ağızdan ağıza iletişimin en çok ilgi çeken iki özelliği olan hacim ve değerlik (Cheung ve Thadani, 2012; Floyd vd. 2014; You vd., 2015) üzerinden incelenmiştir. Alt başlıklarda, hacim-satış ve değerlik-satış ilişkileri bağlamında geliştirilen hipotezler aktarılmaktadır.</w:t>
      </w:r>
    </w:p>
    <w:p>
      <w:pPr>
        <w:pStyle w:val="Heading1"/>
        <w:numPr>
          <w:ilvl w:val="3"/>
          <w:numId w:val="3"/>
        </w:numPr>
        <w:tabs>
          <w:tab w:pos="2037" w:val="left" w:leader="none"/>
        </w:tabs>
        <w:spacing w:line="240" w:lineRule="auto" w:before="122" w:after="0"/>
        <w:ind w:left="2036" w:right="0" w:hanging="781"/>
        <w:jc w:val="both"/>
      </w:pPr>
      <w:r>
        <w:rPr/>
        <w:t>Hacim-Satış</w:t>
      </w:r>
      <w:r>
        <w:rPr>
          <w:spacing w:val="-1"/>
        </w:rPr>
        <w:t> </w:t>
      </w:r>
      <w:r>
        <w:rPr/>
        <w:t>İlişkisi</w:t>
      </w:r>
    </w:p>
    <w:p>
      <w:pPr>
        <w:pStyle w:val="BodyText"/>
        <w:spacing w:line="360" w:lineRule="auto" w:before="137"/>
        <w:ind w:right="313" w:firstLine="708"/>
      </w:pPr>
      <w:r>
        <w:rPr/>
        <w:t>E-ticaret</w:t>
      </w:r>
      <w:r>
        <w:rPr>
          <w:spacing w:val="-15"/>
        </w:rPr>
        <w:t> </w:t>
      </w:r>
      <w:r>
        <w:rPr/>
        <w:t>sitesindeki</w:t>
      </w:r>
      <w:r>
        <w:rPr>
          <w:spacing w:val="-15"/>
        </w:rPr>
        <w:t> </w:t>
      </w:r>
      <w:r>
        <w:rPr/>
        <w:t>ya</w:t>
      </w:r>
      <w:r>
        <w:rPr>
          <w:spacing w:val="-16"/>
        </w:rPr>
        <w:t> </w:t>
      </w:r>
      <w:r>
        <w:rPr/>
        <w:t>da</w:t>
      </w:r>
      <w:r>
        <w:rPr>
          <w:spacing w:val="-13"/>
        </w:rPr>
        <w:t> </w:t>
      </w:r>
      <w:r>
        <w:rPr/>
        <w:t>platformundaki</w:t>
      </w:r>
      <w:r>
        <w:rPr>
          <w:spacing w:val="-15"/>
        </w:rPr>
        <w:t> </w:t>
      </w:r>
      <w:r>
        <w:rPr/>
        <w:t>yorum</w:t>
      </w:r>
      <w:r>
        <w:rPr>
          <w:spacing w:val="-16"/>
        </w:rPr>
        <w:t> </w:t>
      </w:r>
      <w:r>
        <w:rPr/>
        <w:t>sayısı,</w:t>
      </w:r>
      <w:r>
        <w:rPr>
          <w:spacing w:val="-15"/>
        </w:rPr>
        <w:t> </w:t>
      </w:r>
      <w:r>
        <w:rPr/>
        <w:t>sosyal</w:t>
      </w:r>
      <w:r>
        <w:rPr>
          <w:spacing w:val="-15"/>
        </w:rPr>
        <w:t> </w:t>
      </w:r>
      <w:r>
        <w:rPr/>
        <w:t>medyadaki</w:t>
      </w:r>
      <w:r>
        <w:rPr>
          <w:spacing w:val="-15"/>
        </w:rPr>
        <w:t> </w:t>
      </w:r>
      <w:r>
        <w:rPr/>
        <w:t>ileti</w:t>
      </w:r>
      <w:r>
        <w:rPr>
          <w:spacing w:val="-15"/>
        </w:rPr>
        <w:t> </w:t>
      </w:r>
      <w:r>
        <w:rPr/>
        <w:t>sayısı, forumlardaki gönderi sayısı ve blog yazısı sayısı gibi elektronik ağızdan ağıza iletişim mesajlarının miktarını belirten göstergeler literatürde hacim olarak adlandırılmaktadır (You vd., 2015). Çok sayıda mesajın, yani büyük hacmin, yüksek tüketici ilgisinin ve farkındalığının göstergesi olarak, satış miktarını artırma gücüne sahip olduğu düşünülmektedir (Floyd vd., 2014; Bao vd.,</w:t>
      </w:r>
      <w:r>
        <w:rPr>
          <w:spacing w:val="1"/>
        </w:rPr>
        <w:t> </w:t>
      </w:r>
      <w:r>
        <w:rPr/>
        <w:t>2019).</w:t>
      </w:r>
    </w:p>
    <w:p>
      <w:pPr>
        <w:pStyle w:val="BodyText"/>
        <w:spacing w:line="360" w:lineRule="auto" w:before="1"/>
        <w:ind w:right="311" w:firstLine="708"/>
      </w:pPr>
      <w:r>
        <w:rPr/>
        <w:t>Hacim-satış</w:t>
      </w:r>
      <w:r>
        <w:rPr>
          <w:spacing w:val="-7"/>
        </w:rPr>
        <w:t> </w:t>
      </w:r>
      <w:r>
        <w:rPr/>
        <w:t>ilişkisi,</w:t>
      </w:r>
      <w:r>
        <w:rPr>
          <w:spacing w:val="-7"/>
        </w:rPr>
        <w:t> </w:t>
      </w:r>
      <w:r>
        <w:rPr/>
        <w:t>Amazon</w:t>
      </w:r>
      <w:r>
        <w:rPr>
          <w:spacing w:val="-7"/>
        </w:rPr>
        <w:t> </w:t>
      </w:r>
      <w:r>
        <w:rPr/>
        <w:t>uygulama</w:t>
      </w:r>
      <w:r>
        <w:rPr>
          <w:spacing w:val="-7"/>
        </w:rPr>
        <w:t> </w:t>
      </w:r>
      <w:r>
        <w:rPr/>
        <w:t>bölümünde</w:t>
      </w:r>
      <w:r>
        <w:rPr>
          <w:spacing w:val="-8"/>
        </w:rPr>
        <w:t> </w:t>
      </w:r>
      <w:r>
        <w:rPr/>
        <w:t>(bk.</w:t>
      </w:r>
      <w:r>
        <w:rPr>
          <w:spacing w:val="-7"/>
        </w:rPr>
        <w:t> </w:t>
      </w:r>
      <w:r>
        <w:rPr/>
        <w:t>Bölüm</w:t>
      </w:r>
      <w:r>
        <w:rPr>
          <w:spacing w:val="-6"/>
        </w:rPr>
        <w:t> </w:t>
      </w:r>
      <w:r>
        <w:rPr/>
        <w:t>2.1.3)</w:t>
      </w:r>
      <w:r>
        <w:rPr>
          <w:spacing w:val="-7"/>
        </w:rPr>
        <w:t> </w:t>
      </w:r>
      <w:r>
        <w:rPr/>
        <w:t>aktarıldığı</w:t>
      </w:r>
      <w:r>
        <w:rPr>
          <w:spacing w:val="-7"/>
        </w:rPr>
        <w:t> </w:t>
      </w:r>
      <w:r>
        <w:rPr/>
        <w:t>gibi literatürde genellikle ürün yorumları bağlamında ele alınmıştır. Ancak, Etsy, Ebay ve Alibaba gibi satıcının ve satıcı itibarının önemli olduğu platformalarda da satıcıya yapılan yorum</w:t>
      </w:r>
      <w:r>
        <w:rPr>
          <w:spacing w:val="19"/>
        </w:rPr>
        <w:t> </w:t>
      </w:r>
      <w:r>
        <w:rPr/>
        <w:t>sayısının</w:t>
      </w:r>
      <w:r>
        <w:rPr>
          <w:spacing w:val="20"/>
        </w:rPr>
        <w:t> </w:t>
      </w:r>
      <w:r>
        <w:rPr/>
        <w:t>tüketicinin</w:t>
      </w:r>
      <w:r>
        <w:rPr>
          <w:spacing w:val="20"/>
        </w:rPr>
        <w:t> </w:t>
      </w:r>
      <w:r>
        <w:rPr/>
        <w:t>satın</w:t>
      </w:r>
      <w:r>
        <w:rPr>
          <w:spacing w:val="19"/>
        </w:rPr>
        <w:t> </w:t>
      </w:r>
      <w:r>
        <w:rPr/>
        <w:t>alma</w:t>
      </w:r>
      <w:r>
        <w:rPr>
          <w:spacing w:val="19"/>
        </w:rPr>
        <w:t> </w:t>
      </w:r>
      <w:r>
        <w:rPr/>
        <w:t>kararını</w:t>
      </w:r>
      <w:r>
        <w:rPr>
          <w:spacing w:val="20"/>
        </w:rPr>
        <w:t> </w:t>
      </w:r>
      <w:r>
        <w:rPr/>
        <w:t>etkilemesi</w:t>
      </w:r>
      <w:r>
        <w:rPr>
          <w:spacing w:val="20"/>
        </w:rPr>
        <w:t> </w:t>
      </w:r>
      <w:r>
        <w:rPr/>
        <w:t>olasıdır.</w:t>
      </w:r>
      <w:r>
        <w:rPr>
          <w:spacing w:val="19"/>
        </w:rPr>
        <w:t> </w:t>
      </w:r>
      <w:r>
        <w:rPr/>
        <w:t>Bir</w:t>
      </w:r>
      <w:r>
        <w:rPr>
          <w:spacing w:val="20"/>
        </w:rPr>
        <w:t> </w:t>
      </w:r>
      <w:r>
        <w:rPr/>
        <w:t>satıcı</w:t>
      </w:r>
      <w:r>
        <w:rPr>
          <w:spacing w:val="20"/>
        </w:rPr>
        <w:t> </w:t>
      </w:r>
      <w:r>
        <w:rPr/>
        <w:t>ne</w:t>
      </w:r>
      <w:r>
        <w:rPr>
          <w:spacing w:val="18"/>
        </w:rPr>
        <w:t> </w:t>
      </w:r>
      <w:r>
        <w:rPr/>
        <w:t>kadar</w:t>
      </w:r>
      <w:r>
        <w:rPr>
          <w:spacing w:val="22"/>
        </w:rPr>
        <w:t> </w:t>
      </w:r>
      <w:r>
        <w:rPr/>
        <w:t>çok</w:t>
      </w:r>
    </w:p>
    <w:p>
      <w:pPr>
        <w:spacing w:after="0" w:line="360" w:lineRule="auto"/>
        <w:sectPr>
          <w:pgSz w:w="12240" w:h="15840"/>
          <w:pgMar w:header="718" w:footer="0" w:top="1300" w:bottom="280" w:left="1720" w:right="820"/>
        </w:sectPr>
      </w:pPr>
    </w:p>
    <w:p>
      <w:pPr>
        <w:pStyle w:val="BodyText"/>
        <w:spacing w:line="360" w:lineRule="auto" w:before="100"/>
        <w:ind w:right="308"/>
      </w:pPr>
      <w:r>
        <w:rPr/>
        <w:t>yorum almışsa, geçmişte diğer alıcılar tarafından o kadar çok tercih edilmiş demektir. Alıcı bir nevi sürü davranışı sergileyerek, daha fazla tüketicinin tercih ettiği ve hakkında yorum yaptığı satıcıya daha fazla güven duymaktadır (Simonsohn ve Ariely, 2008). Bunun sonucunda,</w:t>
      </w:r>
      <w:r>
        <w:rPr>
          <w:spacing w:val="-16"/>
        </w:rPr>
        <w:t> </w:t>
      </w:r>
      <w:r>
        <w:rPr/>
        <w:t>tüketiciler</w:t>
      </w:r>
      <w:r>
        <w:rPr>
          <w:spacing w:val="-17"/>
        </w:rPr>
        <w:t> </w:t>
      </w:r>
      <w:r>
        <w:rPr/>
        <w:t>yüksek</w:t>
      </w:r>
      <w:r>
        <w:rPr>
          <w:spacing w:val="-16"/>
        </w:rPr>
        <w:t> </w:t>
      </w:r>
      <w:r>
        <w:rPr/>
        <w:t>yorum</w:t>
      </w:r>
      <w:r>
        <w:rPr>
          <w:spacing w:val="-16"/>
        </w:rPr>
        <w:t> </w:t>
      </w:r>
      <w:r>
        <w:rPr/>
        <w:t>hacmine</w:t>
      </w:r>
      <w:r>
        <w:rPr>
          <w:spacing w:val="-15"/>
        </w:rPr>
        <w:t> </w:t>
      </w:r>
      <w:r>
        <w:rPr/>
        <w:t>sahip</w:t>
      </w:r>
      <w:r>
        <w:rPr>
          <w:spacing w:val="-16"/>
        </w:rPr>
        <w:t> </w:t>
      </w:r>
      <w:r>
        <w:rPr/>
        <w:t>satıcıları,</w:t>
      </w:r>
      <w:r>
        <w:rPr>
          <w:spacing w:val="-14"/>
        </w:rPr>
        <w:t> </w:t>
      </w:r>
      <w:r>
        <w:rPr/>
        <w:t>fiyatları</w:t>
      </w:r>
      <w:r>
        <w:rPr>
          <w:spacing w:val="-16"/>
        </w:rPr>
        <w:t> </w:t>
      </w:r>
      <w:r>
        <w:rPr/>
        <w:t>daha</w:t>
      </w:r>
      <w:r>
        <w:rPr>
          <w:spacing w:val="-12"/>
        </w:rPr>
        <w:t> </w:t>
      </w:r>
      <w:r>
        <w:rPr/>
        <w:t>yüksek</w:t>
      </w:r>
      <w:r>
        <w:rPr>
          <w:spacing w:val="-16"/>
        </w:rPr>
        <w:t> </w:t>
      </w:r>
      <w:r>
        <w:rPr/>
        <w:t>dahi</w:t>
      </w:r>
      <w:r>
        <w:rPr>
          <w:spacing w:val="-15"/>
        </w:rPr>
        <w:t> </w:t>
      </w:r>
      <w:r>
        <w:rPr/>
        <w:t>olsa, tercih</w:t>
      </w:r>
      <w:r>
        <w:rPr>
          <w:spacing w:val="-16"/>
        </w:rPr>
        <w:t> </w:t>
      </w:r>
      <w:r>
        <w:rPr/>
        <w:t>etme</w:t>
      </w:r>
      <w:r>
        <w:rPr>
          <w:spacing w:val="-15"/>
        </w:rPr>
        <w:t> </w:t>
      </w:r>
      <w:r>
        <w:rPr/>
        <w:t>eğilimindedir</w:t>
      </w:r>
      <w:r>
        <w:rPr>
          <w:spacing w:val="-17"/>
        </w:rPr>
        <w:t> </w:t>
      </w:r>
      <w:r>
        <w:rPr/>
        <w:t>(Jaikumar,</w:t>
      </w:r>
      <w:r>
        <w:rPr>
          <w:spacing w:val="-17"/>
        </w:rPr>
        <w:t> </w:t>
      </w:r>
      <w:r>
        <w:rPr/>
        <w:t>2019).</w:t>
      </w:r>
      <w:r>
        <w:rPr>
          <w:spacing w:val="-15"/>
        </w:rPr>
        <w:t> </w:t>
      </w:r>
      <w:r>
        <w:rPr/>
        <w:t>Bu</w:t>
      </w:r>
      <w:r>
        <w:rPr>
          <w:spacing w:val="-16"/>
        </w:rPr>
        <w:t> </w:t>
      </w:r>
      <w:r>
        <w:rPr/>
        <w:t>durum,</w:t>
      </w:r>
      <w:r>
        <w:rPr>
          <w:spacing w:val="-16"/>
        </w:rPr>
        <w:t> </w:t>
      </w:r>
      <w:r>
        <w:rPr/>
        <w:t>yorum</w:t>
      </w:r>
      <w:r>
        <w:rPr>
          <w:spacing w:val="-16"/>
        </w:rPr>
        <w:t> </w:t>
      </w:r>
      <w:r>
        <w:rPr/>
        <w:t>hacmi</w:t>
      </w:r>
      <w:r>
        <w:rPr>
          <w:spacing w:val="-16"/>
        </w:rPr>
        <w:t> </w:t>
      </w:r>
      <w:r>
        <w:rPr/>
        <w:t>ile</w:t>
      </w:r>
      <w:r>
        <w:rPr>
          <w:spacing w:val="-16"/>
        </w:rPr>
        <w:t> </w:t>
      </w:r>
      <w:r>
        <w:rPr/>
        <w:t>satış</w:t>
      </w:r>
      <w:r>
        <w:rPr>
          <w:spacing w:val="-15"/>
        </w:rPr>
        <w:t> </w:t>
      </w:r>
      <w:r>
        <w:rPr/>
        <w:t>miktarı</w:t>
      </w:r>
      <w:r>
        <w:rPr>
          <w:spacing w:val="-16"/>
        </w:rPr>
        <w:t> </w:t>
      </w:r>
      <w:r>
        <w:rPr/>
        <w:t>arasında pozitif bir ilişkiyi işaret etmektedir (Fan vd., 2016). Bu doğrultuda, araştırmanın ilk</w:t>
      </w:r>
      <w:r>
        <w:rPr>
          <w:spacing w:val="-33"/>
        </w:rPr>
        <w:t> </w:t>
      </w:r>
      <w:r>
        <w:rPr/>
        <w:t>hipotezi şu şekilde</w:t>
      </w:r>
      <w:r>
        <w:rPr>
          <w:spacing w:val="-3"/>
        </w:rPr>
        <w:t> </w:t>
      </w:r>
      <w:r>
        <w:rPr/>
        <w:t>oluşturulmuştur:</w:t>
      </w:r>
    </w:p>
    <w:p>
      <w:pPr>
        <w:pStyle w:val="BodyText"/>
        <w:spacing w:line="362" w:lineRule="auto"/>
        <w:ind w:right="316" w:firstLine="708"/>
      </w:pPr>
      <w:r>
        <w:rPr>
          <w:b/>
          <w:position w:val="1"/>
        </w:rPr>
        <w:t>H</w:t>
      </w:r>
      <w:r>
        <w:rPr>
          <w:b/>
          <w:sz w:val="16"/>
        </w:rPr>
        <w:t>1</w:t>
      </w:r>
      <w:r>
        <w:rPr>
          <w:b/>
          <w:position w:val="1"/>
        </w:rPr>
        <w:t>: </w:t>
      </w:r>
      <w:r>
        <w:rPr>
          <w:position w:val="1"/>
        </w:rPr>
        <w:t>Satıcılara yapılan yorum sayısı ile satış miktarı arasında pozitif ilişki </w:t>
      </w:r>
      <w:r>
        <w:rPr/>
        <w:t>bulunmaktadır.</w:t>
      </w:r>
    </w:p>
    <w:p>
      <w:pPr>
        <w:pStyle w:val="Heading1"/>
        <w:numPr>
          <w:ilvl w:val="3"/>
          <w:numId w:val="3"/>
        </w:numPr>
        <w:tabs>
          <w:tab w:pos="2037" w:val="left" w:leader="none"/>
        </w:tabs>
        <w:spacing w:line="240" w:lineRule="auto" w:before="115" w:after="0"/>
        <w:ind w:left="2036" w:right="0" w:hanging="781"/>
        <w:jc w:val="both"/>
      </w:pPr>
      <w:r>
        <w:rPr/>
        <w:t>Değerlik-Satış</w:t>
      </w:r>
      <w:r>
        <w:rPr>
          <w:spacing w:val="-1"/>
        </w:rPr>
        <w:t> </w:t>
      </w:r>
      <w:r>
        <w:rPr/>
        <w:t>İlişkisi</w:t>
      </w:r>
    </w:p>
    <w:p>
      <w:pPr>
        <w:pStyle w:val="BodyText"/>
        <w:spacing w:line="360" w:lineRule="auto" w:before="139"/>
        <w:ind w:right="309" w:firstLine="708"/>
      </w:pPr>
      <w:r>
        <w:rPr/>
        <w:t>Literatürde sıklıkla araştırılan diğer yorum özelliği de değerliktir. Olumlu, olumsuz ya da nötr olabilen yorum içeriği ve tüketici memnuniyetini yansıtan değerlendirme puanı değerliğin kapsamına girmektedir (Li ve Shimizu, 2018). Değerlendirme puanlarının ortalamasının kalite göstergesi olarak algılandığı (Hu vd., 2017), olumsuz yorumların satışları</w:t>
      </w:r>
      <w:r>
        <w:rPr>
          <w:spacing w:val="-14"/>
        </w:rPr>
        <w:t> </w:t>
      </w:r>
      <w:r>
        <w:rPr/>
        <w:t>azalttığı,</w:t>
      </w:r>
      <w:r>
        <w:rPr>
          <w:spacing w:val="-14"/>
        </w:rPr>
        <w:t> </w:t>
      </w:r>
      <w:r>
        <w:rPr/>
        <w:t>olumlu</w:t>
      </w:r>
      <w:r>
        <w:rPr>
          <w:spacing w:val="-16"/>
        </w:rPr>
        <w:t> </w:t>
      </w:r>
      <w:r>
        <w:rPr/>
        <w:t>yorumların</w:t>
      </w:r>
      <w:r>
        <w:rPr>
          <w:spacing w:val="-14"/>
        </w:rPr>
        <w:t> </w:t>
      </w:r>
      <w:r>
        <w:rPr/>
        <w:t>satışları</w:t>
      </w:r>
      <w:r>
        <w:rPr>
          <w:spacing w:val="-15"/>
        </w:rPr>
        <w:t> </w:t>
      </w:r>
      <w:r>
        <w:rPr/>
        <w:t>artırdığı</w:t>
      </w:r>
      <w:r>
        <w:rPr>
          <w:spacing w:val="-14"/>
        </w:rPr>
        <w:t> </w:t>
      </w:r>
      <w:r>
        <w:rPr/>
        <w:t>(Moen</w:t>
      </w:r>
      <w:r>
        <w:rPr>
          <w:spacing w:val="-14"/>
        </w:rPr>
        <w:t> </w:t>
      </w:r>
      <w:r>
        <w:rPr/>
        <w:t>vd.,</w:t>
      </w:r>
      <w:r>
        <w:rPr>
          <w:spacing w:val="-14"/>
        </w:rPr>
        <w:t> </w:t>
      </w:r>
      <w:r>
        <w:rPr/>
        <w:t>2017)</w:t>
      </w:r>
      <w:r>
        <w:rPr>
          <w:spacing w:val="-15"/>
        </w:rPr>
        <w:t> </w:t>
      </w:r>
      <w:r>
        <w:rPr/>
        <w:t>ve</w:t>
      </w:r>
      <w:r>
        <w:rPr>
          <w:spacing w:val="-15"/>
        </w:rPr>
        <w:t> </w:t>
      </w:r>
      <w:r>
        <w:rPr/>
        <w:t>tüketici</w:t>
      </w:r>
      <w:r>
        <w:rPr>
          <w:spacing w:val="-14"/>
        </w:rPr>
        <w:t> </w:t>
      </w:r>
      <w:r>
        <w:rPr/>
        <w:t>satın</w:t>
      </w:r>
      <w:r>
        <w:rPr>
          <w:spacing w:val="-13"/>
        </w:rPr>
        <w:t> </w:t>
      </w:r>
      <w:r>
        <w:rPr/>
        <w:t>alma kararını</w:t>
      </w:r>
      <w:r>
        <w:rPr>
          <w:spacing w:val="-13"/>
        </w:rPr>
        <w:t> </w:t>
      </w:r>
      <w:r>
        <w:rPr/>
        <w:t>olumsuz</w:t>
      </w:r>
      <w:r>
        <w:rPr>
          <w:spacing w:val="-11"/>
        </w:rPr>
        <w:t> </w:t>
      </w:r>
      <w:r>
        <w:rPr/>
        <w:t>yorumların</w:t>
      </w:r>
      <w:r>
        <w:rPr>
          <w:spacing w:val="-14"/>
        </w:rPr>
        <w:t> </w:t>
      </w:r>
      <w:r>
        <w:rPr/>
        <w:t>olumlu</w:t>
      </w:r>
      <w:r>
        <w:rPr>
          <w:spacing w:val="-12"/>
        </w:rPr>
        <w:t> </w:t>
      </w:r>
      <w:r>
        <w:rPr/>
        <w:t>yorumlardan</w:t>
      </w:r>
      <w:r>
        <w:rPr>
          <w:spacing w:val="-11"/>
        </w:rPr>
        <w:t> </w:t>
      </w:r>
      <w:r>
        <w:rPr/>
        <w:t>daha</w:t>
      </w:r>
      <w:r>
        <w:rPr>
          <w:spacing w:val="-11"/>
        </w:rPr>
        <w:t> </w:t>
      </w:r>
      <w:r>
        <w:rPr/>
        <w:t>fazla</w:t>
      </w:r>
      <w:r>
        <w:rPr>
          <w:spacing w:val="-14"/>
        </w:rPr>
        <w:t> </w:t>
      </w:r>
      <w:r>
        <w:rPr/>
        <w:t>etkilediği</w:t>
      </w:r>
      <w:r>
        <w:rPr>
          <w:spacing w:val="-12"/>
        </w:rPr>
        <w:t> </w:t>
      </w:r>
      <w:r>
        <w:rPr/>
        <w:t>(Li</w:t>
      </w:r>
      <w:r>
        <w:rPr>
          <w:spacing w:val="-12"/>
        </w:rPr>
        <w:t> </w:t>
      </w:r>
      <w:r>
        <w:rPr/>
        <w:t>ve</w:t>
      </w:r>
      <w:r>
        <w:rPr>
          <w:spacing w:val="-14"/>
        </w:rPr>
        <w:t> </w:t>
      </w:r>
      <w:r>
        <w:rPr/>
        <w:t>Shimizu,</w:t>
      </w:r>
      <w:r>
        <w:rPr>
          <w:spacing w:val="-13"/>
        </w:rPr>
        <w:t> </w:t>
      </w:r>
      <w:r>
        <w:rPr/>
        <w:t>2018) varsayılmaktadır.</w:t>
      </w:r>
    </w:p>
    <w:p>
      <w:pPr>
        <w:pStyle w:val="BodyText"/>
        <w:spacing w:line="360" w:lineRule="auto"/>
        <w:ind w:right="312" w:firstLine="708"/>
      </w:pPr>
      <w:r>
        <w:rPr/>
        <w:t>Bir online pazar alanında, bir alıcı aradığı ürün için birden fazla satıcının portföyünü inceleyebilmektedir.</w:t>
      </w:r>
      <w:r>
        <w:rPr>
          <w:spacing w:val="-6"/>
        </w:rPr>
        <w:t> </w:t>
      </w:r>
      <w:r>
        <w:rPr/>
        <w:t>Alıcı,</w:t>
      </w:r>
      <w:r>
        <w:rPr>
          <w:spacing w:val="-5"/>
        </w:rPr>
        <w:t> </w:t>
      </w:r>
      <w:r>
        <w:rPr/>
        <w:t>yapacağı</w:t>
      </w:r>
      <w:r>
        <w:rPr>
          <w:spacing w:val="-5"/>
        </w:rPr>
        <w:t> </w:t>
      </w:r>
      <w:r>
        <w:rPr/>
        <w:t>alışverişten</w:t>
      </w:r>
      <w:r>
        <w:rPr>
          <w:spacing w:val="-6"/>
        </w:rPr>
        <w:t> </w:t>
      </w:r>
      <w:r>
        <w:rPr/>
        <w:t>dolayı</w:t>
      </w:r>
      <w:r>
        <w:rPr>
          <w:spacing w:val="-5"/>
        </w:rPr>
        <w:t> </w:t>
      </w:r>
      <w:r>
        <w:rPr/>
        <w:t>sorun</w:t>
      </w:r>
      <w:r>
        <w:rPr>
          <w:spacing w:val="-6"/>
        </w:rPr>
        <w:t> </w:t>
      </w:r>
      <w:r>
        <w:rPr/>
        <w:t>yaşamamak</w:t>
      </w:r>
      <w:r>
        <w:rPr>
          <w:spacing w:val="-6"/>
        </w:rPr>
        <w:t> </w:t>
      </w:r>
      <w:r>
        <w:rPr/>
        <w:t>adına</w:t>
      </w:r>
      <w:r>
        <w:rPr>
          <w:spacing w:val="-6"/>
        </w:rPr>
        <w:t> </w:t>
      </w:r>
      <w:r>
        <w:rPr/>
        <w:t>en</w:t>
      </w:r>
      <w:r>
        <w:rPr>
          <w:spacing w:val="-5"/>
        </w:rPr>
        <w:t> </w:t>
      </w:r>
      <w:r>
        <w:rPr/>
        <w:t>güvenilir satıcıyı seçmek isteyecektir. Bu noktada, satıcıların güvenilirliğini yansıtan</w:t>
      </w:r>
      <w:r>
        <w:rPr>
          <w:spacing w:val="-44"/>
        </w:rPr>
        <w:t> </w:t>
      </w:r>
      <w:r>
        <w:rPr/>
        <w:t>önemli bir ipucu diğer alıcıların satıcılar için vermiş oldukları değerlendirme puanları ve bu puanların ortalamasıdır.</w:t>
      </w:r>
      <w:r>
        <w:rPr>
          <w:spacing w:val="-18"/>
        </w:rPr>
        <w:t> </w:t>
      </w:r>
      <w:r>
        <w:rPr/>
        <w:t>Değerlendirme</w:t>
      </w:r>
      <w:r>
        <w:rPr>
          <w:spacing w:val="-18"/>
        </w:rPr>
        <w:t> </w:t>
      </w:r>
      <w:r>
        <w:rPr/>
        <w:t>puanlarının</w:t>
      </w:r>
      <w:r>
        <w:rPr>
          <w:spacing w:val="-16"/>
        </w:rPr>
        <w:t> </w:t>
      </w:r>
      <w:r>
        <w:rPr/>
        <w:t>ortalaması,</w:t>
      </w:r>
      <w:r>
        <w:rPr>
          <w:spacing w:val="-16"/>
        </w:rPr>
        <w:t> </w:t>
      </w:r>
      <w:r>
        <w:rPr/>
        <w:t>ürün</w:t>
      </w:r>
      <w:r>
        <w:rPr>
          <w:spacing w:val="-17"/>
        </w:rPr>
        <w:t> </w:t>
      </w:r>
      <w:r>
        <w:rPr/>
        <w:t>kalitesini</w:t>
      </w:r>
      <w:r>
        <w:rPr>
          <w:spacing w:val="-16"/>
        </w:rPr>
        <w:t> </w:t>
      </w:r>
      <w:r>
        <w:rPr/>
        <w:t>yansıttığı</w:t>
      </w:r>
      <w:r>
        <w:rPr>
          <w:spacing w:val="-15"/>
        </w:rPr>
        <w:t> </w:t>
      </w:r>
      <w:r>
        <w:rPr/>
        <w:t>(Hu</w:t>
      </w:r>
      <w:r>
        <w:rPr>
          <w:spacing w:val="-17"/>
        </w:rPr>
        <w:t> </w:t>
      </w:r>
      <w:r>
        <w:rPr/>
        <w:t>vd.,</w:t>
      </w:r>
      <w:r>
        <w:rPr>
          <w:spacing w:val="-17"/>
        </w:rPr>
        <w:t> </w:t>
      </w:r>
      <w:r>
        <w:rPr/>
        <w:t>2017) gibi satıcının güvenilirliği hakkında da ipucu vermektedir. Alıcı, puan ortalaması daha yüksek olan satıcıyı daha güvenilir bulabilmektedir. Yapılan literatür taramasında bulunan az sayıdaki araştırma arasında ortalama puanın satışlara etkisini inceleyen iki makaleden Li vd.</w:t>
      </w:r>
      <w:r>
        <w:rPr>
          <w:spacing w:val="-13"/>
        </w:rPr>
        <w:t> </w:t>
      </w:r>
      <w:r>
        <w:rPr/>
        <w:t>(2015)</w:t>
      </w:r>
      <w:r>
        <w:rPr>
          <w:spacing w:val="-12"/>
        </w:rPr>
        <w:t> </w:t>
      </w:r>
      <w:r>
        <w:rPr/>
        <w:t>ortalama</w:t>
      </w:r>
      <w:r>
        <w:rPr>
          <w:spacing w:val="-13"/>
        </w:rPr>
        <w:t> </w:t>
      </w:r>
      <w:r>
        <w:rPr/>
        <w:t>puan</w:t>
      </w:r>
      <w:r>
        <w:rPr>
          <w:spacing w:val="-12"/>
        </w:rPr>
        <w:t> </w:t>
      </w:r>
      <w:r>
        <w:rPr/>
        <w:t>ile</w:t>
      </w:r>
      <w:r>
        <w:rPr>
          <w:spacing w:val="-13"/>
        </w:rPr>
        <w:t> </w:t>
      </w:r>
      <w:r>
        <w:rPr/>
        <w:t>satışlar</w:t>
      </w:r>
      <w:r>
        <w:rPr>
          <w:spacing w:val="-13"/>
        </w:rPr>
        <w:t> </w:t>
      </w:r>
      <w:r>
        <w:rPr/>
        <w:t>arasında</w:t>
      </w:r>
      <w:r>
        <w:rPr>
          <w:spacing w:val="-12"/>
        </w:rPr>
        <w:t> </w:t>
      </w:r>
      <w:r>
        <w:rPr/>
        <w:t>pozitif</w:t>
      </w:r>
      <w:r>
        <w:rPr>
          <w:spacing w:val="-12"/>
        </w:rPr>
        <w:t> </w:t>
      </w:r>
      <w:r>
        <w:rPr/>
        <w:t>ilişki</w:t>
      </w:r>
      <w:r>
        <w:rPr>
          <w:spacing w:val="-13"/>
        </w:rPr>
        <w:t> </w:t>
      </w:r>
      <w:r>
        <w:rPr/>
        <w:t>tespit</w:t>
      </w:r>
      <w:r>
        <w:rPr>
          <w:spacing w:val="-11"/>
        </w:rPr>
        <w:t> </w:t>
      </w:r>
      <w:r>
        <w:rPr/>
        <w:t>etmiştir.</w:t>
      </w:r>
      <w:r>
        <w:rPr>
          <w:spacing w:val="-13"/>
        </w:rPr>
        <w:t> </w:t>
      </w:r>
      <w:r>
        <w:rPr/>
        <w:t>Ancak</w:t>
      </w:r>
      <w:r>
        <w:rPr>
          <w:spacing w:val="-12"/>
        </w:rPr>
        <w:t> </w:t>
      </w:r>
      <w:r>
        <w:rPr/>
        <w:t>diğer</w:t>
      </w:r>
      <w:r>
        <w:rPr>
          <w:spacing w:val="-12"/>
        </w:rPr>
        <w:t> </w:t>
      </w:r>
      <w:r>
        <w:rPr/>
        <w:t>makale olan</w:t>
      </w:r>
      <w:r>
        <w:rPr>
          <w:spacing w:val="-9"/>
        </w:rPr>
        <w:t> </w:t>
      </w:r>
      <w:r>
        <w:rPr/>
        <w:t>Zhang</w:t>
      </w:r>
      <w:r>
        <w:rPr>
          <w:spacing w:val="-7"/>
        </w:rPr>
        <w:t> </w:t>
      </w:r>
      <w:r>
        <w:rPr/>
        <w:t>ve</w:t>
      </w:r>
      <w:r>
        <w:rPr>
          <w:spacing w:val="-8"/>
        </w:rPr>
        <w:t> </w:t>
      </w:r>
      <w:r>
        <w:rPr/>
        <w:t>Zhang’ın</w:t>
      </w:r>
      <w:r>
        <w:rPr>
          <w:spacing w:val="-7"/>
        </w:rPr>
        <w:t> </w:t>
      </w:r>
      <w:r>
        <w:rPr/>
        <w:t>(2011)</w:t>
      </w:r>
      <w:r>
        <w:rPr>
          <w:spacing w:val="-8"/>
        </w:rPr>
        <w:t> </w:t>
      </w:r>
      <w:r>
        <w:rPr/>
        <w:t>çalışmasının</w:t>
      </w:r>
      <w:r>
        <w:rPr>
          <w:spacing w:val="-7"/>
        </w:rPr>
        <w:t> </w:t>
      </w:r>
      <w:r>
        <w:rPr/>
        <w:t>sonuçlarında</w:t>
      </w:r>
      <w:r>
        <w:rPr>
          <w:spacing w:val="-8"/>
        </w:rPr>
        <w:t> </w:t>
      </w:r>
      <w:r>
        <w:rPr/>
        <w:t>ortalama</w:t>
      </w:r>
      <w:r>
        <w:rPr>
          <w:spacing w:val="-8"/>
        </w:rPr>
        <w:t> </w:t>
      </w:r>
      <w:r>
        <w:rPr/>
        <w:t>puan</w:t>
      </w:r>
      <w:r>
        <w:rPr>
          <w:spacing w:val="-5"/>
        </w:rPr>
        <w:t> </w:t>
      </w:r>
      <w:r>
        <w:rPr/>
        <w:t>ile</w:t>
      </w:r>
      <w:r>
        <w:rPr>
          <w:spacing w:val="-6"/>
        </w:rPr>
        <w:t> </w:t>
      </w:r>
      <w:r>
        <w:rPr/>
        <w:t>satışlar</w:t>
      </w:r>
      <w:r>
        <w:rPr>
          <w:spacing w:val="-8"/>
        </w:rPr>
        <w:t> </w:t>
      </w:r>
      <w:r>
        <w:rPr/>
        <w:t>arasında anlamı ilişki tespit</w:t>
      </w:r>
      <w:r>
        <w:rPr>
          <w:spacing w:val="-2"/>
        </w:rPr>
        <w:t> </w:t>
      </w:r>
      <w:r>
        <w:rPr/>
        <w:t>edilememiştir.</w:t>
      </w:r>
    </w:p>
    <w:p>
      <w:pPr>
        <w:pStyle w:val="BodyText"/>
        <w:spacing w:line="360" w:lineRule="auto"/>
        <w:ind w:right="311" w:firstLine="708"/>
      </w:pPr>
      <w:r>
        <w:rPr/>
        <w:t>Değerlendirme</w:t>
      </w:r>
      <w:r>
        <w:rPr>
          <w:spacing w:val="-13"/>
        </w:rPr>
        <w:t> </w:t>
      </w:r>
      <w:r>
        <w:rPr/>
        <w:t>puanlarının</w:t>
      </w:r>
      <w:r>
        <w:rPr>
          <w:spacing w:val="-12"/>
        </w:rPr>
        <w:t> </w:t>
      </w:r>
      <w:r>
        <w:rPr/>
        <w:t>ortalamasının</w:t>
      </w:r>
      <w:r>
        <w:rPr>
          <w:spacing w:val="-12"/>
        </w:rPr>
        <w:t> </w:t>
      </w:r>
      <w:r>
        <w:rPr/>
        <w:t>yanı</w:t>
      </w:r>
      <w:r>
        <w:rPr>
          <w:spacing w:val="-9"/>
        </w:rPr>
        <w:t> </w:t>
      </w:r>
      <w:r>
        <w:rPr/>
        <w:t>sıra</w:t>
      </w:r>
      <w:r>
        <w:rPr>
          <w:spacing w:val="-11"/>
        </w:rPr>
        <w:t> </w:t>
      </w:r>
      <w:r>
        <w:rPr/>
        <w:t>satıcıya</w:t>
      </w:r>
      <w:r>
        <w:rPr>
          <w:spacing w:val="-12"/>
        </w:rPr>
        <w:t> </w:t>
      </w:r>
      <w:r>
        <w:rPr/>
        <w:t>yapılan</w:t>
      </w:r>
      <w:r>
        <w:rPr>
          <w:spacing w:val="-12"/>
        </w:rPr>
        <w:t> </w:t>
      </w:r>
      <w:r>
        <w:rPr/>
        <w:t>yorumların</w:t>
      </w:r>
      <w:r>
        <w:rPr>
          <w:spacing w:val="-12"/>
        </w:rPr>
        <w:t> </w:t>
      </w:r>
      <w:r>
        <w:rPr/>
        <w:t>içeriği de alıcının güven duyması için önemli bilgiler sunmaktadır. Yorumlar, satılan ürünün kalitesine dair satıcının sunduğu bilgilerin doğruluğu, satıcının doğru ürünü</w:t>
      </w:r>
      <w:r>
        <w:rPr>
          <w:spacing w:val="-14"/>
        </w:rPr>
        <w:t> </w:t>
      </w:r>
      <w:r>
        <w:rPr/>
        <w:t>kargolayıp</w:t>
      </w:r>
    </w:p>
    <w:p>
      <w:pPr>
        <w:spacing w:after="0" w:line="360" w:lineRule="auto"/>
        <w:sectPr>
          <w:pgSz w:w="12240" w:h="15840"/>
          <w:pgMar w:header="718" w:footer="0" w:top="1300" w:bottom="280" w:left="1720" w:right="820"/>
        </w:sectPr>
      </w:pPr>
    </w:p>
    <w:p>
      <w:pPr>
        <w:pStyle w:val="BodyText"/>
        <w:spacing w:line="360" w:lineRule="auto" w:before="100"/>
        <w:ind w:right="311"/>
      </w:pPr>
      <w:r>
        <w:rPr/>
        <w:t>kargolamadığı, kargolamanın zamanında yapılıp yapılmadığı, kargolamaya gösterilen özen ve satıcının sunduğu müşteri hizmetlerinin niteliği gibi ancak tecrübeyle öğrenilebilecek bilgiler sağlamaktadır (Utz vd., 2012). Satıcı hakkında yapılan olumlu yorumlar alıcının satıcıya güvenini arttırırken, olumsuz yorumlar da alıcının satıcı hakkında şüphe duymasına neden</w:t>
      </w:r>
      <w:r>
        <w:rPr>
          <w:spacing w:val="-16"/>
        </w:rPr>
        <w:t> </w:t>
      </w:r>
      <w:r>
        <w:rPr/>
        <w:t>olabilmektedir.</w:t>
      </w:r>
      <w:r>
        <w:rPr>
          <w:spacing w:val="-15"/>
        </w:rPr>
        <w:t> </w:t>
      </w:r>
      <w:r>
        <w:rPr/>
        <w:t>Online</w:t>
      </w:r>
      <w:r>
        <w:rPr>
          <w:spacing w:val="-16"/>
        </w:rPr>
        <w:t> </w:t>
      </w:r>
      <w:r>
        <w:rPr/>
        <w:t>pazar</w:t>
      </w:r>
      <w:r>
        <w:rPr>
          <w:spacing w:val="-16"/>
        </w:rPr>
        <w:t> </w:t>
      </w:r>
      <w:r>
        <w:rPr/>
        <w:t>alanlarında,</w:t>
      </w:r>
      <w:r>
        <w:rPr>
          <w:spacing w:val="-15"/>
        </w:rPr>
        <w:t> </w:t>
      </w:r>
      <w:r>
        <w:rPr/>
        <w:t>satıcıların</w:t>
      </w:r>
      <w:r>
        <w:rPr>
          <w:spacing w:val="-16"/>
        </w:rPr>
        <w:t> </w:t>
      </w:r>
      <w:r>
        <w:rPr/>
        <w:t>işlerini</w:t>
      </w:r>
      <w:r>
        <w:rPr>
          <w:spacing w:val="-16"/>
        </w:rPr>
        <w:t> </w:t>
      </w:r>
      <w:r>
        <w:rPr/>
        <w:t>sürdürebilmeleri</w:t>
      </w:r>
      <w:r>
        <w:rPr>
          <w:spacing w:val="-16"/>
        </w:rPr>
        <w:t> </w:t>
      </w:r>
      <w:r>
        <w:rPr/>
        <w:t>alacakları olumlu yorumlara bağlıdır (Cabral ve Hortaçsu, 2010; Wang vd., 2013). Bir satıcı olumsuz bir yorum aldığında satışları azalmakta, takip eden süreçte daha fazla olumsuz yorum alabilmekte ve sonrasında itibarı düşmeye devam ettiği takdirde de iş yaptığı online pazar alanı platformundan ayrılmaktadır (Cabral ve Hortaçsu, 2010). Literatürdeki az sayıdaki çalışma içerisinde, olumlu ve olumsuz yorum bağlamında varsayımları doğrulayan tek makale</w:t>
      </w:r>
      <w:r>
        <w:rPr>
          <w:spacing w:val="-15"/>
        </w:rPr>
        <w:t> </w:t>
      </w:r>
      <w:r>
        <w:rPr/>
        <w:t>Ye</w:t>
      </w:r>
      <w:r>
        <w:rPr>
          <w:spacing w:val="-16"/>
        </w:rPr>
        <w:t> </w:t>
      </w:r>
      <w:r>
        <w:rPr/>
        <w:t>vd.’nin</w:t>
      </w:r>
      <w:r>
        <w:rPr>
          <w:spacing w:val="-14"/>
        </w:rPr>
        <w:t> </w:t>
      </w:r>
      <w:r>
        <w:rPr/>
        <w:t>(2009)</w:t>
      </w:r>
      <w:r>
        <w:rPr>
          <w:spacing w:val="-13"/>
        </w:rPr>
        <w:t> </w:t>
      </w:r>
      <w:r>
        <w:rPr/>
        <w:t>makalesidir.</w:t>
      </w:r>
      <w:r>
        <w:rPr>
          <w:spacing w:val="-15"/>
        </w:rPr>
        <w:t> </w:t>
      </w:r>
      <w:r>
        <w:rPr/>
        <w:t>Öte</w:t>
      </w:r>
      <w:r>
        <w:rPr>
          <w:spacing w:val="-14"/>
        </w:rPr>
        <w:t> </w:t>
      </w:r>
      <w:r>
        <w:rPr/>
        <w:t>yandan,</w:t>
      </w:r>
      <w:r>
        <w:rPr>
          <w:spacing w:val="-12"/>
        </w:rPr>
        <w:t> </w:t>
      </w:r>
      <w:r>
        <w:rPr/>
        <w:t>bu</w:t>
      </w:r>
      <w:r>
        <w:rPr>
          <w:spacing w:val="-13"/>
        </w:rPr>
        <w:t> </w:t>
      </w:r>
      <w:r>
        <w:rPr/>
        <w:t>varsayımları</w:t>
      </w:r>
      <w:r>
        <w:rPr>
          <w:spacing w:val="-14"/>
        </w:rPr>
        <w:t> </w:t>
      </w:r>
      <w:r>
        <w:rPr/>
        <w:t>doğrulayamayan,</w:t>
      </w:r>
      <w:r>
        <w:rPr>
          <w:spacing w:val="-14"/>
        </w:rPr>
        <w:t> </w:t>
      </w:r>
      <w:r>
        <w:rPr/>
        <w:t>olumlu ve olumsuz yorumlar ile satışlar arasında bir ilişki tespit edememiş çalışmalar da mevcuttur (Wei’an vd., 2008; Zhang ve Zhang, 2011). Ye vd. (2013) ise, rekabetin yoğun olduğu</w:t>
      </w:r>
      <w:r>
        <w:rPr>
          <w:spacing w:val="-42"/>
        </w:rPr>
        <w:t> </w:t>
      </w:r>
      <w:r>
        <w:rPr/>
        <w:t>(aynı ürünü satan satıcı sayısının fazla olduğu) ürünlerde satıcılara yapılan olumlu yorumların satışları olumlu etkilediğini, ancak rekabetin az olduğu ürünlerde satıcılara yapılan olumlu yorumların satışlar üzerinde herhangi bir etkisinin bulunmadığını tespit etmişlerdir. Li vd. (2015) ise Taobao.com verilerini analiz ettiği çalışmasında olumlu yorumlar ile satışlar arasında pozitif ilişki tespit</w:t>
      </w:r>
      <w:r>
        <w:rPr>
          <w:spacing w:val="-1"/>
        </w:rPr>
        <w:t> </w:t>
      </w:r>
      <w:r>
        <w:rPr/>
        <w:t>etmiştir.</w:t>
      </w:r>
    </w:p>
    <w:p>
      <w:pPr>
        <w:pStyle w:val="BodyText"/>
        <w:spacing w:line="360" w:lineRule="auto" w:before="2"/>
        <w:ind w:right="314" w:firstLine="708"/>
      </w:pPr>
      <w:r>
        <w:rPr/>
        <w:t>Özetle, yüksek puan ortalaması ve olumlu yorumlar satışlara pozitif etki ederken, olumsuz yorumların satışları negatif etkilemesi beklenmektedir. Bu doğrultuda aşağıdaki hipotezler oluşturulmuştur:</w:t>
      </w:r>
    </w:p>
    <w:p>
      <w:pPr>
        <w:pStyle w:val="BodyText"/>
        <w:spacing w:line="362" w:lineRule="auto"/>
        <w:ind w:right="317" w:firstLine="708"/>
      </w:pPr>
      <w:r>
        <w:rPr>
          <w:b/>
          <w:position w:val="1"/>
        </w:rPr>
        <w:t>H</w:t>
      </w:r>
      <w:r>
        <w:rPr>
          <w:b/>
          <w:sz w:val="16"/>
        </w:rPr>
        <w:t>2</w:t>
      </w:r>
      <w:r>
        <w:rPr>
          <w:b/>
          <w:position w:val="1"/>
        </w:rPr>
        <w:t>: </w:t>
      </w:r>
      <w:r>
        <w:rPr>
          <w:position w:val="1"/>
        </w:rPr>
        <w:t>Satıcıya dair değerlendirme puanlarının ortalaması ile satış miktarı arasında </w:t>
      </w:r>
      <w:r>
        <w:rPr/>
        <w:t>pozitif ilişki bulunmaktadır.</w:t>
      </w:r>
    </w:p>
    <w:p>
      <w:pPr>
        <w:pStyle w:val="BodyText"/>
        <w:spacing w:line="360" w:lineRule="auto"/>
        <w:ind w:right="313" w:firstLine="708"/>
      </w:pPr>
      <w:r>
        <w:rPr>
          <w:b/>
          <w:position w:val="1"/>
        </w:rPr>
        <w:t>H</w:t>
      </w:r>
      <w:r>
        <w:rPr>
          <w:b/>
          <w:sz w:val="16"/>
        </w:rPr>
        <w:t>3</w:t>
      </w:r>
      <w:r>
        <w:rPr>
          <w:b/>
          <w:position w:val="1"/>
        </w:rPr>
        <w:t>: </w:t>
      </w:r>
      <w:r>
        <w:rPr>
          <w:position w:val="1"/>
        </w:rPr>
        <w:t>Satıcıya dair olumlu yorum sayısı ile satış miktarı arasında pozitif ilişki </w:t>
      </w:r>
      <w:r>
        <w:rPr/>
        <w:t>bulunmaktadır.</w:t>
      </w:r>
    </w:p>
    <w:p>
      <w:pPr>
        <w:pStyle w:val="BodyText"/>
        <w:spacing w:line="360" w:lineRule="auto"/>
        <w:ind w:right="313" w:firstLine="708"/>
      </w:pPr>
      <w:r>
        <w:rPr>
          <w:b/>
          <w:position w:val="1"/>
        </w:rPr>
        <w:t>H</w:t>
      </w:r>
      <w:r>
        <w:rPr>
          <w:b/>
          <w:sz w:val="16"/>
        </w:rPr>
        <w:t>4</w:t>
      </w:r>
      <w:r>
        <w:rPr>
          <w:b/>
          <w:position w:val="1"/>
        </w:rPr>
        <w:t>: </w:t>
      </w:r>
      <w:r>
        <w:rPr>
          <w:position w:val="1"/>
        </w:rPr>
        <w:t>Satıcıya dair olumsuz yorum sayısı ile satış miktarı arasında negatif ilişki </w:t>
      </w:r>
      <w:r>
        <w:rPr/>
        <w:t>bulunmaktadır.</w:t>
      </w:r>
    </w:p>
    <w:p>
      <w:pPr>
        <w:pStyle w:val="BodyText"/>
        <w:ind w:left="1256"/>
      </w:pPr>
      <w:r>
        <w:rPr>
          <w:b/>
          <w:position w:val="1"/>
        </w:rPr>
        <w:t>H</w:t>
      </w:r>
      <w:r>
        <w:rPr>
          <w:b/>
          <w:sz w:val="16"/>
        </w:rPr>
        <w:t>5</w:t>
      </w:r>
      <w:r>
        <w:rPr>
          <w:b/>
          <w:position w:val="1"/>
        </w:rPr>
        <w:t>: </w:t>
      </w:r>
      <w:r>
        <w:rPr>
          <w:position w:val="1"/>
        </w:rPr>
        <w:t>Satıcılara dair nötr yorum sayısı ile satış miktarı arasında ilişki bulunmaktadır.</w:t>
      </w:r>
    </w:p>
    <w:p>
      <w:pPr>
        <w:pStyle w:val="BodyText"/>
        <w:spacing w:before="10"/>
        <w:ind w:left="0"/>
        <w:jc w:val="left"/>
        <w:rPr>
          <w:sz w:val="21"/>
        </w:rPr>
      </w:pPr>
    </w:p>
    <w:p>
      <w:pPr>
        <w:pStyle w:val="Heading1"/>
        <w:numPr>
          <w:ilvl w:val="2"/>
          <w:numId w:val="3"/>
        </w:numPr>
        <w:tabs>
          <w:tab w:pos="1857" w:val="left" w:leader="none"/>
        </w:tabs>
        <w:spacing w:line="240" w:lineRule="auto" w:before="0" w:after="0"/>
        <w:ind w:left="1856" w:right="0" w:hanging="601"/>
        <w:jc w:val="left"/>
      </w:pPr>
      <w:r>
        <w:rPr/>
        <w:t>Veri Seti</w:t>
      </w:r>
    </w:p>
    <w:p>
      <w:pPr>
        <w:pStyle w:val="BodyText"/>
        <w:spacing w:line="360" w:lineRule="auto" w:before="139"/>
        <w:ind w:right="313" w:firstLine="708"/>
      </w:pPr>
      <w:r>
        <w:rPr/>
        <w:t>Online</w:t>
      </w:r>
      <w:r>
        <w:rPr>
          <w:spacing w:val="-17"/>
        </w:rPr>
        <w:t> </w:t>
      </w:r>
      <w:r>
        <w:rPr/>
        <w:t>pazar</w:t>
      </w:r>
      <w:r>
        <w:rPr>
          <w:spacing w:val="-18"/>
        </w:rPr>
        <w:t> </w:t>
      </w:r>
      <w:r>
        <w:rPr/>
        <w:t>alanlarında</w:t>
      </w:r>
      <w:r>
        <w:rPr>
          <w:spacing w:val="-16"/>
        </w:rPr>
        <w:t> </w:t>
      </w:r>
      <w:r>
        <w:rPr/>
        <w:t>yer</w:t>
      </w:r>
      <w:r>
        <w:rPr>
          <w:spacing w:val="-18"/>
        </w:rPr>
        <w:t> </w:t>
      </w:r>
      <w:r>
        <w:rPr/>
        <w:t>alan</w:t>
      </w:r>
      <w:r>
        <w:rPr>
          <w:spacing w:val="-16"/>
        </w:rPr>
        <w:t> </w:t>
      </w:r>
      <w:r>
        <w:rPr/>
        <w:t>satıcılar</w:t>
      </w:r>
      <w:r>
        <w:rPr>
          <w:spacing w:val="-18"/>
        </w:rPr>
        <w:t> </w:t>
      </w:r>
      <w:r>
        <w:rPr/>
        <w:t>hakkındaki</w:t>
      </w:r>
      <w:r>
        <w:rPr>
          <w:spacing w:val="-16"/>
        </w:rPr>
        <w:t> </w:t>
      </w:r>
      <w:r>
        <w:rPr/>
        <w:t>yorumların</w:t>
      </w:r>
      <w:r>
        <w:rPr>
          <w:spacing w:val="-16"/>
        </w:rPr>
        <w:t> </w:t>
      </w:r>
      <w:r>
        <w:rPr/>
        <w:t>satıcıların</w:t>
      </w:r>
      <w:r>
        <w:rPr>
          <w:spacing w:val="-15"/>
        </w:rPr>
        <w:t> </w:t>
      </w:r>
      <w:r>
        <w:rPr/>
        <w:t>satışlarını nasıl</w:t>
      </w:r>
      <w:r>
        <w:rPr>
          <w:spacing w:val="15"/>
        </w:rPr>
        <w:t> </w:t>
      </w:r>
      <w:r>
        <w:rPr/>
        <w:t>etkilediğini</w:t>
      </w:r>
      <w:r>
        <w:rPr>
          <w:spacing w:val="15"/>
        </w:rPr>
        <w:t> </w:t>
      </w:r>
      <w:r>
        <w:rPr/>
        <w:t>araştırmayı</w:t>
      </w:r>
      <w:r>
        <w:rPr>
          <w:spacing w:val="16"/>
        </w:rPr>
        <w:t> </w:t>
      </w:r>
      <w:r>
        <w:rPr/>
        <w:t>amaçlayan</w:t>
      </w:r>
      <w:r>
        <w:rPr>
          <w:spacing w:val="14"/>
        </w:rPr>
        <w:t> </w:t>
      </w:r>
      <w:r>
        <w:rPr/>
        <w:t>bu</w:t>
      </w:r>
      <w:r>
        <w:rPr>
          <w:spacing w:val="17"/>
        </w:rPr>
        <w:t> </w:t>
      </w:r>
      <w:r>
        <w:rPr/>
        <w:t>çalışmanın</w:t>
      </w:r>
      <w:r>
        <w:rPr>
          <w:spacing w:val="14"/>
        </w:rPr>
        <w:t> </w:t>
      </w:r>
      <w:r>
        <w:rPr/>
        <w:t>örneklemi</w:t>
      </w:r>
      <w:r>
        <w:rPr>
          <w:spacing w:val="16"/>
        </w:rPr>
        <w:t> </w:t>
      </w:r>
      <w:r>
        <w:rPr/>
        <w:t>için,</w:t>
      </w:r>
      <w:r>
        <w:rPr>
          <w:spacing w:val="14"/>
        </w:rPr>
        <w:t> </w:t>
      </w:r>
      <w:r>
        <w:rPr/>
        <w:t>online</w:t>
      </w:r>
      <w:r>
        <w:rPr>
          <w:spacing w:val="13"/>
        </w:rPr>
        <w:t> </w:t>
      </w:r>
      <w:r>
        <w:rPr/>
        <w:t>pazar</w:t>
      </w:r>
      <w:r>
        <w:rPr>
          <w:spacing w:val="14"/>
        </w:rPr>
        <w:t> </w:t>
      </w:r>
      <w:r>
        <w:rPr/>
        <w:t>yerleri</w:t>
      </w:r>
    </w:p>
    <w:p>
      <w:pPr>
        <w:spacing w:after="0" w:line="360" w:lineRule="auto"/>
        <w:sectPr>
          <w:pgSz w:w="12240" w:h="15840"/>
          <w:pgMar w:header="718" w:footer="0" w:top="1300" w:bottom="280" w:left="1720" w:right="820"/>
        </w:sectPr>
      </w:pPr>
    </w:p>
    <w:p>
      <w:pPr>
        <w:pStyle w:val="BodyText"/>
        <w:spacing w:line="360" w:lineRule="auto" w:before="100"/>
        <w:ind w:right="308"/>
      </w:pPr>
      <w:r>
        <w:rPr/>
        <w:t>içinde eşsiz bir yere sahip olan, dünyanın dört bir yanından milyonlarca satıcıya ve alıcıya ev sahipliği yapan Etsy seçilmiştir. Etsy’den veriler Haziran 2017 ile Mart 2018 arasında haftalık olarak toplanmıştır. Veri toplama işlemi için, Pamukkale Üniversitesi Bilgi İşlem Daire</w:t>
      </w:r>
      <w:r>
        <w:rPr>
          <w:spacing w:val="-6"/>
        </w:rPr>
        <w:t> </w:t>
      </w:r>
      <w:r>
        <w:rPr/>
        <w:t>Başkanlığı’nda</w:t>
      </w:r>
      <w:r>
        <w:rPr>
          <w:spacing w:val="-5"/>
        </w:rPr>
        <w:t> </w:t>
      </w:r>
      <w:r>
        <w:rPr/>
        <w:t>çalışan</w:t>
      </w:r>
      <w:r>
        <w:rPr>
          <w:spacing w:val="-4"/>
        </w:rPr>
        <w:t> </w:t>
      </w:r>
      <w:r>
        <w:rPr/>
        <w:t>bir</w:t>
      </w:r>
      <w:r>
        <w:rPr>
          <w:spacing w:val="-5"/>
        </w:rPr>
        <w:t> </w:t>
      </w:r>
      <w:r>
        <w:rPr/>
        <w:t>uzmana,</w:t>
      </w:r>
      <w:r>
        <w:rPr>
          <w:spacing w:val="-4"/>
        </w:rPr>
        <w:t> </w:t>
      </w:r>
      <w:r>
        <w:rPr/>
        <w:t>bu</w:t>
      </w:r>
      <w:r>
        <w:rPr>
          <w:spacing w:val="-5"/>
        </w:rPr>
        <w:t> </w:t>
      </w:r>
      <w:r>
        <w:rPr/>
        <w:t>çalışma</w:t>
      </w:r>
      <w:r>
        <w:rPr>
          <w:spacing w:val="-4"/>
        </w:rPr>
        <w:t> </w:t>
      </w:r>
      <w:r>
        <w:rPr/>
        <w:t>için</w:t>
      </w:r>
      <w:r>
        <w:rPr>
          <w:spacing w:val="-3"/>
        </w:rPr>
        <w:t> </w:t>
      </w:r>
      <w:r>
        <w:rPr/>
        <w:t>özel</w:t>
      </w:r>
      <w:r>
        <w:rPr>
          <w:spacing w:val="-4"/>
        </w:rPr>
        <w:t> </w:t>
      </w:r>
      <w:r>
        <w:rPr/>
        <w:t>bir</w:t>
      </w:r>
      <w:r>
        <w:rPr>
          <w:spacing w:val="-4"/>
        </w:rPr>
        <w:t> </w:t>
      </w:r>
      <w:r>
        <w:rPr/>
        <w:t>web</w:t>
      </w:r>
      <w:r>
        <w:rPr>
          <w:spacing w:val="-4"/>
        </w:rPr>
        <w:t> </w:t>
      </w:r>
      <w:r>
        <w:rPr/>
        <w:t>kazıma</w:t>
      </w:r>
      <w:r>
        <w:rPr>
          <w:spacing w:val="-5"/>
        </w:rPr>
        <w:t> </w:t>
      </w:r>
      <w:r>
        <w:rPr/>
        <w:t>(</w:t>
      </w:r>
      <w:r>
        <w:rPr>
          <w:i/>
        </w:rPr>
        <w:t>web</w:t>
      </w:r>
      <w:r>
        <w:rPr>
          <w:i/>
          <w:spacing w:val="-4"/>
        </w:rPr>
        <w:t> </w:t>
      </w:r>
      <w:r>
        <w:rPr>
          <w:i/>
        </w:rPr>
        <w:t>scraper</w:t>
      </w:r>
      <w:r>
        <w:rPr/>
        <w:t>) programı hazırlatılmıştır. Bu program, satıcı sayfasından satış miktarı, toplam yorum sayısı, favoriye eklenme sayısı ve satıştaki ürün sayısı bilgilerini toplayacak şekilde tasarlanmıştır. Etsy, alıcılara değerlendirme puanlarının dağılımı ve ortalama yorum puanı ile ilgili sayısal bilgiler sunmamaktadır. Bu nedenle, hazırlatılan web kazıma programı değerlendirme puanlarını toplayacak şekilde tasarlanmamıştır. Ancak, veri toplama süreci devam ederken yapılan ön testler sonucunda, yorumlarda verilen puanların (yıldızların) toplanarak, puan dağılımı ve ortalama yorum puanının araştırmacı tarafından hesaplanıp modele dahil edilmesine karar verilmiştir. Bu sebeple, Chrome tarayıcı eklentisi olan Web Scraper</w:t>
      </w:r>
      <w:r>
        <w:rPr>
          <w:vertAlign w:val="superscript"/>
        </w:rPr>
        <w:t>5</w:t>
      </w:r>
      <w:r>
        <w:rPr>
          <w:vertAlign w:val="baseline"/>
        </w:rPr>
        <w:t> ile yorumlarda verilen puanlar toplanmıştır. Toplanan tüm bilgilerin bir satıcı sayfasındaki konumları Şekil 14’te</w:t>
      </w:r>
      <w:r>
        <w:rPr>
          <w:spacing w:val="-2"/>
          <w:vertAlign w:val="baseline"/>
        </w:rPr>
        <w:t> </w:t>
      </w:r>
      <w:r>
        <w:rPr>
          <w:vertAlign w:val="baseline"/>
        </w:rPr>
        <w:t>gösterilmektedir.</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rPr>
          <w:sz w:val="13"/>
        </w:rPr>
      </w:pPr>
      <w:r>
        <w:rPr/>
        <w:pict>
          <v:rect style="position:absolute;margin-left:113.419998pt;margin-top:9.79345pt;width:144.020pt;height:.72003pt;mso-position-horizontal-relative:page;mso-position-vertical-relative:paragraph;z-index:-15706624;mso-wrap-distance-left:0;mso-wrap-distance-right:0" filled="true" fillcolor="#000000" stroked="false">
            <v:fill type="solid"/>
            <w10:wrap type="topAndBottom"/>
          </v:rect>
        </w:pict>
      </w:r>
    </w:p>
    <w:p>
      <w:pPr>
        <w:spacing w:before="72"/>
        <w:ind w:left="548" w:right="0" w:firstLine="0"/>
        <w:jc w:val="left"/>
        <w:rPr>
          <w:sz w:val="20"/>
        </w:rPr>
      </w:pPr>
      <w:r>
        <w:rPr>
          <w:sz w:val="20"/>
          <w:vertAlign w:val="superscript"/>
        </w:rPr>
        <w:t>5</w:t>
      </w:r>
      <w:r>
        <w:rPr>
          <w:sz w:val="20"/>
          <w:vertAlign w:val="baseline"/>
        </w:rPr>
        <w:t> Detaylı bilgi için: https://webscraper.io/</w:t>
      </w:r>
    </w:p>
    <w:p>
      <w:pPr>
        <w:spacing w:after="0"/>
        <w:jc w:val="left"/>
        <w:rPr>
          <w:sz w:val="20"/>
        </w:rPr>
        <w:sectPr>
          <w:pgSz w:w="12240" w:h="15840"/>
          <w:pgMar w:header="718" w:footer="0" w:top="1300" w:bottom="280" w:left="1720" w:right="820"/>
        </w:sectPr>
      </w:pPr>
    </w:p>
    <w:p>
      <w:pPr>
        <w:pStyle w:val="BodyText"/>
        <w:spacing w:before="10"/>
        <w:ind w:left="0"/>
        <w:jc w:val="left"/>
        <w:rPr>
          <w:sz w:val="10"/>
        </w:rPr>
      </w:pPr>
    </w:p>
    <w:p>
      <w:pPr>
        <w:pStyle w:val="BodyText"/>
        <w:ind w:left="572"/>
        <w:jc w:val="left"/>
        <w:rPr>
          <w:sz w:val="20"/>
        </w:rPr>
      </w:pPr>
      <w:r>
        <w:rPr>
          <w:sz w:val="20"/>
        </w:rPr>
        <w:pict>
          <v:group style="width:340.65pt;height:410.3pt;mso-position-horizontal-relative:char;mso-position-vertical-relative:line" coordorigin="0,0" coordsize="6813,8206">
            <v:shape style="position:absolute;left:109;top:103;width:6698;height:8066" type="#_x0000_t75" stroked="false">
              <v:imagedata r:id="rId29" o:title=""/>
            </v:shape>
            <v:rect style="position:absolute;left:2;top:2;width:6808;height:8201" filled="false" stroked="true" strokeweight=".25pt" strokecolor="#000000">
              <v:stroke dashstyle="solid"/>
            </v:rect>
          </v:group>
        </w:pict>
      </w:r>
      <w:r>
        <w:rPr>
          <w:sz w:val="20"/>
        </w:rPr>
      </w:r>
    </w:p>
    <w:p>
      <w:pPr>
        <w:pStyle w:val="BodyText"/>
        <w:spacing w:line="251" w:lineRule="exact"/>
        <w:jc w:val="left"/>
      </w:pPr>
      <w:r>
        <w:rPr>
          <w:b/>
        </w:rPr>
        <w:t>Şekil 14</w:t>
      </w:r>
      <w:r>
        <w:rPr/>
        <w:t>: Etsy.com’daki bir satıcı sayfasından toplanan bilgiler</w:t>
      </w:r>
    </w:p>
    <w:p>
      <w:pPr>
        <w:pStyle w:val="BodyText"/>
        <w:spacing w:before="10"/>
        <w:ind w:left="0"/>
        <w:jc w:val="left"/>
        <w:rPr>
          <w:sz w:val="25"/>
        </w:rPr>
      </w:pPr>
    </w:p>
    <w:p>
      <w:pPr>
        <w:pStyle w:val="BodyText"/>
        <w:spacing w:line="360" w:lineRule="auto"/>
        <w:ind w:right="308" w:firstLine="708"/>
      </w:pPr>
      <w:r>
        <w:rPr/>
        <w:t>Öncelikli</w:t>
      </w:r>
      <w:r>
        <w:rPr>
          <w:spacing w:val="-7"/>
        </w:rPr>
        <w:t> </w:t>
      </w:r>
      <w:r>
        <w:rPr/>
        <w:t>olarak,</w:t>
      </w:r>
      <w:r>
        <w:rPr>
          <w:spacing w:val="-6"/>
        </w:rPr>
        <w:t> </w:t>
      </w:r>
      <w:r>
        <w:rPr/>
        <w:t>Etsy’deki</w:t>
      </w:r>
      <w:r>
        <w:rPr>
          <w:spacing w:val="-4"/>
        </w:rPr>
        <w:t> </w:t>
      </w:r>
      <w:r>
        <w:rPr/>
        <w:t>4</w:t>
      </w:r>
      <w:r>
        <w:rPr>
          <w:spacing w:val="-7"/>
        </w:rPr>
        <w:t> </w:t>
      </w:r>
      <w:r>
        <w:rPr/>
        <w:t>ana</w:t>
      </w:r>
      <w:r>
        <w:rPr>
          <w:spacing w:val="-7"/>
        </w:rPr>
        <w:t> </w:t>
      </w:r>
      <w:r>
        <w:rPr/>
        <w:t>ürün</w:t>
      </w:r>
      <w:r>
        <w:rPr>
          <w:spacing w:val="-7"/>
        </w:rPr>
        <w:t> </w:t>
      </w:r>
      <w:r>
        <w:rPr/>
        <w:t>kategorisinin</w:t>
      </w:r>
      <w:r>
        <w:rPr>
          <w:spacing w:val="-6"/>
        </w:rPr>
        <w:t> </w:t>
      </w:r>
      <w:r>
        <w:rPr/>
        <w:t>(mücevher,</w:t>
      </w:r>
      <w:r>
        <w:rPr>
          <w:spacing w:val="-7"/>
        </w:rPr>
        <w:t> </w:t>
      </w:r>
      <w:r>
        <w:rPr/>
        <w:t>giyim,</w:t>
      </w:r>
      <w:r>
        <w:rPr>
          <w:spacing w:val="-6"/>
        </w:rPr>
        <w:t> </w:t>
      </w:r>
      <w:r>
        <w:rPr/>
        <w:t>ev&amp;yaşam</w:t>
      </w:r>
      <w:r>
        <w:rPr>
          <w:spacing w:val="-5"/>
        </w:rPr>
        <w:t> </w:t>
      </w:r>
      <w:r>
        <w:rPr/>
        <w:t>ve eğlence) her birinden 60’ar satıcı seçilerek örneklem oluşturulmuştur. Seçim işlemi yapılırken ilgili ürün kategorisi sayfasında “en yüksek müşteri yorumu (top customer review)” kıstasına göre sıralama yapılmıştır. Sıralama sonucunda, ilk sıralarda yer alan satıcılar</w:t>
      </w:r>
      <w:r>
        <w:rPr>
          <w:spacing w:val="-10"/>
        </w:rPr>
        <w:t> </w:t>
      </w:r>
      <w:r>
        <w:rPr/>
        <w:t>ile</w:t>
      </w:r>
      <w:r>
        <w:rPr>
          <w:spacing w:val="-11"/>
        </w:rPr>
        <w:t> </w:t>
      </w:r>
      <w:r>
        <w:rPr/>
        <w:t>son</w:t>
      </w:r>
      <w:r>
        <w:rPr>
          <w:spacing w:val="-10"/>
        </w:rPr>
        <w:t> </w:t>
      </w:r>
      <w:r>
        <w:rPr/>
        <w:t>sıralarda</w:t>
      </w:r>
      <w:r>
        <w:rPr>
          <w:spacing w:val="-5"/>
        </w:rPr>
        <w:t> </w:t>
      </w:r>
      <w:r>
        <w:rPr/>
        <w:t>yer</w:t>
      </w:r>
      <w:r>
        <w:rPr>
          <w:spacing w:val="-10"/>
        </w:rPr>
        <w:t> </w:t>
      </w:r>
      <w:r>
        <w:rPr/>
        <w:t>alan</w:t>
      </w:r>
      <w:r>
        <w:rPr>
          <w:spacing w:val="-10"/>
        </w:rPr>
        <w:t> </w:t>
      </w:r>
      <w:r>
        <w:rPr/>
        <w:t>satıcılar</w:t>
      </w:r>
      <w:r>
        <w:rPr>
          <w:spacing w:val="-8"/>
        </w:rPr>
        <w:t> </w:t>
      </w:r>
      <w:r>
        <w:rPr/>
        <w:t>örnekleme</w:t>
      </w:r>
      <w:r>
        <w:rPr>
          <w:spacing w:val="-9"/>
        </w:rPr>
        <w:t> </w:t>
      </w:r>
      <w:r>
        <w:rPr/>
        <w:t>dahil</w:t>
      </w:r>
      <w:r>
        <w:rPr>
          <w:spacing w:val="-9"/>
        </w:rPr>
        <w:t> </w:t>
      </w:r>
      <w:r>
        <w:rPr/>
        <w:t>edilmiştir.</w:t>
      </w:r>
      <w:r>
        <w:rPr>
          <w:spacing w:val="-10"/>
        </w:rPr>
        <w:t> </w:t>
      </w:r>
      <w:r>
        <w:rPr/>
        <w:t>Böylelikle,</w:t>
      </w:r>
      <w:r>
        <w:rPr>
          <w:spacing w:val="-9"/>
        </w:rPr>
        <w:t> </w:t>
      </w:r>
      <w:r>
        <w:rPr/>
        <w:t>örneklemin yarısının platformda yeni olan henüz satış yapmamış ya da çok az satış yapmış satıcılardan, diğer</w:t>
      </w:r>
      <w:r>
        <w:rPr>
          <w:spacing w:val="-10"/>
        </w:rPr>
        <w:t> </w:t>
      </w:r>
      <w:r>
        <w:rPr/>
        <w:t>yarısının</w:t>
      </w:r>
      <w:r>
        <w:rPr>
          <w:spacing w:val="-8"/>
        </w:rPr>
        <w:t> </w:t>
      </w:r>
      <w:r>
        <w:rPr/>
        <w:t>da</w:t>
      </w:r>
      <w:r>
        <w:rPr>
          <w:spacing w:val="-7"/>
        </w:rPr>
        <w:t> </w:t>
      </w:r>
      <w:r>
        <w:rPr/>
        <w:t>en</w:t>
      </w:r>
      <w:r>
        <w:rPr>
          <w:spacing w:val="-6"/>
        </w:rPr>
        <w:t> </w:t>
      </w:r>
      <w:r>
        <w:rPr/>
        <w:t>çok</w:t>
      </w:r>
      <w:r>
        <w:rPr>
          <w:spacing w:val="-6"/>
        </w:rPr>
        <w:t> </w:t>
      </w:r>
      <w:r>
        <w:rPr/>
        <w:t>satış</w:t>
      </w:r>
      <w:r>
        <w:rPr>
          <w:spacing w:val="-9"/>
        </w:rPr>
        <w:t> </w:t>
      </w:r>
      <w:r>
        <w:rPr/>
        <w:t>miktarına</w:t>
      </w:r>
      <w:r>
        <w:rPr>
          <w:spacing w:val="-9"/>
        </w:rPr>
        <w:t> </w:t>
      </w:r>
      <w:r>
        <w:rPr/>
        <w:t>sahip</w:t>
      </w:r>
      <w:r>
        <w:rPr>
          <w:spacing w:val="-5"/>
        </w:rPr>
        <w:t> </w:t>
      </w:r>
      <w:r>
        <w:rPr/>
        <w:t>satıcılardan</w:t>
      </w:r>
      <w:r>
        <w:rPr>
          <w:spacing w:val="-9"/>
        </w:rPr>
        <w:t> </w:t>
      </w:r>
      <w:r>
        <w:rPr/>
        <w:t>oluşması</w:t>
      </w:r>
      <w:r>
        <w:rPr>
          <w:spacing w:val="-8"/>
        </w:rPr>
        <w:t> </w:t>
      </w:r>
      <w:r>
        <w:rPr/>
        <w:t>sağlanmıştır.</w:t>
      </w:r>
      <w:r>
        <w:rPr>
          <w:spacing w:val="-9"/>
        </w:rPr>
        <w:t> </w:t>
      </w:r>
      <w:r>
        <w:rPr/>
        <w:t>Örnekleme seçilen satıcılar için 40 haftalık veri toplanmıştır. Veri toplama süreci içinde Etsy’deki mağazasını</w:t>
      </w:r>
      <w:r>
        <w:rPr>
          <w:spacing w:val="-6"/>
        </w:rPr>
        <w:t> </w:t>
      </w:r>
      <w:r>
        <w:rPr/>
        <w:t>geçici</w:t>
      </w:r>
      <w:r>
        <w:rPr>
          <w:spacing w:val="-6"/>
        </w:rPr>
        <w:t> </w:t>
      </w:r>
      <w:r>
        <w:rPr/>
        <w:t>ya</w:t>
      </w:r>
      <w:r>
        <w:rPr>
          <w:spacing w:val="-7"/>
        </w:rPr>
        <w:t> </w:t>
      </w:r>
      <w:r>
        <w:rPr/>
        <w:t>da</w:t>
      </w:r>
      <w:r>
        <w:rPr>
          <w:spacing w:val="-5"/>
        </w:rPr>
        <w:t> </w:t>
      </w:r>
      <w:r>
        <w:rPr/>
        <w:t>kalıcı</w:t>
      </w:r>
      <w:r>
        <w:rPr>
          <w:spacing w:val="-7"/>
        </w:rPr>
        <w:t> </w:t>
      </w:r>
      <w:r>
        <w:rPr/>
        <w:t>olarak</w:t>
      </w:r>
      <w:r>
        <w:rPr>
          <w:spacing w:val="-6"/>
        </w:rPr>
        <w:t> </w:t>
      </w:r>
      <w:r>
        <w:rPr/>
        <w:t>kapatan</w:t>
      </w:r>
      <w:r>
        <w:rPr>
          <w:spacing w:val="-7"/>
        </w:rPr>
        <w:t> </w:t>
      </w:r>
      <w:r>
        <w:rPr/>
        <w:t>satıcılar</w:t>
      </w:r>
      <w:r>
        <w:rPr>
          <w:spacing w:val="-7"/>
        </w:rPr>
        <w:t> </w:t>
      </w:r>
      <w:r>
        <w:rPr/>
        <w:t>örneklemden</w:t>
      </w:r>
      <w:r>
        <w:rPr>
          <w:spacing w:val="-7"/>
        </w:rPr>
        <w:t> </w:t>
      </w:r>
      <w:r>
        <w:rPr/>
        <w:t>çıkarılmıştır.</w:t>
      </w:r>
      <w:r>
        <w:rPr>
          <w:spacing w:val="-2"/>
        </w:rPr>
        <w:t> </w:t>
      </w:r>
      <w:r>
        <w:rPr/>
        <w:t>Bu</w:t>
      </w:r>
      <w:r>
        <w:rPr>
          <w:spacing w:val="-6"/>
        </w:rPr>
        <w:t> </w:t>
      </w:r>
      <w:r>
        <w:rPr/>
        <w:t>sebeple 98 satıcı örneklemden çıkarılmıştır. Nihai olarak, süreç sonunda 142 satıcıya ait 40</w:t>
      </w:r>
      <w:r>
        <w:rPr>
          <w:spacing w:val="58"/>
        </w:rPr>
        <w:t> </w:t>
      </w:r>
      <w:r>
        <w:rPr/>
        <w:t>haftalık</w:t>
      </w:r>
    </w:p>
    <w:p>
      <w:pPr>
        <w:spacing w:after="0" w:line="360" w:lineRule="auto"/>
        <w:sectPr>
          <w:pgSz w:w="12240" w:h="15840"/>
          <w:pgMar w:header="718" w:footer="0" w:top="1300" w:bottom="280" w:left="1720" w:right="820"/>
        </w:sectPr>
      </w:pPr>
    </w:p>
    <w:p>
      <w:pPr>
        <w:pStyle w:val="BodyText"/>
        <w:spacing w:line="360" w:lineRule="auto" w:before="100"/>
        <w:ind w:right="309"/>
      </w:pPr>
      <w:r>
        <w:rPr/>
        <w:t>veri</w:t>
      </w:r>
      <w:r>
        <w:rPr>
          <w:spacing w:val="-16"/>
        </w:rPr>
        <w:t> </w:t>
      </w:r>
      <w:r>
        <w:rPr/>
        <w:t>örnekleme</w:t>
      </w:r>
      <w:r>
        <w:rPr>
          <w:spacing w:val="-16"/>
        </w:rPr>
        <w:t> </w:t>
      </w:r>
      <w:r>
        <w:rPr/>
        <w:t>dahil</w:t>
      </w:r>
      <w:r>
        <w:rPr>
          <w:spacing w:val="-15"/>
        </w:rPr>
        <w:t> </w:t>
      </w:r>
      <w:r>
        <w:rPr/>
        <w:t>edilmiştir.</w:t>
      </w:r>
      <w:r>
        <w:rPr>
          <w:spacing w:val="-16"/>
        </w:rPr>
        <w:t> </w:t>
      </w:r>
      <w:r>
        <w:rPr/>
        <w:t>Veri</w:t>
      </w:r>
      <w:r>
        <w:rPr>
          <w:spacing w:val="-16"/>
        </w:rPr>
        <w:t> </w:t>
      </w:r>
      <w:r>
        <w:rPr/>
        <w:t>seti,</w:t>
      </w:r>
      <w:r>
        <w:rPr>
          <w:spacing w:val="-15"/>
        </w:rPr>
        <w:t> </w:t>
      </w:r>
      <w:r>
        <w:rPr/>
        <w:t>her</w:t>
      </w:r>
      <w:r>
        <w:rPr>
          <w:spacing w:val="-17"/>
        </w:rPr>
        <w:t> </w:t>
      </w:r>
      <w:r>
        <w:rPr/>
        <w:t>bir</w:t>
      </w:r>
      <w:r>
        <w:rPr>
          <w:spacing w:val="-16"/>
        </w:rPr>
        <w:t> </w:t>
      </w:r>
      <w:r>
        <w:rPr/>
        <w:t>satıcı</w:t>
      </w:r>
      <w:r>
        <w:rPr>
          <w:spacing w:val="-15"/>
        </w:rPr>
        <w:t> </w:t>
      </w:r>
      <w:r>
        <w:rPr/>
        <w:t>için</w:t>
      </w:r>
      <w:r>
        <w:rPr>
          <w:spacing w:val="-15"/>
        </w:rPr>
        <w:t> </w:t>
      </w:r>
      <w:r>
        <w:rPr/>
        <w:t>satış</w:t>
      </w:r>
      <w:r>
        <w:rPr>
          <w:spacing w:val="-16"/>
        </w:rPr>
        <w:t> </w:t>
      </w:r>
      <w:r>
        <w:rPr/>
        <w:t>miktarı,</w:t>
      </w:r>
      <w:r>
        <w:rPr>
          <w:spacing w:val="-14"/>
        </w:rPr>
        <w:t> </w:t>
      </w:r>
      <w:r>
        <w:rPr/>
        <w:t>toplam</w:t>
      </w:r>
      <w:r>
        <w:rPr>
          <w:spacing w:val="-15"/>
        </w:rPr>
        <w:t> </w:t>
      </w:r>
      <w:r>
        <w:rPr/>
        <w:t>yorum</w:t>
      </w:r>
      <w:r>
        <w:rPr>
          <w:spacing w:val="-15"/>
        </w:rPr>
        <w:t> </w:t>
      </w:r>
      <w:r>
        <w:rPr/>
        <w:t>sayısı, değerlendirme puanlarının (yıldızların) dağılımı, değerlendirme puanlarının ortalaması, favoriye</w:t>
      </w:r>
      <w:r>
        <w:rPr>
          <w:spacing w:val="-6"/>
        </w:rPr>
        <w:t> </w:t>
      </w:r>
      <w:r>
        <w:rPr/>
        <w:t>eklenme</w:t>
      </w:r>
      <w:r>
        <w:rPr>
          <w:spacing w:val="-7"/>
        </w:rPr>
        <w:t> </w:t>
      </w:r>
      <w:r>
        <w:rPr/>
        <w:t>sayısı</w:t>
      </w:r>
      <w:r>
        <w:rPr>
          <w:spacing w:val="-5"/>
        </w:rPr>
        <w:t> </w:t>
      </w:r>
      <w:r>
        <w:rPr/>
        <w:t>ve</w:t>
      </w:r>
      <w:r>
        <w:rPr>
          <w:spacing w:val="-8"/>
        </w:rPr>
        <w:t> </w:t>
      </w:r>
      <w:r>
        <w:rPr/>
        <w:t>satıştaki</w:t>
      </w:r>
      <w:r>
        <w:rPr>
          <w:spacing w:val="-6"/>
        </w:rPr>
        <w:t> </w:t>
      </w:r>
      <w:r>
        <w:rPr/>
        <w:t>ürün</w:t>
      </w:r>
      <w:r>
        <w:rPr>
          <w:spacing w:val="-7"/>
        </w:rPr>
        <w:t> </w:t>
      </w:r>
      <w:r>
        <w:rPr/>
        <w:t>sayısı</w:t>
      </w:r>
      <w:r>
        <w:rPr>
          <w:spacing w:val="-6"/>
        </w:rPr>
        <w:t> </w:t>
      </w:r>
      <w:r>
        <w:rPr/>
        <w:t>bilgilerinden</w:t>
      </w:r>
      <w:r>
        <w:rPr>
          <w:spacing w:val="-6"/>
        </w:rPr>
        <w:t> </w:t>
      </w:r>
      <w:r>
        <w:rPr/>
        <w:t>oluşmaktadır.</w:t>
      </w:r>
      <w:r>
        <w:rPr>
          <w:spacing w:val="-1"/>
        </w:rPr>
        <w:t> </w:t>
      </w:r>
      <w:r>
        <w:rPr/>
        <w:t>Tablo</w:t>
      </w:r>
      <w:r>
        <w:rPr>
          <w:spacing w:val="-7"/>
        </w:rPr>
        <w:t> </w:t>
      </w:r>
      <w:r>
        <w:rPr/>
        <w:t>14’de</w:t>
      </w:r>
      <w:r>
        <w:rPr>
          <w:spacing w:val="-7"/>
        </w:rPr>
        <w:t> </w:t>
      </w:r>
      <w:r>
        <w:rPr/>
        <w:t>Etsy verilerinin tanımlayıcı istatistikleri</w:t>
      </w:r>
      <w:r>
        <w:rPr>
          <w:spacing w:val="-1"/>
        </w:rPr>
        <w:t> </w:t>
      </w:r>
      <w:r>
        <w:rPr/>
        <w:t>sunulmuştur.</w:t>
      </w:r>
    </w:p>
    <w:p>
      <w:pPr>
        <w:pStyle w:val="BodyText"/>
        <w:spacing w:before="1"/>
      </w:pPr>
      <w:r>
        <w:rPr>
          <w:b/>
        </w:rPr>
        <w:t>Tablo 14: </w:t>
      </w:r>
      <w:r>
        <w:rPr/>
        <w:t>Etsy verilerinin tanımlayıcı istatistikleri</w:t>
      </w:r>
    </w:p>
    <w:p>
      <w:pPr>
        <w:pStyle w:val="BodyText"/>
        <w:spacing w:before="11"/>
        <w:ind w:left="0"/>
        <w:jc w:val="left"/>
        <w:rPr>
          <w:sz w:val="11"/>
        </w:rPr>
      </w:pPr>
    </w:p>
    <w:tbl>
      <w:tblPr>
        <w:tblW w:w="0" w:type="auto"/>
        <w:jc w:val="left"/>
        <w:tblInd w:w="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47"/>
        <w:gridCol w:w="556"/>
        <w:gridCol w:w="910"/>
        <w:gridCol w:w="984"/>
        <w:gridCol w:w="2121"/>
        <w:gridCol w:w="1691"/>
      </w:tblGrid>
      <w:tr>
        <w:trPr>
          <w:trHeight w:val="344" w:hRule="atLeast"/>
        </w:trPr>
        <w:tc>
          <w:tcPr>
            <w:tcW w:w="2247" w:type="dxa"/>
            <w:tcBorders>
              <w:top w:val="single" w:sz="8" w:space="0" w:color="000000"/>
              <w:bottom w:val="single" w:sz="8" w:space="0" w:color="000000"/>
            </w:tcBorders>
          </w:tcPr>
          <w:p>
            <w:pPr>
              <w:pStyle w:val="TableParagraph"/>
              <w:ind w:left="0"/>
              <w:rPr>
                <w:sz w:val="20"/>
              </w:rPr>
            </w:pPr>
          </w:p>
        </w:tc>
        <w:tc>
          <w:tcPr>
            <w:tcW w:w="556" w:type="dxa"/>
            <w:tcBorders>
              <w:top w:val="single" w:sz="8" w:space="0" w:color="000000"/>
              <w:bottom w:val="single" w:sz="8" w:space="0" w:color="000000"/>
            </w:tcBorders>
          </w:tcPr>
          <w:p>
            <w:pPr>
              <w:pStyle w:val="TableParagraph"/>
              <w:ind w:left="129"/>
              <w:rPr>
                <w:b/>
                <w:sz w:val="20"/>
              </w:rPr>
            </w:pPr>
            <w:r>
              <w:rPr>
                <w:b/>
                <w:w w:val="99"/>
                <w:sz w:val="20"/>
              </w:rPr>
              <w:t>N</w:t>
            </w:r>
          </w:p>
        </w:tc>
        <w:tc>
          <w:tcPr>
            <w:tcW w:w="910" w:type="dxa"/>
            <w:tcBorders>
              <w:top w:val="single" w:sz="8" w:space="0" w:color="000000"/>
              <w:bottom w:val="single" w:sz="8" w:space="0" w:color="000000"/>
            </w:tcBorders>
          </w:tcPr>
          <w:p>
            <w:pPr>
              <w:pStyle w:val="TableParagraph"/>
              <w:ind w:left="281"/>
              <w:rPr>
                <w:b/>
                <w:sz w:val="20"/>
              </w:rPr>
            </w:pPr>
            <w:r>
              <w:rPr>
                <w:b/>
                <w:sz w:val="20"/>
              </w:rPr>
              <w:t>Min.</w:t>
            </w:r>
          </w:p>
        </w:tc>
        <w:tc>
          <w:tcPr>
            <w:tcW w:w="984" w:type="dxa"/>
            <w:tcBorders>
              <w:top w:val="single" w:sz="8" w:space="0" w:color="000000"/>
              <w:bottom w:val="single" w:sz="8" w:space="0" w:color="000000"/>
            </w:tcBorders>
          </w:tcPr>
          <w:p>
            <w:pPr>
              <w:pStyle w:val="TableParagraph"/>
              <w:ind w:left="223"/>
              <w:rPr>
                <w:b/>
                <w:sz w:val="20"/>
              </w:rPr>
            </w:pPr>
            <w:r>
              <w:rPr>
                <w:b/>
                <w:sz w:val="20"/>
              </w:rPr>
              <w:t>Maks.</w:t>
            </w:r>
          </w:p>
        </w:tc>
        <w:tc>
          <w:tcPr>
            <w:tcW w:w="2121" w:type="dxa"/>
            <w:tcBorders>
              <w:top w:val="single" w:sz="8" w:space="0" w:color="000000"/>
              <w:bottom w:val="single" w:sz="8" w:space="0" w:color="000000"/>
            </w:tcBorders>
          </w:tcPr>
          <w:p>
            <w:pPr>
              <w:pStyle w:val="TableParagraph"/>
              <w:ind w:left="231"/>
              <w:rPr>
                <w:b/>
                <w:sz w:val="20"/>
              </w:rPr>
            </w:pPr>
            <w:r>
              <w:rPr>
                <w:b/>
                <w:sz w:val="20"/>
              </w:rPr>
              <w:t>Aritmetik Ortalama</w:t>
            </w:r>
          </w:p>
        </w:tc>
        <w:tc>
          <w:tcPr>
            <w:tcW w:w="1691" w:type="dxa"/>
            <w:tcBorders>
              <w:top w:val="single" w:sz="8" w:space="0" w:color="000000"/>
              <w:bottom w:val="single" w:sz="8" w:space="0" w:color="000000"/>
            </w:tcBorders>
          </w:tcPr>
          <w:p>
            <w:pPr>
              <w:pStyle w:val="TableParagraph"/>
              <w:ind w:left="159"/>
              <w:rPr>
                <w:b/>
                <w:sz w:val="20"/>
              </w:rPr>
            </w:pPr>
            <w:r>
              <w:rPr>
                <w:b/>
                <w:sz w:val="20"/>
              </w:rPr>
              <w:t>Standart Sapma</w:t>
            </w:r>
          </w:p>
        </w:tc>
      </w:tr>
      <w:tr>
        <w:trPr>
          <w:trHeight w:val="345" w:hRule="atLeast"/>
        </w:trPr>
        <w:tc>
          <w:tcPr>
            <w:tcW w:w="2247" w:type="dxa"/>
            <w:tcBorders>
              <w:top w:val="single" w:sz="8" w:space="0" w:color="000000"/>
            </w:tcBorders>
            <w:shd w:val="clear" w:color="auto" w:fill="F1F1F1"/>
          </w:tcPr>
          <w:p>
            <w:pPr>
              <w:pStyle w:val="TableParagraph"/>
              <w:spacing w:before="2"/>
              <w:rPr>
                <w:sz w:val="20"/>
              </w:rPr>
            </w:pPr>
            <w:r>
              <w:rPr>
                <w:sz w:val="20"/>
              </w:rPr>
              <w:t>Satıcı</w:t>
            </w:r>
          </w:p>
        </w:tc>
        <w:tc>
          <w:tcPr>
            <w:tcW w:w="556" w:type="dxa"/>
            <w:tcBorders>
              <w:top w:val="single" w:sz="8" w:space="0" w:color="000000"/>
            </w:tcBorders>
            <w:shd w:val="clear" w:color="auto" w:fill="F1F1F1"/>
          </w:tcPr>
          <w:p>
            <w:pPr>
              <w:pStyle w:val="TableParagraph"/>
              <w:spacing w:before="2"/>
              <w:ind w:left="129"/>
              <w:rPr>
                <w:sz w:val="20"/>
              </w:rPr>
            </w:pPr>
            <w:r>
              <w:rPr>
                <w:sz w:val="20"/>
              </w:rPr>
              <w:t>142</w:t>
            </w:r>
          </w:p>
        </w:tc>
        <w:tc>
          <w:tcPr>
            <w:tcW w:w="910" w:type="dxa"/>
            <w:tcBorders>
              <w:top w:val="single" w:sz="8" w:space="0" w:color="000000"/>
            </w:tcBorders>
            <w:shd w:val="clear" w:color="auto" w:fill="F1F1F1"/>
          </w:tcPr>
          <w:p>
            <w:pPr>
              <w:pStyle w:val="TableParagraph"/>
              <w:ind w:left="0"/>
              <w:rPr>
                <w:sz w:val="20"/>
              </w:rPr>
            </w:pPr>
          </w:p>
        </w:tc>
        <w:tc>
          <w:tcPr>
            <w:tcW w:w="984" w:type="dxa"/>
            <w:tcBorders>
              <w:top w:val="single" w:sz="8" w:space="0" w:color="000000"/>
            </w:tcBorders>
            <w:shd w:val="clear" w:color="auto" w:fill="F1F1F1"/>
          </w:tcPr>
          <w:p>
            <w:pPr>
              <w:pStyle w:val="TableParagraph"/>
              <w:ind w:left="0"/>
              <w:rPr>
                <w:sz w:val="20"/>
              </w:rPr>
            </w:pPr>
          </w:p>
        </w:tc>
        <w:tc>
          <w:tcPr>
            <w:tcW w:w="2121" w:type="dxa"/>
            <w:tcBorders>
              <w:top w:val="single" w:sz="8" w:space="0" w:color="000000"/>
            </w:tcBorders>
            <w:shd w:val="clear" w:color="auto" w:fill="F1F1F1"/>
          </w:tcPr>
          <w:p>
            <w:pPr>
              <w:pStyle w:val="TableParagraph"/>
              <w:ind w:left="0"/>
              <w:rPr>
                <w:sz w:val="20"/>
              </w:rPr>
            </w:pPr>
          </w:p>
        </w:tc>
        <w:tc>
          <w:tcPr>
            <w:tcW w:w="1691" w:type="dxa"/>
            <w:tcBorders>
              <w:top w:val="single" w:sz="8" w:space="0" w:color="000000"/>
            </w:tcBorders>
            <w:shd w:val="clear" w:color="auto" w:fill="F1F1F1"/>
          </w:tcPr>
          <w:p>
            <w:pPr>
              <w:pStyle w:val="TableParagraph"/>
              <w:ind w:left="0"/>
              <w:rPr>
                <w:sz w:val="20"/>
              </w:rPr>
            </w:pPr>
          </w:p>
        </w:tc>
      </w:tr>
      <w:tr>
        <w:trPr>
          <w:trHeight w:val="345" w:hRule="atLeast"/>
        </w:trPr>
        <w:tc>
          <w:tcPr>
            <w:tcW w:w="2247" w:type="dxa"/>
          </w:tcPr>
          <w:p>
            <w:pPr>
              <w:pStyle w:val="TableParagraph"/>
              <w:rPr>
                <w:sz w:val="20"/>
              </w:rPr>
            </w:pPr>
            <w:r>
              <w:rPr>
                <w:sz w:val="20"/>
              </w:rPr>
              <w:t>Satış Miktarı</w:t>
            </w:r>
          </w:p>
        </w:tc>
        <w:tc>
          <w:tcPr>
            <w:tcW w:w="556" w:type="dxa"/>
          </w:tcPr>
          <w:p>
            <w:pPr>
              <w:pStyle w:val="TableParagraph"/>
              <w:ind w:left="0"/>
              <w:rPr>
                <w:sz w:val="20"/>
              </w:rPr>
            </w:pPr>
          </w:p>
        </w:tc>
        <w:tc>
          <w:tcPr>
            <w:tcW w:w="910" w:type="dxa"/>
          </w:tcPr>
          <w:p>
            <w:pPr>
              <w:pStyle w:val="TableParagraph"/>
              <w:ind w:left="281"/>
              <w:rPr>
                <w:sz w:val="20"/>
              </w:rPr>
            </w:pPr>
            <w:r>
              <w:rPr>
                <w:w w:val="99"/>
                <w:sz w:val="20"/>
              </w:rPr>
              <w:t>0</w:t>
            </w:r>
          </w:p>
        </w:tc>
        <w:tc>
          <w:tcPr>
            <w:tcW w:w="984" w:type="dxa"/>
          </w:tcPr>
          <w:p>
            <w:pPr>
              <w:pStyle w:val="TableParagraph"/>
              <w:ind w:left="223"/>
              <w:rPr>
                <w:sz w:val="20"/>
              </w:rPr>
            </w:pPr>
            <w:r>
              <w:rPr>
                <w:sz w:val="20"/>
              </w:rPr>
              <w:t>27004</w:t>
            </w:r>
          </w:p>
        </w:tc>
        <w:tc>
          <w:tcPr>
            <w:tcW w:w="2121" w:type="dxa"/>
          </w:tcPr>
          <w:p>
            <w:pPr>
              <w:pStyle w:val="TableParagraph"/>
              <w:ind w:left="231"/>
              <w:rPr>
                <w:sz w:val="20"/>
              </w:rPr>
            </w:pPr>
            <w:r>
              <w:rPr>
                <w:sz w:val="20"/>
              </w:rPr>
              <w:t>2174,62</w:t>
            </w:r>
          </w:p>
        </w:tc>
        <w:tc>
          <w:tcPr>
            <w:tcW w:w="1691" w:type="dxa"/>
          </w:tcPr>
          <w:p>
            <w:pPr>
              <w:pStyle w:val="TableParagraph"/>
              <w:ind w:left="159"/>
              <w:rPr>
                <w:sz w:val="20"/>
              </w:rPr>
            </w:pPr>
            <w:r>
              <w:rPr>
                <w:sz w:val="20"/>
              </w:rPr>
              <w:t>3174,33</w:t>
            </w:r>
          </w:p>
        </w:tc>
      </w:tr>
      <w:tr>
        <w:trPr>
          <w:trHeight w:val="345" w:hRule="atLeast"/>
        </w:trPr>
        <w:tc>
          <w:tcPr>
            <w:tcW w:w="2247" w:type="dxa"/>
            <w:shd w:val="clear" w:color="auto" w:fill="F1F1F1"/>
          </w:tcPr>
          <w:p>
            <w:pPr>
              <w:pStyle w:val="TableParagraph"/>
              <w:rPr>
                <w:sz w:val="20"/>
              </w:rPr>
            </w:pPr>
            <w:r>
              <w:rPr>
                <w:sz w:val="20"/>
              </w:rPr>
              <w:t>Toplam Yorum Sayısı</w:t>
            </w:r>
          </w:p>
        </w:tc>
        <w:tc>
          <w:tcPr>
            <w:tcW w:w="556" w:type="dxa"/>
            <w:shd w:val="clear" w:color="auto" w:fill="F1F1F1"/>
          </w:tcPr>
          <w:p>
            <w:pPr>
              <w:pStyle w:val="TableParagraph"/>
              <w:ind w:left="0"/>
              <w:rPr>
                <w:sz w:val="20"/>
              </w:rPr>
            </w:pPr>
          </w:p>
        </w:tc>
        <w:tc>
          <w:tcPr>
            <w:tcW w:w="910" w:type="dxa"/>
            <w:shd w:val="clear" w:color="auto" w:fill="F1F1F1"/>
          </w:tcPr>
          <w:p>
            <w:pPr>
              <w:pStyle w:val="TableParagraph"/>
              <w:ind w:left="281"/>
              <w:rPr>
                <w:sz w:val="20"/>
              </w:rPr>
            </w:pPr>
            <w:r>
              <w:rPr>
                <w:w w:val="99"/>
                <w:sz w:val="20"/>
              </w:rPr>
              <w:t>0</w:t>
            </w:r>
          </w:p>
        </w:tc>
        <w:tc>
          <w:tcPr>
            <w:tcW w:w="984" w:type="dxa"/>
            <w:shd w:val="clear" w:color="auto" w:fill="F1F1F1"/>
          </w:tcPr>
          <w:p>
            <w:pPr>
              <w:pStyle w:val="TableParagraph"/>
              <w:ind w:left="223"/>
              <w:rPr>
                <w:sz w:val="20"/>
              </w:rPr>
            </w:pPr>
            <w:r>
              <w:rPr>
                <w:sz w:val="20"/>
              </w:rPr>
              <w:t>2691</w:t>
            </w:r>
          </w:p>
        </w:tc>
        <w:tc>
          <w:tcPr>
            <w:tcW w:w="2121" w:type="dxa"/>
            <w:shd w:val="clear" w:color="auto" w:fill="F1F1F1"/>
          </w:tcPr>
          <w:p>
            <w:pPr>
              <w:pStyle w:val="TableParagraph"/>
              <w:ind w:left="231"/>
              <w:rPr>
                <w:sz w:val="20"/>
              </w:rPr>
            </w:pPr>
            <w:r>
              <w:rPr>
                <w:sz w:val="20"/>
              </w:rPr>
              <w:t>384,69</w:t>
            </w:r>
          </w:p>
        </w:tc>
        <w:tc>
          <w:tcPr>
            <w:tcW w:w="1691" w:type="dxa"/>
            <w:shd w:val="clear" w:color="auto" w:fill="F1F1F1"/>
          </w:tcPr>
          <w:p>
            <w:pPr>
              <w:pStyle w:val="TableParagraph"/>
              <w:ind w:left="159"/>
              <w:rPr>
                <w:sz w:val="20"/>
              </w:rPr>
            </w:pPr>
            <w:r>
              <w:rPr>
                <w:sz w:val="20"/>
              </w:rPr>
              <w:t>502,12</w:t>
            </w:r>
          </w:p>
        </w:tc>
      </w:tr>
      <w:tr>
        <w:trPr>
          <w:trHeight w:val="346" w:hRule="atLeast"/>
        </w:trPr>
        <w:tc>
          <w:tcPr>
            <w:tcW w:w="2247" w:type="dxa"/>
          </w:tcPr>
          <w:p>
            <w:pPr>
              <w:pStyle w:val="TableParagraph"/>
              <w:rPr>
                <w:sz w:val="20"/>
              </w:rPr>
            </w:pPr>
            <w:r>
              <w:rPr>
                <w:sz w:val="20"/>
              </w:rPr>
              <w:t>Ortalama Puan</w:t>
            </w:r>
          </w:p>
        </w:tc>
        <w:tc>
          <w:tcPr>
            <w:tcW w:w="556" w:type="dxa"/>
          </w:tcPr>
          <w:p>
            <w:pPr>
              <w:pStyle w:val="TableParagraph"/>
              <w:ind w:left="0"/>
              <w:rPr>
                <w:sz w:val="20"/>
              </w:rPr>
            </w:pPr>
          </w:p>
        </w:tc>
        <w:tc>
          <w:tcPr>
            <w:tcW w:w="910" w:type="dxa"/>
          </w:tcPr>
          <w:p>
            <w:pPr>
              <w:pStyle w:val="TableParagraph"/>
              <w:ind w:left="281"/>
              <w:rPr>
                <w:sz w:val="20"/>
              </w:rPr>
            </w:pPr>
            <w:r>
              <w:rPr>
                <w:w w:val="99"/>
                <w:sz w:val="20"/>
              </w:rPr>
              <w:t>0</w:t>
            </w:r>
          </w:p>
        </w:tc>
        <w:tc>
          <w:tcPr>
            <w:tcW w:w="984" w:type="dxa"/>
          </w:tcPr>
          <w:p>
            <w:pPr>
              <w:pStyle w:val="TableParagraph"/>
              <w:ind w:left="223"/>
              <w:rPr>
                <w:sz w:val="20"/>
              </w:rPr>
            </w:pPr>
            <w:r>
              <w:rPr>
                <w:w w:val="99"/>
                <w:sz w:val="20"/>
              </w:rPr>
              <w:t>5</w:t>
            </w:r>
          </w:p>
        </w:tc>
        <w:tc>
          <w:tcPr>
            <w:tcW w:w="2121" w:type="dxa"/>
          </w:tcPr>
          <w:p>
            <w:pPr>
              <w:pStyle w:val="TableParagraph"/>
              <w:ind w:left="231"/>
              <w:rPr>
                <w:sz w:val="20"/>
              </w:rPr>
            </w:pPr>
            <w:r>
              <w:rPr>
                <w:sz w:val="20"/>
              </w:rPr>
              <w:t>4,84</w:t>
            </w:r>
          </w:p>
        </w:tc>
        <w:tc>
          <w:tcPr>
            <w:tcW w:w="1691" w:type="dxa"/>
          </w:tcPr>
          <w:p>
            <w:pPr>
              <w:pStyle w:val="TableParagraph"/>
              <w:ind w:left="159"/>
              <w:rPr>
                <w:sz w:val="20"/>
              </w:rPr>
            </w:pPr>
            <w:r>
              <w:rPr>
                <w:sz w:val="20"/>
              </w:rPr>
              <w:t>,47</w:t>
            </w:r>
          </w:p>
        </w:tc>
      </w:tr>
      <w:tr>
        <w:trPr>
          <w:trHeight w:val="343" w:hRule="atLeast"/>
        </w:trPr>
        <w:tc>
          <w:tcPr>
            <w:tcW w:w="2247" w:type="dxa"/>
            <w:shd w:val="clear" w:color="auto" w:fill="F1F1F1"/>
          </w:tcPr>
          <w:p>
            <w:pPr>
              <w:pStyle w:val="TableParagraph"/>
              <w:rPr>
                <w:sz w:val="20"/>
              </w:rPr>
            </w:pPr>
            <w:r>
              <w:rPr>
                <w:sz w:val="20"/>
              </w:rPr>
              <w:t>1 Yıldız Sayısı</w:t>
            </w:r>
          </w:p>
        </w:tc>
        <w:tc>
          <w:tcPr>
            <w:tcW w:w="556" w:type="dxa"/>
            <w:shd w:val="clear" w:color="auto" w:fill="F1F1F1"/>
          </w:tcPr>
          <w:p>
            <w:pPr>
              <w:pStyle w:val="TableParagraph"/>
              <w:ind w:left="0"/>
              <w:rPr>
                <w:sz w:val="20"/>
              </w:rPr>
            </w:pPr>
          </w:p>
        </w:tc>
        <w:tc>
          <w:tcPr>
            <w:tcW w:w="910" w:type="dxa"/>
            <w:shd w:val="clear" w:color="auto" w:fill="F1F1F1"/>
          </w:tcPr>
          <w:p>
            <w:pPr>
              <w:pStyle w:val="TableParagraph"/>
              <w:ind w:left="281"/>
              <w:rPr>
                <w:sz w:val="20"/>
              </w:rPr>
            </w:pPr>
            <w:r>
              <w:rPr>
                <w:w w:val="99"/>
                <w:sz w:val="20"/>
              </w:rPr>
              <w:t>0</w:t>
            </w:r>
          </w:p>
        </w:tc>
        <w:tc>
          <w:tcPr>
            <w:tcW w:w="984" w:type="dxa"/>
            <w:shd w:val="clear" w:color="auto" w:fill="F1F1F1"/>
          </w:tcPr>
          <w:p>
            <w:pPr>
              <w:pStyle w:val="TableParagraph"/>
              <w:ind w:left="223"/>
              <w:rPr>
                <w:sz w:val="20"/>
              </w:rPr>
            </w:pPr>
            <w:r>
              <w:rPr>
                <w:sz w:val="20"/>
              </w:rPr>
              <w:t>49</w:t>
            </w:r>
          </w:p>
        </w:tc>
        <w:tc>
          <w:tcPr>
            <w:tcW w:w="2121" w:type="dxa"/>
            <w:shd w:val="clear" w:color="auto" w:fill="F1F1F1"/>
          </w:tcPr>
          <w:p>
            <w:pPr>
              <w:pStyle w:val="TableParagraph"/>
              <w:ind w:left="231"/>
              <w:rPr>
                <w:sz w:val="20"/>
              </w:rPr>
            </w:pPr>
            <w:r>
              <w:rPr>
                <w:sz w:val="20"/>
              </w:rPr>
              <w:t>3,58</w:t>
            </w:r>
          </w:p>
        </w:tc>
        <w:tc>
          <w:tcPr>
            <w:tcW w:w="1691" w:type="dxa"/>
            <w:shd w:val="clear" w:color="auto" w:fill="F1F1F1"/>
          </w:tcPr>
          <w:p>
            <w:pPr>
              <w:pStyle w:val="TableParagraph"/>
              <w:ind w:left="159"/>
              <w:rPr>
                <w:sz w:val="20"/>
              </w:rPr>
            </w:pPr>
            <w:r>
              <w:rPr>
                <w:sz w:val="20"/>
              </w:rPr>
              <w:t>6,85</w:t>
            </w:r>
          </w:p>
        </w:tc>
      </w:tr>
      <w:tr>
        <w:trPr>
          <w:trHeight w:val="345" w:hRule="atLeast"/>
        </w:trPr>
        <w:tc>
          <w:tcPr>
            <w:tcW w:w="2247" w:type="dxa"/>
          </w:tcPr>
          <w:p>
            <w:pPr>
              <w:pStyle w:val="TableParagraph"/>
              <w:rPr>
                <w:sz w:val="20"/>
              </w:rPr>
            </w:pPr>
            <w:r>
              <w:rPr>
                <w:sz w:val="20"/>
              </w:rPr>
              <w:t>2 Yıldız Sayısı</w:t>
            </w:r>
          </w:p>
        </w:tc>
        <w:tc>
          <w:tcPr>
            <w:tcW w:w="556" w:type="dxa"/>
          </w:tcPr>
          <w:p>
            <w:pPr>
              <w:pStyle w:val="TableParagraph"/>
              <w:ind w:left="0"/>
              <w:rPr>
                <w:sz w:val="20"/>
              </w:rPr>
            </w:pPr>
          </w:p>
        </w:tc>
        <w:tc>
          <w:tcPr>
            <w:tcW w:w="910" w:type="dxa"/>
          </w:tcPr>
          <w:p>
            <w:pPr>
              <w:pStyle w:val="TableParagraph"/>
              <w:ind w:left="281"/>
              <w:rPr>
                <w:sz w:val="20"/>
              </w:rPr>
            </w:pPr>
            <w:r>
              <w:rPr>
                <w:w w:val="99"/>
                <w:sz w:val="20"/>
              </w:rPr>
              <w:t>0</w:t>
            </w:r>
          </w:p>
        </w:tc>
        <w:tc>
          <w:tcPr>
            <w:tcW w:w="984" w:type="dxa"/>
          </w:tcPr>
          <w:p>
            <w:pPr>
              <w:pStyle w:val="TableParagraph"/>
              <w:ind w:left="223"/>
              <w:rPr>
                <w:sz w:val="20"/>
              </w:rPr>
            </w:pPr>
            <w:r>
              <w:rPr>
                <w:sz w:val="20"/>
              </w:rPr>
              <w:t>13</w:t>
            </w:r>
          </w:p>
        </w:tc>
        <w:tc>
          <w:tcPr>
            <w:tcW w:w="2121" w:type="dxa"/>
          </w:tcPr>
          <w:p>
            <w:pPr>
              <w:pStyle w:val="TableParagraph"/>
              <w:ind w:left="231"/>
              <w:rPr>
                <w:sz w:val="20"/>
              </w:rPr>
            </w:pPr>
            <w:r>
              <w:rPr>
                <w:sz w:val="20"/>
              </w:rPr>
              <w:t>1,51</w:t>
            </w:r>
          </w:p>
        </w:tc>
        <w:tc>
          <w:tcPr>
            <w:tcW w:w="1691" w:type="dxa"/>
          </w:tcPr>
          <w:p>
            <w:pPr>
              <w:pStyle w:val="TableParagraph"/>
              <w:ind w:left="159"/>
              <w:rPr>
                <w:sz w:val="20"/>
              </w:rPr>
            </w:pPr>
            <w:r>
              <w:rPr>
                <w:sz w:val="20"/>
              </w:rPr>
              <w:t>2,68</w:t>
            </w:r>
          </w:p>
        </w:tc>
      </w:tr>
      <w:tr>
        <w:trPr>
          <w:trHeight w:val="345" w:hRule="atLeast"/>
        </w:trPr>
        <w:tc>
          <w:tcPr>
            <w:tcW w:w="2247" w:type="dxa"/>
            <w:shd w:val="clear" w:color="auto" w:fill="F1F1F1"/>
          </w:tcPr>
          <w:p>
            <w:pPr>
              <w:pStyle w:val="TableParagraph"/>
              <w:rPr>
                <w:sz w:val="20"/>
              </w:rPr>
            </w:pPr>
            <w:r>
              <w:rPr>
                <w:sz w:val="20"/>
              </w:rPr>
              <w:t>3 Yıldız Sayısı</w:t>
            </w:r>
          </w:p>
        </w:tc>
        <w:tc>
          <w:tcPr>
            <w:tcW w:w="556" w:type="dxa"/>
            <w:shd w:val="clear" w:color="auto" w:fill="F1F1F1"/>
          </w:tcPr>
          <w:p>
            <w:pPr>
              <w:pStyle w:val="TableParagraph"/>
              <w:ind w:left="0"/>
              <w:rPr>
                <w:sz w:val="20"/>
              </w:rPr>
            </w:pPr>
          </w:p>
        </w:tc>
        <w:tc>
          <w:tcPr>
            <w:tcW w:w="910" w:type="dxa"/>
            <w:shd w:val="clear" w:color="auto" w:fill="F1F1F1"/>
          </w:tcPr>
          <w:p>
            <w:pPr>
              <w:pStyle w:val="TableParagraph"/>
              <w:ind w:left="281"/>
              <w:rPr>
                <w:sz w:val="20"/>
              </w:rPr>
            </w:pPr>
            <w:r>
              <w:rPr>
                <w:w w:val="99"/>
                <w:sz w:val="20"/>
              </w:rPr>
              <w:t>0</w:t>
            </w:r>
          </w:p>
        </w:tc>
        <w:tc>
          <w:tcPr>
            <w:tcW w:w="984" w:type="dxa"/>
            <w:shd w:val="clear" w:color="auto" w:fill="F1F1F1"/>
          </w:tcPr>
          <w:p>
            <w:pPr>
              <w:pStyle w:val="TableParagraph"/>
              <w:ind w:left="223"/>
              <w:rPr>
                <w:sz w:val="20"/>
              </w:rPr>
            </w:pPr>
            <w:r>
              <w:rPr>
                <w:sz w:val="20"/>
              </w:rPr>
              <w:t>64</w:t>
            </w:r>
          </w:p>
        </w:tc>
        <w:tc>
          <w:tcPr>
            <w:tcW w:w="2121" w:type="dxa"/>
            <w:shd w:val="clear" w:color="auto" w:fill="F1F1F1"/>
          </w:tcPr>
          <w:p>
            <w:pPr>
              <w:pStyle w:val="TableParagraph"/>
              <w:ind w:left="231"/>
              <w:rPr>
                <w:sz w:val="20"/>
              </w:rPr>
            </w:pPr>
            <w:r>
              <w:rPr>
                <w:sz w:val="20"/>
              </w:rPr>
              <w:t>4,66</w:t>
            </w:r>
          </w:p>
        </w:tc>
        <w:tc>
          <w:tcPr>
            <w:tcW w:w="1691" w:type="dxa"/>
            <w:shd w:val="clear" w:color="auto" w:fill="F1F1F1"/>
          </w:tcPr>
          <w:p>
            <w:pPr>
              <w:pStyle w:val="TableParagraph"/>
              <w:ind w:left="159"/>
              <w:rPr>
                <w:sz w:val="20"/>
              </w:rPr>
            </w:pPr>
            <w:r>
              <w:rPr>
                <w:sz w:val="20"/>
              </w:rPr>
              <w:t>7,98</w:t>
            </w:r>
          </w:p>
        </w:tc>
      </w:tr>
      <w:tr>
        <w:trPr>
          <w:trHeight w:val="345" w:hRule="atLeast"/>
        </w:trPr>
        <w:tc>
          <w:tcPr>
            <w:tcW w:w="2247" w:type="dxa"/>
          </w:tcPr>
          <w:p>
            <w:pPr>
              <w:pStyle w:val="TableParagraph"/>
              <w:rPr>
                <w:sz w:val="20"/>
              </w:rPr>
            </w:pPr>
            <w:r>
              <w:rPr>
                <w:sz w:val="20"/>
              </w:rPr>
              <w:t>4 Yıldız Sayısı</w:t>
            </w:r>
          </w:p>
        </w:tc>
        <w:tc>
          <w:tcPr>
            <w:tcW w:w="556" w:type="dxa"/>
          </w:tcPr>
          <w:p>
            <w:pPr>
              <w:pStyle w:val="TableParagraph"/>
              <w:ind w:left="0"/>
              <w:rPr>
                <w:sz w:val="20"/>
              </w:rPr>
            </w:pPr>
          </w:p>
        </w:tc>
        <w:tc>
          <w:tcPr>
            <w:tcW w:w="910" w:type="dxa"/>
          </w:tcPr>
          <w:p>
            <w:pPr>
              <w:pStyle w:val="TableParagraph"/>
              <w:ind w:left="281"/>
              <w:rPr>
                <w:sz w:val="20"/>
              </w:rPr>
            </w:pPr>
            <w:r>
              <w:rPr>
                <w:w w:val="99"/>
                <w:sz w:val="20"/>
              </w:rPr>
              <w:t>0</w:t>
            </w:r>
          </w:p>
        </w:tc>
        <w:tc>
          <w:tcPr>
            <w:tcW w:w="984" w:type="dxa"/>
          </w:tcPr>
          <w:p>
            <w:pPr>
              <w:pStyle w:val="TableParagraph"/>
              <w:ind w:left="223"/>
              <w:rPr>
                <w:sz w:val="20"/>
              </w:rPr>
            </w:pPr>
            <w:r>
              <w:rPr>
                <w:sz w:val="20"/>
              </w:rPr>
              <w:t>241</w:t>
            </w:r>
          </w:p>
        </w:tc>
        <w:tc>
          <w:tcPr>
            <w:tcW w:w="2121" w:type="dxa"/>
          </w:tcPr>
          <w:p>
            <w:pPr>
              <w:pStyle w:val="TableParagraph"/>
              <w:ind w:left="231"/>
              <w:rPr>
                <w:sz w:val="20"/>
              </w:rPr>
            </w:pPr>
            <w:r>
              <w:rPr>
                <w:sz w:val="20"/>
              </w:rPr>
              <w:t>18,53</w:t>
            </w:r>
          </w:p>
        </w:tc>
        <w:tc>
          <w:tcPr>
            <w:tcW w:w="1691" w:type="dxa"/>
          </w:tcPr>
          <w:p>
            <w:pPr>
              <w:pStyle w:val="TableParagraph"/>
              <w:ind w:left="159"/>
              <w:rPr>
                <w:sz w:val="20"/>
              </w:rPr>
            </w:pPr>
            <w:r>
              <w:rPr>
                <w:sz w:val="20"/>
              </w:rPr>
              <w:t>29,35</w:t>
            </w:r>
          </w:p>
        </w:tc>
      </w:tr>
      <w:tr>
        <w:trPr>
          <w:trHeight w:val="343" w:hRule="atLeast"/>
        </w:trPr>
        <w:tc>
          <w:tcPr>
            <w:tcW w:w="2247" w:type="dxa"/>
            <w:shd w:val="clear" w:color="auto" w:fill="F1F1F1"/>
          </w:tcPr>
          <w:p>
            <w:pPr>
              <w:pStyle w:val="TableParagraph"/>
              <w:spacing w:line="228" w:lineRule="exact"/>
              <w:rPr>
                <w:sz w:val="20"/>
              </w:rPr>
            </w:pPr>
            <w:r>
              <w:rPr>
                <w:sz w:val="20"/>
              </w:rPr>
              <w:t>5 Yıldız Sayısı</w:t>
            </w:r>
          </w:p>
        </w:tc>
        <w:tc>
          <w:tcPr>
            <w:tcW w:w="556" w:type="dxa"/>
            <w:shd w:val="clear" w:color="auto" w:fill="F1F1F1"/>
          </w:tcPr>
          <w:p>
            <w:pPr>
              <w:pStyle w:val="TableParagraph"/>
              <w:ind w:left="0"/>
              <w:rPr>
                <w:sz w:val="20"/>
              </w:rPr>
            </w:pPr>
          </w:p>
        </w:tc>
        <w:tc>
          <w:tcPr>
            <w:tcW w:w="910" w:type="dxa"/>
            <w:shd w:val="clear" w:color="auto" w:fill="F1F1F1"/>
          </w:tcPr>
          <w:p>
            <w:pPr>
              <w:pStyle w:val="TableParagraph"/>
              <w:ind w:left="281"/>
              <w:rPr>
                <w:sz w:val="20"/>
              </w:rPr>
            </w:pPr>
            <w:r>
              <w:rPr>
                <w:w w:val="99"/>
                <w:sz w:val="20"/>
              </w:rPr>
              <w:t>0</w:t>
            </w:r>
          </w:p>
        </w:tc>
        <w:tc>
          <w:tcPr>
            <w:tcW w:w="984" w:type="dxa"/>
            <w:shd w:val="clear" w:color="auto" w:fill="F1F1F1"/>
          </w:tcPr>
          <w:p>
            <w:pPr>
              <w:pStyle w:val="TableParagraph"/>
              <w:ind w:left="223"/>
              <w:rPr>
                <w:sz w:val="20"/>
              </w:rPr>
            </w:pPr>
            <w:r>
              <w:rPr>
                <w:sz w:val="20"/>
              </w:rPr>
              <w:t>2404</w:t>
            </w:r>
          </w:p>
        </w:tc>
        <w:tc>
          <w:tcPr>
            <w:tcW w:w="2121" w:type="dxa"/>
            <w:shd w:val="clear" w:color="auto" w:fill="F1F1F1"/>
          </w:tcPr>
          <w:p>
            <w:pPr>
              <w:pStyle w:val="TableParagraph"/>
              <w:ind w:left="231"/>
              <w:rPr>
                <w:sz w:val="20"/>
              </w:rPr>
            </w:pPr>
            <w:r>
              <w:rPr>
                <w:sz w:val="20"/>
              </w:rPr>
              <w:t>347,65</w:t>
            </w:r>
          </w:p>
        </w:tc>
        <w:tc>
          <w:tcPr>
            <w:tcW w:w="1691" w:type="dxa"/>
            <w:shd w:val="clear" w:color="auto" w:fill="F1F1F1"/>
          </w:tcPr>
          <w:p>
            <w:pPr>
              <w:pStyle w:val="TableParagraph"/>
              <w:ind w:left="159"/>
              <w:rPr>
                <w:sz w:val="20"/>
              </w:rPr>
            </w:pPr>
            <w:r>
              <w:rPr>
                <w:sz w:val="20"/>
              </w:rPr>
              <w:t>446,97</w:t>
            </w:r>
          </w:p>
        </w:tc>
      </w:tr>
      <w:tr>
        <w:trPr>
          <w:trHeight w:val="345" w:hRule="atLeast"/>
        </w:trPr>
        <w:tc>
          <w:tcPr>
            <w:tcW w:w="2247" w:type="dxa"/>
          </w:tcPr>
          <w:p>
            <w:pPr>
              <w:pStyle w:val="TableParagraph"/>
              <w:rPr>
                <w:sz w:val="20"/>
              </w:rPr>
            </w:pPr>
            <w:r>
              <w:rPr>
                <w:sz w:val="20"/>
              </w:rPr>
              <w:t>Favoriye Eklenme Sayısı</w:t>
            </w:r>
          </w:p>
        </w:tc>
        <w:tc>
          <w:tcPr>
            <w:tcW w:w="556" w:type="dxa"/>
          </w:tcPr>
          <w:p>
            <w:pPr>
              <w:pStyle w:val="TableParagraph"/>
              <w:ind w:left="0"/>
              <w:rPr>
                <w:sz w:val="20"/>
              </w:rPr>
            </w:pPr>
          </w:p>
        </w:tc>
        <w:tc>
          <w:tcPr>
            <w:tcW w:w="910" w:type="dxa"/>
          </w:tcPr>
          <w:p>
            <w:pPr>
              <w:pStyle w:val="TableParagraph"/>
              <w:ind w:left="281"/>
              <w:rPr>
                <w:sz w:val="20"/>
              </w:rPr>
            </w:pPr>
            <w:r>
              <w:rPr>
                <w:w w:val="99"/>
                <w:sz w:val="20"/>
              </w:rPr>
              <w:t>0</w:t>
            </w:r>
          </w:p>
        </w:tc>
        <w:tc>
          <w:tcPr>
            <w:tcW w:w="984" w:type="dxa"/>
          </w:tcPr>
          <w:p>
            <w:pPr>
              <w:pStyle w:val="TableParagraph"/>
              <w:ind w:left="223"/>
              <w:rPr>
                <w:sz w:val="20"/>
              </w:rPr>
            </w:pPr>
            <w:r>
              <w:rPr>
                <w:sz w:val="20"/>
              </w:rPr>
              <w:t>36243</w:t>
            </w:r>
          </w:p>
        </w:tc>
        <w:tc>
          <w:tcPr>
            <w:tcW w:w="2121" w:type="dxa"/>
          </w:tcPr>
          <w:p>
            <w:pPr>
              <w:pStyle w:val="TableParagraph"/>
              <w:ind w:left="231"/>
              <w:rPr>
                <w:sz w:val="20"/>
              </w:rPr>
            </w:pPr>
            <w:r>
              <w:rPr>
                <w:sz w:val="20"/>
              </w:rPr>
              <w:t>2722,81</w:t>
            </w:r>
          </w:p>
        </w:tc>
        <w:tc>
          <w:tcPr>
            <w:tcW w:w="1691" w:type="dxa"/>
          </w:tcPr>
          <w:p>
            <w:pPr>
              <w:pStyle w:val="TableParagraph"/>
              <w:ind w:left="159"/>
              <w:rPr>
                <w:sz w:val="20"/>
              </w:rPr>
            </w:pPr>
            <w:r>
              <w:rPr>
                <w:sz w:val="20"/>
              </w:rPr>
              <w:t>5027,96</w:t>
            </w:r>
          </w:p>
        </w:tc>
      </w:tr>
      <w:tr>
        <w:trPr>
          <w:trHeight w:val="345" w:hRule="atLeast"/>
        </w:trPr>
        <w:tc>
          <w:tcPr>
            <w:tcW w:w="2247" w:type="dxa"/>
            <w:tcBorders>
              <w:bottom w:val="single" w:sz="8" w:space="0" w:color="000000"/>
            </w:tcBorders>
            <w:shd w:val="clear" w:color="auto" w:fill="F1F1F1"/>
          </w:tcPr>
          <w:p>
            <w:pPr>
              <w:pStyle w:val="TableParagraph"/>
              <w:rPr>
                <w:sz w:val="20"/>
              </w:rPr>
            </w:pPr>
            <w:r>
              <w:rPr>
                <w:sz w:val="20"/>
              </w:rPr>
              <w:t>Satıştaki Ürün Sayısı</w:t>
            </w:r>
          </w:p>
        </w:tc>
        <w:tc>
          <w:tcPr>
            <w:tcW w:w="556" w:type="dxa"/>
            <w:tcBorders>
              <w:bottom w:val="single" w:sz="8" w:space="0" w:color="000000"/>
            </w:tcBorders>
            <w:shd w:val="clear" w:color="auto" w:fill="F1F1F1"/>
          </w:tcPr>
          <w:p>
            <w:pPr>
              <w:pStyle w:val="TableParagraph"/>
              <w:ind w:left="0"/>
              <w:rPr>
                <w:sz w:val="20"/>
              </w:rPr>
            </w:pPr>
          </w:p>
        </w:tc>
        <w:tc>
          <w:tcPr>
            <w:tcW w:w="910" w:type="dxa"/>
            <w:tcBorders>
              <w:bottom w:val="single" w:sz="8" w:space="0" w:color="000000"/>
            </w:tcBorders>
            <w:shd w:val="clear" w:color="auto" w:fill="F1F1F1"/>
          </w:tcPr>
          <w:p>
            <w:pPr>
              <w:pStyle w:val="TableParagraph"/>
              <w:ind w:left="281"/>
              <w:rPr>
                <w:sz w:val="20"/>
              </w:rPr>
            </w:pPr>
            <w:r>
              <w:rPr>
                <w:w w:val="99"/>
                <w:sz w:val="20"/>
              </w:rPr>
              <w:t>0</w:t>
            </w:r>
          </w:p>
        </w:tc>
        <w:tc>
          <w:tcPr>
            <w:tcW w:w="984" w:type="dxa"/>
            <w:tcBorders>
              <w:bottom w:val="single" w:sz="8" w:space="0" w:color="000000"/>
            </w:tcBorders>
            <w:shd w:val="clear" w:color="auto" w:fill="F1F1F1"/>
          </w:tcPr>
          <w:p>
            <w:pPr>
              <w:pStyle w:val="TableParagraph"/>
              <w:ind w:left="223"/>
              <w:rPr>
                <w:sz w:val="20"/>
              </w:rPr>
            </w:pPr>
            <w:r>
              <w:rPr>
                <w:sz w:val="20"/>
              </w:rPr>
              <w:t>2435</w:t>
            </w:r>
          </w:p>
        </w:tc>
        <w:tc>
          <w:tcPr>
            <w:tcW w:w="2121" w:type="dxa"/>
            <w:tcBorders>
              <w:bottom w:val="single" w:sz="8" w:space="0" w:color="000000"/>
            </w:tcBorders>
            <w:shd w:val="clear" w:color="auto" w:fill="F1F1F1"/>
          </w:tcPr>
          <w:p>
            <w:pPr>
              <w:pStyle w:val="TableParagraph"/>
              <w:ind w:left="231"/>
              <w:rPr>
                <w:sz w:val="20"/>
              </w:rPr>
            </w:pPr>
            <w:r>
              <w:rPr>
                <w:sz w:val="20"/>
              </w:rPr>
              <w:t>263,77</w:t>
            </w:r>
          </w:p>
        </w:tc>
        <w:tc>
          <w:tcPr>
            <w:tcW w:w="1691" w:type="dxa"/>
            <w:tcBorders>
              <w:bottom w:val="single" w:sz="8" w:space="0" w:color="000000"/>
            </w:tcBorders>
            <w:shd w:val="clear" w:color="auto" w:fill="F1F1F1"/>
          </w:tcPr>
          <w:p>
            <w:pPr>
              <w:pStyle w:val="TableParagraph"/>
              <w:ind w:left="159"/>
              <w:rPr>
                <w:sz w:val="20"/>
              </w:rPr>
            </w:pPr>
            <w:r>
              <w:rPr>
                <w:sz w:val="20"/>
              </w:rPr>
              <w:t>361,77</w:t>
            </w:r>
          </w:p>
        </w:tc>
      </w:tr>
    </w:tbl>
    <w:p>
      <w:pPr>
        <w:pStyle w:val="BodyText"/>
        <w:ind w:left="0"/>
        <w:jc w:val="left"/>
        <w:rPr>
          <w:sz w:val="36"/>
        </w:rPr>
      </w:pPr>
    </w:p>
    <w:p>
      <w:pPr>
        <w:pStyle w:val="Heading1"/>
        <w:numPr>
          <w:ilvl w:val="2"/>
          <w:numId w:val="3"/>
        </w:numPr>
        <w:tabs>
          <w:tab w:pos="1857" w:val="left" w:leader="none"/>
        </w:tabs>
        <w:spacing w:line="240" w:lineRule="auto" w:before="0" w:after="0"/>
        <w:ind w:left="1856" w:right="0" w:hanging="601"/>
        <w:jc w:val="both"/>
      </w:pPr>
      <w:r>
        <w:rPr/>
        <w:t>Değişkenler</w:t>
      </w:r>
    </w:p>
    <w:p>
      <w:pPr>
        <w:pStyle w:val="BodyText"/>
        <w:spacing w:line="360" w:lineRule="auto" w:before="137"/>
        <w:ind w:right="312" w:firstLine="708"/>
      </w:pPr>
      <w:r>
        <w:rPr/>
        <w:t>Araştırmada</w:t>
      </w:r>
      <w:r>
        <w:rPr>
          <w:spacing w:val="-5"/>
        </w:rPr>
        <w:t> </w:t>
      </w:r>
      <w:r>
        <w:rPr/>
        <w:t>kullanılan</w:t>
      </w:r>
      <w:r>
        <w:rPr>
          <w:spacing w:val="-6"/>
        </w:rPr>
        <w:t> </w:t>
      </w:r>
      <w:r>
        <w:rPr/>
        <w:t>değişkenler</w:t>
      </w:r>
      <w:r>
        <w:rPr>
          <w:spacing w:val="-7"/>
        </w:rPr>
        <w:t> </w:t>
      </w:r>
      <w:r>
        <w:rPr/>
        <w:t>ve</w:t>
      </w:r>
      <w:r>
        <w:rPr>
          <w:spacing w:val="-7"/>
        </w:rPr>
        <w:t> </w:t>
      </w:r>
      <w:r>
        <w:rPr/>
        <w:t>değişkenlere</w:t>
      </w:r>
      <w:r>
        <w:rPr>
          <w:spacing w:val="-7"/>
        </w:rPr>
        <w:t> </w:t>
      </w:r>
      <w:r>
        <w:rPr/>
        <w:t>dair</w:t>
      </w:r>
      <w:r>
        <w:rPr>
          <w:spacing w:val="-4"/>
        </w:rPr>
        <w:t> </w:t>
      </w:r>
      <w:r>
        <w:rPr/>
        <w:t>kısa</w:t>
      </w:r>
      <w:r>
        <w:rPr>
          <w:spacing w:val="-5"/>
        </w:rPr>
        <w:t> </w:t>
      </w:r>
      <w:r>
        <w:rPr/>
        <w:t>açıklamalar</w:t>
      </w:r>
      <w:r>
        <w:rPr>
          <w:spacing w:val="-4"/>
        </w:rPr>
        <w:t> </w:t>
      </w:r>
      <w:r>
        <w:rPr/>
        <w:t>Tablo</w:t>
      </w:r>
      <w:r>
        <w:rPr>
          <w:spacing w:val="-6"/>
        </w:rPr>
        <w:t> </w:t>
      </w:r>
      <w:r>
        <w:rPr/>
        <w:t>15’te aktarılmıştır. Alt başlıklarda, hipotezleri test etmek için oluşturulan modellere dahil edilen bağımlı, bağımsız, kukla ve kontrol değişkenleri</w:t>
      </w:r>
      <w:r>
        <w:rPr>
          <w:spacing w:val="-5"/>
        </w:rPr>
        <w:t> </w:t>
      </w:r>
      <w:r>
        <w:rPr/>
        <w:t>açıklanmaktadır.</w:t>
      </w:r>
    </w:p>
    <w:p>
      <w:pPr>
        <w:pStyle w:val="BodyText"/>
        <w:ind w:left="0"/>
        <w:jc w:val="left"/>
        <w:rPr>
          <w:sz w:val="21"/>
        </w:rPr>
      </w:pPr>
    </w:p>
    <w:p>
      <w:pPr>
        <w:spacing w:before="0"/>
        <w:ind w:left="548" w:right="0" w:firstLine="0"/>
        <w:jc w:val="both"/>
        <w:rPr>
          <w:sz w:val="24"/>
        </w:rPr>
      </w:pPr>
      <w:r>
        <w:rPr>
          <w:b/>
          <w:sz w:val="24"/>
        </w:rPr>
        <w:t>Tablo 15: </w:t>
      </w:r>
      <w:r>
        <w:rPr>
          <w:sz w:val="24"/>
        </w:rPr>
        <w:t>Değişkenler ve açıklamaları</w:t>
      </w:r>
    </w:p>
    <w:p>
      <w:pPr>
        <w:pStyle w:val="BodyText"/>
        <w:ind w:left="0"/>
        <w:jc w:val="left"/>
        <w:rPr>
          <w:sz w:val="12"/>
        </w:rPr>
      </w:pP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2"/>
        <w:gridCol w:w="6723"/>
      </w:tblGrid>
      <w:tr>
        <w:trPr>
          <w:trHeight w:val="230" w:hRule="atLeast"/>
        </w:trPr>
        <w:tc>
          <w:tcPr>
            <w:tcW w:w="2082" w:type="dxa"/>
            <w:tcBorders>
              <w:top w:val="single" w:sz="4" w:space="0" w:color="000000"/>
              <w:bottom w:val="single" w:sz="4" w:space="0" w:color="000000"/>
            </w:tcBorders>
          </w:tcPr>
          <w:p>
            <w:pPr>
              <w:pStyle w:val="TableParagraph"/>
              <w:spacing w:line="210" w:lineRule="exact"/>
              <w:ind w:left="122"/>
              <w:rPr>
                <w:b/>
                <w:sz w:val="20"/>
              </w:rPr>
            </w:pPr>
            <w:r>
              <w:rPr>
                <w:b/>
                <w:sz w:val="20"/>
              </w:rPr>
              <w:t>Değişken</w:t>
            </w:r>
          </w:p>
        </w:tc>
        <w:tc>
          <w:tcPr>
            <w:tcW w:w="6723" w:type="dxa"/>
            <w:tcBorders>
              <w:top w:val="single" w:sz="4" w:space="0" w:color="000000"/>
              <w:bottom w:val="single" w:sz="4" w:space="0" w:color="000000"/>
            </w:tcBorders>
          </w:tcPr>
          <w:p>
            <w:pPr>
              <w:pStyle w:val="TableParagraph"/>
              <w:spacing w:line="210" w:lineRule="exact"/>
              <w:ind w:left="308"/>
              <w:rPr>
                <w:b/>
                <w:sz w:val="20"/>
              </w:rPr>
            </w:pPr>
            <w:r>
              <w:rPr>
                <w:b/>
                <w:sz w:val="20"/>
              </w:rPr>
              <w:t>Açıklama</w:t>
            </w:r>
          </w:p>
        </w:tc>
      </w:tr>
      <w:tr>
        <w:trPr>
          <w:trHeight w:val="230" w:hRule="atLeast"/>
        </w:trPr>
        <w:tc>
          <w:tcPr>
            <w:tcW w:w="2082" w:type="dxa"/>
            <w:tcBorders>
              <w:top w:val="single" w:sz="4" w:space="0" w:color="000000"/>
            </w:tcBorders>
            <w:shd w:val="clear" w:color="auto" w:fill="F1F1F1"/>
          </w:tcPr>
          <w:p>
            <w:pPr>
              <w:pStyle w:val="TableParagraph"/>
              <w:spacing w:line="210" w:lineRule="exact"/>
              <w:ind w:left="122"/>
              <w:rPr>
                <w:b/>
                <w:sz w:val="20"/>
              </w:rPr>
            </w:pPr>
            <w:r>
              <w:rPr>
                <w:b/>
                <w:position w:val="1"/>
                <w:sz w:val="20"/>
              </w:rPr>
              <w:t>ln(Satış</w:t>
            </w:r>
            <w:r>
              <w:rPr>
                <w:b/>
                <w:i/>
                <w:sz w:val="13"/>
              </w:rPr>
              <w:t>it</w:t>
            </w:r>
            <w:r>
              <w:rPr>
                <w:b/>
                <w:position w:val="1"/>
                <w:sz w:val="20"/>
              </w:rPr>
              <w:t>)</w:t>
            </w:r>
          </w:p>
        </w:tc>
        <w:tc>
          <w:tcPr>
            <w:tcW w:w="6723" w:type="dxa"/>
            <w:tcBorders>
              <w:top w:val="single" w:sz="4" w:space="0" w:color="000000"/>
            </w:tcBorders>
            <w:shd w:val="clear" w:color="auto" w:fill="F1F1F1"/>
          </w:tcPr>
          <w:p>
            <w:pPr>
              <w:pStyle w:val="TableParagraph"/>
              <w:spacing w:line="210" w:lineRule="exact"/>
              <w:ind w:left="308"/>
              <w:rPr>
                <w:sz w:val="20"/>
              </w:rPr>
            </w:pPr>
            <w:r>
              <w:rPr>
                <w:sz w:val="20"/>
              </w:rPr>
              <w:t>Satıcı </w:t>
            </w:r>
            <w:r>
              <w:rPr>
                <w:i/>
                <w:sz w:val="20"/>
              </w:rPr>
              <w:t>i </w:t>
            </w:r>
            <w:r>
              <w:rPr>
                <w:sz w:val="20"/>
              </w:rPr>
              <w:t>‘nin </w:t>
            </w:r>
            <w:r>
              <w:rPr>
                <w:i/>
                <w:sz w:val="20"/>
              </w:rPr>
              <w:t>t </w:t>
            </w:r>
            <w:r>
              <w:rPr>
                <w:sz w:val="20"/>
              </w:rPr>
              <w:t>haftasına kadarki toplam satış miktarının doğal logaritması</w:t>
            </w:r>
          </w:p>
        </w:tc>
      </w:tr>
      <w:tr>
        <w:trPr>
          <w:trHeight w:val="230" w:hRule="atLeast"/>
        </w:trPr>
        <w:tc>
          <w:tcPr>
            <w:tcW w:w="2082" w:type="dxa"/>
          </w:tcPr>
          <w:p>
            <w:pPr>
              <w:pStyle w:val="TableParagraph"/>
              <w:spacing w:line="210" w:lineRule="exact"/>
              <w:ind w:left="122"/>
              <w:rPr>
                <w:b/>
                <w:sz w:val="20"/>
              </w:rPr>
            </w:pPr>
            <w:r>
              <w:rPr>
                <w:b/>
                <w:position w:val="1"/>
                <w:sz w:val="20"/>
              </w:rPr>
              <w:t>ln(ToplamYorum</w:t>
            </w:r>
            <w:r>
              <w:rPr>
                <w:b/>
                <w:i/>
                <w:sz w:val="13"/>
              </w:rPr>
              <w:t>it</w:t>
            </w:r>
            <w:r>
              <w:rPr>
                <w:b/>
                <w:position w:val="1"/>
                <w:sz w:val="20"/>
              </w:rPr>
              <w:t>)</w:t>
            </w:r>
          </w:p>
        </w:tc>
        <w:tc>
          <w:tcPr>
            <w:tcW w:w="6723" w:type="dxa"/>
          </w:tcPr>
          <w:p>
            <w:pPr>
              <w:pStyle w:val="TableParagraph"/>
              <w:spacing w:line="210" w:lineRule="exact"/>
              <w:ind w:left="308"/>
              <w:rPr>
                <w:sz w:val="20"/>
              </w:rPr>
            </w:pPr>
            <w:r>
              <w:rPr>
                <w:sz w:val="20"/>
              </w:rPr>
              <w:t>Satıcı </w:t>
            </w:r>
            <w:r>
              <w:rPr>
                <w:i/>
                <w:sz w:val="20"/>
              </w:rPr>
              <w:t>i </w:t>
            </w:r>
            <w:r>
              <w:rPr>
                <w:sz w:val="20"/>
              </w:rPr>
              <w:t>‘nin </w:t>
            </w:r>
            <w:r>
              <w:rPr>
                <w:i/>
                <w:sz w:val="20"/>
              </w:rPr>
              <w:t>t </w:t>
            </w:r>
            <w:r>
              <w:rPr>
                <w:sz w:val="20"/>
              </w:rPr>
              <w:t>haftasına kadarki toplam yorum sayısının doğal logaritması</w:t>
            </w:r>
          </w:p>
        </w:tc>
      </w:tr>
      <w:tr>
        <w:trPr>
          <w:trHeight w:val="230" w:hRule="atLeast"/>
        </w:trPr>
        <w:tc>
          <w:tcPr>
            <w:tcW w:w="2082" w:type="dxa"/>
            <w:shd w:val="clear" w:color="auto" w:fill="F1F1F1"/>
          </w:tcPr>
          <w:p>
            <w:pPr>
              <w:pStyle w:val="TableParagraph"/>
              <w:spacing w:line="210" w:lineRule="exact"/>
              <w:ind w:left="122"/>
              <w:rPr>
                <w:b/>
                <w:sz w:val="20"/>
              </w:rPr>
            </w:pPr>
            <w:r>
              <w:rPr>
                <w:b/>
                <w:position w:val="1"/>
                <w:sz w:val="20"/>
              </w:rPr>
              <w:t>ln(Ort.Puan</w:t>
            </w:r>
            <w:r>
              <w:rPr>
                <w:b/>
                <w:i/>
                <w:sz w:val="13"/>
              </w:rPr>
              <w:t>it</w:t>
            </w:r>
            <w:r>
              <w:rPr>
                <w:b/>
                <w:position w:val="1"/>
                <w:sz w:val="20"/>
              </w:rPr>
              <w:t>)</w:t>
            </w:r>
          </w:p>
        </w:tc>
        <w:tc>
          <w:tcPr>
            <w:tcW w:w="6723" w:type="dxa"/>
            <w:shd w:val="clear" w:color="auto" w:fill="F1F1F1"/>
          </w:tcPr>
          <w:p>
            <w:pPr>
              <w:pStyle w:val="TableParagraph"/>
              <w:spacing w:line="210" w:lineRule="exact"/>
              <w:ind w:left="308"/>
              <w:rPr>
                <w:sz w:val="20"/>
              </w:rPr>
            </w:pPr>
            <w:r>
              <w:rPr>
                <w:sz w:val="20"/>
              </w:rPr>
              <w:t>Satıcı </w:t>
            </w:r>
            <w:r>
              <w:rPr>
                <w:i/>
                <w:sz w:val="20"/>
              </w:rPr>
              <w:t>i </w:t>
            </w:r>
            <w:r>
              <w:rPr>
                <w:sz w:val="20"/>
              </w:rPr>
              <w:t>için </w:t>
            </w:r>
            <w:r>
              <w:rPr>
                <w:i/>
                <w:sz w:val="20"/>
              </w:rPr>
              <w:t>t </w:t>
            </w:r>
            <w:r>
              <w:rPr>
                <w:sz w:val="20"/>
              </w:rPr>
              <w:t>haftasındaki ortalama değerlendirme puanın doğal logaritması</w:t>
            </w:r>
          </w:p>
        </w:tc>
      </w:tr>
      <w:tr>
        <w:trPr>
          <w:trHeight w:val="458" w:hRule="atLeast"/>
        </w:trPr>
        <w:tc>
          <w:tcPr>
            <w:tcW w:w="2082" w:type="dxa"/>
          </w:tcPr>
          <w:p>
            <w:pPr>
              <w:pStyle w:val="TableParagraph"/>
              <w:spacing w:line="228" w:lineRule="exact"/>
              <w:ind w:left="122"/>
              <w:rPr>
                <w:b/>
                <w:sz w:val="20"/>
              </w:rPr>
            </w:pPr>
            <w:r>
              <w:rPr>
                <w:b/>
                <w:position w:val="1"/>
                <w:sz w:val="20"/>
              </w:rPr>
              <w:t>ln(Olumsuz</w:t>
            </w:r>
            <w:r>
              <w:rPr>
                <w:b/>
                <w:i/>
                <w:sz w:val="13"/>
              </w:rPr>
              <w:t>it</w:t>
            </w:r>
            <w:r>
              <w:rPr>
                <w:b/>
                <w:position w:val="1"/>
                <w:sz w:val="20"/>
              </w:rPr>
              <w:t>)</w:t>
            </w:r>
          </w:p>
        </w:tc>
        <w:tc>
          <w:tcPr>
            <w:tcW w:w="6723" w:type="dxa"/>
          </w:tcPr>
          <w:p>
            <w:pPr>
              <w:pStyle w:val="TableParagraph"/>
              <w:spacing w:line="230" w:lineRule="exact" w:before="1"/>
              <w:ind w:left="308"/>
              <w:rPr>
                <w:sz w:val="20"/>
              </w:rPr>
            </w:pPr>
            <w:r>
              <w:rPr>
                <w:sz w:val="20"/>
              </w:rPr>
              <w:t>Satıcı </w:t>
            </w:r>
            <w:r>
              <w:rPr>
                <w:i/>
                <w:sz w:val="20"/>
              </w:rPr>
              <w:t>i </w:t>
            </w:r>
            <w:r>
              <w:rPr>
                <w:sz w:val="20"/>
              </w:rPr>
              <w:t>‘nin </w:t>
            </w:r>
            <w:r>
              <w:rPr>
                <w:i/>
                <w:sz w:val="20"/>
              </w:rPr>
              <w:t>t </w:t>
            </w:r>
            <w:r>
              <w:rPr>
                <w:sz w:val="20"/>
              </w:rPr>
              <w:t>haftasına kadarki bir ve iki yıldız sayısı toplamının doğal logaritması</w:t>
            </w:r>
          </w:p>
        </w:tc>
      </w:tr>
      <w:tr>
        <w:trPr>
          <w:trHeight w:val="227" w:hRule="atLeast"/>
        </w:trPr>
        <w:tc>
          <w:tcPr>
            <w:tcW w:w="2082" w:type="dxa"/>
            <w:shd w:val="clear" w:color="auto" w:fill="F1F1F1"/>
          </w:tcPr>
          <w:p>
            <w:pPr>
              <w:pStyle w:val="TableParagraph"/>
              <w:spacing w:line="208" w:lineRule="exact"/>
              <w:ind w:left="122"/>
              <w:rPr>
                <w:b/>
                <w:sz w:val="20"/>
              </w:rPr>
            </w:pPr>
            <w:r>
              <w:rPr>
                <w:b/>
                <w:position w:val="1"/>
                <w:sz w:val="20"/>
              </w:rPr>
              <w:t>ln(Nötr</w:t>
            </w:r>
            <w:r>
              <w:rPr>
                <w:b/>
                <w:i/>
                <w:sz w:val="13"/>
              </w:rPr>
              <w:t>it</w:t>
            </w:r>
            <w:r>
              <w:rPr>
                <w:b/>
                <w:position w:val="1"/>
                <w:sz w:val="20"/>
              </w:rPr>
              <w:t>)</w:t>
            </w:r>
          </w:p>
        </w:tc>
        <w:tc>
          <w:tcPr>
            <w:tcW w:w="6723" w:type="dxa"/>
            <w:shd w:val="clear" w:color="auto" w:fill="F1F1F1"/>
          </w:tcPr>
          <w:p>
            <w:pPr>
              <w:pStyle w:val="TableParagraph"/>
              <w:spacing w:line="208" w:lineRule="exact"/>
              <w:ind w:left="308"/>
              <w:rPr>
                <w:sz w:val="20"/>
              </w:rPr>
            </w:pPr>
            <w:r>
              <w:rPr>
                <w:sz w:val="20"/>
              </w:rPr>
              <w:t>Satıcı </w:t>
            </w:r>
            <w:r>
              <w:rPr>
                <w:i/>
                <w:sz w:val="20"/>
              </w:rPr>
              <w:t>i </w:t>
            </w:r>
            <w:r>
              <w:rPr>
                <w:sz w:val="20"/>
              </w:rPr>
              <w:t>‘nin </w:t>
            </w:r>
            <w:r>
              <w:rPr>
                <w:i/>
                <w:sz w:val="20"/>
              </w:rPr>
              <w:t>t </w:t>
            </w:r>
            <w:r>
              <w:rPr>
                <w:sz w:val="20"/>
              </w:rPr>
              <w:t>haftasına kadarki üç yıldız sayısının doğal logaritması</w:t>
            </w:r>
          </w:p>
        </w:tc>
      </w:tr>
      <w:tr>
        <w:trPr>
          <w:trHeight w:val="461" w:hRule="atLeast"/>
        </w:trPr>
        <w:tc>
          <w:tcPr>
            <w:tcW w:w="2082" w:type="dxa"/>
          </w:tcPr>
          <w:p>
            <w:pPr>
              <w:pStyle w:val="TableParagraph"/>
              <w:ind w:left="122"/>
              <w:rPr>
                <w:b/>
                <w:sz w:val="20"/>
              </w:rPr>
            </w:pPr>
            <w:r>
              <w:rPr>
                <w:b/>
                <w:position w:val="1"/>
                <w:sz w:val="20"/>
              </w:rPr>
              <w:t>ln(Olumlu</w:t>
            </w:r>
            <w:r>
              <w:rPr>
                <w:b/>
                <w:i/>
                <w:sz w:val="13"/>
              </w:rPr>
              <w:t>it</w:t>
            </w:r>
            <w:r>
              <w:rPr>
                <w:b/>
                <w:position w:val="1"/>
                <w:sz w:val="20"/>
              </w:rPr>
              <w:t>)</w:t>
            </w:r>
          </w:p>
        </w:tc>
        <w:tc>
          <w:tcPr>
            <w:tcW w:w="6723" w:type="dxa"/>
          </w:tcPr>
          <w:p>
            <w:pPr>
              <w:pStyle w:val="TableParagraph"/>
              <w:spacing w:line="230" w:lineRule="atLeast" w:before="1"/>
              <w:ind w:left="308" w:right="585"/>
              <w:rPr>
                <w:sz w:val="20"/>
              </w:rPr>
            </w:pPr>
            <w:r>
              <w:rPr>
                <w:sz w:val="20"/>
              </w:rPr>
              <w:t>Satıcı </w:t>
            </w:r>
            <w:r>
              <w:rPr>
                <w:i/>
                <w:sz w:val="20"/>
              </w:rPr>
              <w:t>i </w:t>
            </w:r>
            <w:r>
              <w:rPr>
                <w:sz w:val="20"/>
              </w:rPr>
              <w:t>‘nin </w:t>
            </w:r>
            <w:r>
              <w:rPr>
                <w:i/>
                <w:sz w:val="20"/>
              </w:rPr>
              <w:t>t </w:t>
            </w:r>
            <w:r>
              <w:rPr>
                <w:sz w:val="20"/>
              </w:rPr>
              <w:t>haftasına kadarki dört ve beş yıldız sayısı toplamının doğal logaritması</w:t>
            </w:r>
          </w:p>
        </w:tc>
      </w:tr>
      <w:tr>
        <w:trPr>
          <w:trHeight w:val="230" w:hRule="atLeast"/>
        </w:trPr>
        <w:tc>
          <w:tcPr>
            <w:tcW w:w="2082" w:type="dxa"/>
            <w:shd w:val="clear" w:color="auto" w:fill="F1F1F1"/>
          </w:tcPr>
          <w:p>
            <w:pPr>
              <w:pStyle w:val="TableParagraph"/>
              <w:spacing w:line="210" w:lineRule="exact"/>
              <w:ind w:left="122"/>
              <w:rPr>
                <w:b/>
                <w:sz w:val="20"/>
              </w:rPr>
            </w:pPr>
            <w:r>
              <w:rPr>
                <w:b/>
                <w:position w:val="1"/>
                <w:sz w:val="20"/>
              </w:rPr>
              <w:t>ln(Favori</w:t>
            </w:r>
            <w:r>
              <w:rPr>
                <w:b/>
                <w:i/>
                <w:sz w:val="13"/>
              </w:rPr>
              <w:t>it</w:t>
            </w:r>
            <w:r>
              <w:rPr>
                <w:b/>
                <w:position w:val="1"/>
                <w:sz w:val="20"/>
              </w:rPr>
              <w:t>)</w:t>
            </w:r>
          </w:p>
        </w:tc>
        <w:tc>
          <w:tcPr>
            <w:tcW w:w="6723" w:type="dxa"/>
            <w:shd w:val="clear" w:color="auto" w:fill="F1F1F1"/>
          </w:tcPr>
          <w:p>
            <w:pPr>
              <w:pStyle w:val="TableParagraph"/>
              <w:spacing w:line="210" w:lineRule="exact"/>
              <w:ind w:left="308"/>
              <w:rPr>
                <w:sz w:val="20"/>
              </w:rPr>
            </w:pPr>
            <w:r>
              <w:rPr>
                <w:sz w:val="20"/>
              </w:rPr>
              <w:t>Satıcı </w:t>
            </w:r>
            <w:r>
              <w:rPr>
                <w:i/>
                <w:sz w:val="20"/>
              </w:rPr>
              <w:t>i </w:t>
            </w:r>
            <w:r>
              <w:rPr>
                <w:sz w:val="20"/>
              </w:rPr>
              <w:t>‘nin </w:t>
            </w:r>
            <w:r>
              <w:rPr>
                <w:i/>
                <w:sz w:val="20"/>
              </w:rPr>
              <w:t>t </w:t>
            </w:r>
            <w:r>
              <w:rPr>
                <w:sz w:val="20"/>
              </w:rPr>
              <w:t>haftasına kadarki favoriye eklenme sayısının doğal logaritması</w:t>
            </w:r>
          </w:p>
        </w:tc>
      </w:tr>
      <w:tr>
        <w:trPr>
          <w:trHeight w:val="458" w:hRule="atLeast"/>
        </w:trPr>
        <w:tc>
          <w:tcPr>
            <w:tcW w:w="2082" w:type="dxa"/>
            <w:tcBorders>
              <w:bottom w:val="single" w:sz="4" w:space="0" w:color="000000"/>
            </w:tcBorders>
          </w:tcPr>
          <w:p>
            <w:pPr>
              <w:pStyle w:val="TableParagraph"/>
              <w:spacing w:line="228" w:lineRule="exact"/>
              <w:ind w:left="122"/>
              <w:rPr>
                <w:b/>
                <w:sz w:val="20"/>
              </w:rPr>
            </w:pPr>
            <w:r>
              <w:rPr>
                <w:b/>
                <w:position w:val="1"/>
                <w:sz w:val="20"/>
              </w:rPr>
              <w:t>ln(Ürün</w:t>
            </w:r>
            <w:r>
              <w:rPr>
                <w:b/>
                <w:i/>
                <w:sz w:val="13"/>
              </w:rPr>
              <w:t>it</w:t>
            </w:r>
            <w:r>
              <w:rPr>
                <w:b/>
                <w:position w:val="1"/>
                <w:sz w:val="20"/>
              </w:rPr>
              <w:t>)</w:t>
            </w:r>
          </w:p>
        </w:tc>
        <w:tc>
          <w:tcPr>
            <w:tcW w:w="6723" w:type="dxa"/>
            <w:tcBorders>
              <w:bottom w:val="single" w:sz="4" w:space="0" w:color="000000"/>
            </w:tcBorders>
          </w:tcPr>
          <w:p>
            <w:pPr>
              <w:pStyle w:val="TableParagraph"/>
              <w:spacing w:line="230" w:lineRule="exact" w:before="1"/>
              <w:ind w:left="308" w:right="1040"/>
              <w:rPr>
                <w:sz w:val="20"/>
              </w:rPr>
            </w:pPr>
            <w:r>
              <w:rPr>
                <w:sz w:val="20"/>
              </w:rPr>
              <w:t>Satıcı </w:t>
            </w:r>
            <w:r>
              <w:rPr>
                <w:i/>
                <w:sz w:val="20"/>
              </w:rPr>
              <w:t>i </w:t>
            </w:r>
            <w:r>
              <w:rPr>
                <w:sz w:val="20"/>
              </w:rPr>
              <w:t>‘nin </w:t>
            </w:r>
            <w:r>
              <w:rPr>
                <w:i/>
                <w:sz w:val="20"/>
              </w:rPr>
              <w:t>t </w:t>
            </w:r>
            <w:r>
              <w:rPr>
                <w:sz w:val="20"/>
              </w:rPr>
              <w:t>haftasına kadarki satıştaki ürün çeşidi sayısının doğal logaritması</w:t>
            </w:r>
          </w:p>
        </w:tc>
      </w:tr>
      <w:tr>
        <w:trPr>
          <w:trHeight w:val="457" w:hRule="atLeast"/>
        </w:trPr>
        <w:tc>
          <w:tcPr>
            <w:tcW w:w="8805" w:type="dxa"/>
            <w:gridSpan w:val="2"/>
            <w:tcBorders>
              <w:top w:val="single" w:sz="4" w:space="0" w:color="000000"/>
              <w:bottom w:val="single" w:sz="4" w:space="0" w:color="000000"/>
            </w:tcBorders>
          </w:tcPr>
          <w:p>
            <w:pPr>
              <w:pStyle w:val="TableParagraph"/>
              <w:spacing w:line="227" w:lineRule="exact"/>
              <w:ind w:left="122"/>
              <w:rPr>
                <w:b/>
                <w:sz w:val="20"/>
              </w:rPr>
            </w:pPr>
            <w:r>
              <w:rPr>
                <w:b/>
                <w:sz w:val="20"/>
              </w:rPr>
              <w:t>Not: </w:t>
            </w:r>
            <w:r>
              <w:rPr>
                <w:b/>
                <w:i/>
                <w:sz w:val="20"/>
              </w:rPr>
              <w:t>i </w:t>
            </w:r>
            <w:r>
              <w:rPr>
                <w:b/>
                <w:sz w:val="20"/>
              </w:rPr>
              <w:t>= 1, 2, … N yatay kesit birimi (satıcı)</w:t>
            </w:r>
          </w:p>
          <w:p>
            <w:pPr>
              <w:pStyle w:val="TableParagraph"/>
              <w:spacing w:line="210" w:lineRule="exact"/>
              <w:ind w:left="525"/>
              <w:rPr>
                <w:b/>
                <w:sz w:val="20"/>
              </w:rPr>
            </w:pPr>
            <w:r>
              <w:rPr>
                <w:b/>
                <w:i/>
                <w:sz w:val="20"/>
              </w:rPr>
              <w:t>t </w:t>
            </w:r>
            <w:r>
              <w:rPr>
                <w:b/>
                <w:sz w:val="20"/>
              </w:rPr>
              <w:t>= 1, 2, … T zaman serisi boyutu (hafta)</w:t>
            </w:r>
          </w:p>
        </w:tc>
      </w:tr>
    </w:tbl>
    <w:p>
      <w:pPr>
        <w:spacing w:after="0" w:line="210" w:lineRule="exact"/>
        <w:rPr>
          <w:sz w:val="20"/>
        </w:rPr>
        <w:sectPr>
          <w:pgSz w:w="12240" w:h="15840"/>
          <w:pgMar w:header="718" w:footer="0" w:top="1300" w:bottom="280" w:left="1720" w:right="820"/>
        </w:sectPr>
      </w:pPr>
    </w:p>
    <w:p>
      <w:pPr>
        <w:pStyle w:val="Heading1"/>
        <w:numPr>
          <w:ilvl w:val="3"/>
          <w:numId w:val="3"/>
        </w:numPr>
        <w:tabs>
          <w:tab w:pos="2037" w:val="left" w:leader="none"/>
        </w:tabs>
        <w:spacing w:line="240" w:lineRule="auto" w:before="100" w:after="0"/>
        <w:ind w:left="2036" w:right="0" w:hanging="781"/>
        <w:jc w:val="both"/>
      </w:pPr>
      <w:r>
        <w:rPr/>
        <w:t>Bağımlı Değişken</w:t>
      </w:r>
    </w:p>
    <w:p>
      <w:pPr>
        <w:pStyle w:val="BodyText"/>
        <w:spacing w:line="360" w:lineRule="auto" w:before="137"/>
        <w:ind w:right="310" w:firstLine="708"/>
      </w:pPr>
      <w:r>
        <w:rPr/>
        <w:t>Etsy, satıcıların profil sayfalarında kaç adet ürün sattıkları bilgisini yayınlamaktadır. Böylece, süreç içerisinde satıcıların satış miktarlarındaki değişim gözlemlenebilmektedir. Satıcıya yapılan yorumların satışlara etkisini irdelemeyi amaçlayan bu çalışma için de satış </w:t>
      </w:r>
      <w:r>
        <w:rPr>
          <w:position w:val="2"/>
        </w:rPr>
        <w:t>miktarı verileri toplanmış ve satış miktarının doğal logaritması (</w:t>
      </w:r>
      <w:r>
        <w:rPr>
          <w:i/>
          <w:position w:val="2"/>
        </w:rPr>
        <w:t>ln(Satış</w:t>
      </w:r>
      <w:r>
        <w:rPr>
          <w:i/>
          <w:sz w:val="16"/>
        </w:rPr>
        <w:t>it</w:t>
      </w:r>
      <w:r>
        <w:rPr>
          <w:i/>
          <w:position w:val="2"/>
        </w:rPr>
        <w:t>)</w:t>
      </w:r>
      <w:r>
        <w:rPr>
          <w:position w:val="2"/>
        </w:rPr>
        <w:t>) bağımlı</w:t>
      </w:r>
      <w:r>
        <w:rPr>
          <w:spacing w:val="-28"/>
          <w:position w:val="2"/>
        </w:rPr>
        <w:t> </w:t>
      </w:r>
      <w:r>
        <w:rPr>
          <w:position w:val="2"/>
        </w:rPr>
        <w:t>değişken </w:t>
      </w:r>
      <w:r>
        <w:rPr/>
        <w:t>olarak</w:t>
      </w:r>
      <w:r>
        <w:rPr>
          <w:spacing w:val="-1"/>
        </w:rPr>
        <w:t> </w:t>
      </w:r>
      <w:r>
        <w:rPr/>
        <w:t>belirlenmiştir.</w:t>
      </w:r>
    </w:p>
    <w:p>
      <w:pPr>
        <w:pStyle w:val="Heading1"/>
        <w:numPr>
          <w:ilvl w:val="3"/>
          <w:numId w:val="3"/>
        </w:numPr>
        <w:tabs>
          <w:tab w:pos="2037" w:val="left" w:leader="none"/>
        </w:tabs>
        <w:spacing w:line="240" w:lineRule="auto" w:before="119" w:after="0"/>
        <w:ind w:left="2036" w:right="0" w:hanging="781"/>
        <w:jc w:val="both"/>
      </w:pPr>
      <w:r>
        <w:rPr/>
        <w:t>Bağımsız</w:t>
      </w:r>
      <w:r>
        <w:rPr>
          <w:spacing w:val="-2"/>
        </w:rPr>
        <w:t> </w:t>
      </w:r>
      <w:r>
        <w:rPr/>
        <w:t>Değişkenler</w:t>
      </w:r>
    </w:p>
    <w:p>
      <w:pPr>
        <w:pStyle w:val="BodyText"/>
        <w:spacing w:line="360" w:lineRule="auto" w:before="137"/>
        <w:ind w:right="308" w:firstLine="708"/>
      </w:pPr>
      <w:r>
        <w:rPr/>
        <w:t>Araştırmanın bağımsız değişkenleri yorumların hacim ve değerliklerini yansıtan değişkenlerden oluşmaktadır. Yorum sayısı, hacim göstergesi olarak alınmış ve toplam </w:t>
      </w:r>
      <w:r>
        <w:rPr>
          <w:position w:val="2"/>
        </w:rPr>
        <w:t>yorum sayısının doğal logaritması (</w:t>
      </w:r>
      <w:r>
        <w:rPr>
          <w:i/>
          <w:position w:val="2"/>
        </w:rPr>
        <w:t>ln(ToplamYorum</w:t>
      </w:r>
      <w:r>
        <w:rPr>
          <w:i/>
          <w:sz w:val="16"/>
        </w:rPr>
        <w:t>it</w:t>
      </w:r>
      <w:r>
        <w:rPr>
          <w:i/>
          <w:position w:val="2"/>
        </w:rPr>
        <w:t>)</w:t>
      </w:r>
      <w:r>
        <w:rPr>
          <w:position w:val="2"/>
        </w:rPr>
        <w:t>) bağımsız değişken olarak modellere </w:t>
      </w:r>
      <w:r>
        <w:rPr/>
        <w:t>dahil edilmiştir. Yorum değerliği için ise birden fazla değişken modellere dahil edilmiştir. Öncelikli olarak, değerlik ile ilgili özet bilgiler Etsy tarafından sunulmamaktadır. Satıcı için yapılan yorumlar ve her bir yorumda verilen değerlendirme puanları (1-5 yıldız arası) bir Chrome eklentisi olan Web Scraper (bknz. Bölüm 3.2.3) aracılığıyla toplanmıştır. Yorum yapanların satıcıya verdikleri değerlendirme puanlarının (1-5 yıldız arası) aritmetik </w:t>
      </w:r>
      <w:r>
        <w:rPr>
          <w:position w:val="2"/>
        </w:rPr>
        <w:t>ortalaması hesaplanmış ve bu hesaplanan ortalama puanın doğal logaritması</w:t>
      </w:r>
      <w:r>
        <w:rPr>
          <w:spacing w:val="-38"/>
          <w:position w:val="2"/>
        </w:rPr>
        <w:t> </w:t>
      </w:r>
      <w:r>
        <w:rPr>
          <w:position w:val="2"/>
        </w:rPr>
        <w:t>(</w:t>
      </w:r>
      <w:r>
        <w:rPr>
          <w:i/>
          <w:position w:val="2"/>
        </w:rPr>
        <w:t>ln(Ort.Puan</w:t>
      </w:r>
      <w:r>
        <w:rPr>
          <w:i/>
          <w:sz w:val="16"/>
        </w:rPr>
        <w:t>it</w:t>
      </w:r>
      <w:r>
        <w:rPr>
          <w:i/>
          <w:position w:val="2"/>
        </w:rPr>
        <w:t>)</w:t>
      </w:r>
      <w:r>
        <w:rPr>
          <w:position w:val="2"/>
        </w:rPr>
        <w:t>) </w:t>
      </w:r>
      <w:r>
        <w:rPr/>
        <w:t>bağımsız değişken olarak modellere dahil edilmiştir. Ayrıca, her bir yıldız için ayrı bir değişken oluşturmak yerine, literatürde de kullanılan, olumlu ve olumsuz olarak yıldızları kategorileştirme işlemi yapılmıştır (Pan ve Zhang, 2011; Ahmad ve Laroche, 2017). 1 ve 2 yıldız sayıları toplanmış ve doğal logaritması alınarak olumsuz yorum değişkeni </w:t>
      </w:r>
      <w:r>
        <w:rPr>
          <w:position w:val="2"/>
        </w:rPr>
        <w:t>(</w:t>
      </w:r>
      <w:r>
        <w:rPr>
          <w:i/>
          <w:position w:val="2"/>
        </w:rPr>
        <w:t>ln(Olumsuz</w:t>
      </w:r>
      <w:r>
        <w:rPr>
          <w:i/>
          <w:sz w:val="16"/>
        </w:rPr>
        <w:t>it</w:t>
      </w:r>
      <w:r>
        <w:rPr>
          <w:i/>
          <w:position w:val="2"/>
        </w:rPr>
        <w:t>)</w:t>
      </w:r>
      <w:r>
        <w:rPr>
          <w:position w:val="2"/>
        </w:rPr>
        <w:t>) oluşturulmuştur. Benzer şekilde, 4 ve 5 yıldız sayıları toplanmış ve doğal logaritması alınarak olumlu yorum değişkeni (</w:t>
      </w:r>
      <w:r>
        <w:rPr>
          <w:i/>
          <w:position w:val="2"/>
        </w:rPr>
        <w:t>ln(Olumlu</w:t>
      </w:r>
      <w:r>
        <w:rPr>
          <w:i/>
          <w:sz w:val="16"/>
        </w:rPr>
        <w:t>it</w:t>
      </w:r>
      <w:r>
        <w:rPr>
          <w:i/>
          <w:position w:val="2"/>
        </w:rPr>
        <w:t>)) </w:t>
      </w:r>
      <w:r>
        <w:rPr>
          <w:position w:val="2"/>
        </w:rPr>
        <w:t>oluşturulmuştur. Son olarak, 3 yıldız</w:t>
      </w:r>
      <w:r>
        <w:rPr>
          <w:spacing w:val="-10"/>
          <w:position w:val="2"/>
        </w:rPr>
        <w:t> </w:t>
      </w:r>
      <w:r>
        <w:rPr>
          <w:position w:val="2"/>
        </w:rPr>
        <w:t>sayısının</w:t>
      </w:r>
      <w:r>
        <w:rPr>
          <w:spacing w:val="-8"/>
          <w:position w:val="2"/>
        </w:rPr>
        <w:t> </w:t>
      </w:r>
      <w:r>
        <w:rPr>
          <w:position w:val="2"/>
        </w:rPr>
        <w:t>doğal</w:t>
      </w:r>
      <w:r>
        <w:rPr>
          <w:spacing w:val="-8"/>
          <w:position w:val="2"/>
        </w:rPr>
        <w:t> </w:t>
      </w:r>
      <w:r>
        <w:rPr>
          <w:position w:val="2"/>
        </w:rPr>
        <w:t>logaritması</w:t>
      </w:r>
      <w:r>
        <w:rPr>
          <w:spacing w:val="-8"/>
          <w:position w:val="2"/>
        </w:rPr>
        <w:t> </w:t>
      </w:r>
      <w:r>
        <w:rPr>
          <w:position w:val="2"/>
        </w:rPr>
        <w:t>alınarak</w:t>
      </w:r>
      <w:r>
        <w:rPr>
          <w:spacing w:val="-10"/>
          <w:position w:val="2"/>
        </w:rPr>
        <w:t> </w:t>
      </w:r>
      <w:r>
        <w:rPr>
          <w:position w:val="2"/>
        </w:rPr>
        <w:t>nötr</w:t>
      </w:r>
      <w:r>
        <w:rPr>
          <w:spacing w:val="-9"/>
          <w:position w:val="2"/>
        </w:rPr>
        <w:t> </w:t>
      </w:r>
      <w:r>
        <w:rPr>
          <w:position w:val="2"/>
        </w:rPr>
        <w:t>yorum</w:t>
      </w:r>
      <w:r>
        <w:rPr>
          <w:spacing w:val="-8"/>
          <w:position w:val="2"/>
        </w:rPr>
        <w:t> </w:t>
      </w:r>
      <w:r>
        <w:rPr>
          <w:position w:val="2"/>
        </w:rPr>
        <w:t>değişkeni</w:t>
      </w:r>
      <w:r>
        <w:rPr>
          <w:spacing w:val="-8"/>
          <w:position w:val="2"/>
        </w:rPr>
        <w:t> </w:t>
      </w:r>
      <w:r>
        <w:rPr>
          <w:position w:val="2"/>
        </w:rPr>
        <w:t>(</w:t>
      </w:r>
      <w:r>
        <w:rPr>
          <w:i/>
          <w:position w:val="2"/>
        </w:rPr>
        <w:t>ln(Nötr</w:t>
      </w:r>
      <w:r>
        <w:rPr>
          <w:i/>
          <w:sz w:val="16"/>
        </w:rPr>
        <w:t>it</w:t>
      </w:r>
      <w:r>
        <w:rPr>
          <w:i/>
          <w:position w:val="2"/>
        </w:rPr>
        <w:t>)</w:t>
      </w:r>
      <w:r>
        <w:rPr>
          <w:position w:val="2"/>
        </w:rPr>
        <w:t>)</w:t>
      </w:r>
      <w:r>
        <w:rPr>
          <w:spacing w:val="-13"/>
          <w:position w:val="2"/>
        </w:rPr>
        <w:t> </w:t>
      </w:r>
      <w:r>
        <w:rPr>
          <w:position w:val="2"/>
        </w:rPr>
        <w:t>olarak</w:t>
      </w:r>
      <w:r>
        <w:rPr>
          <w:spacing w:val="-9"/>
          <w:position w:val="2"/>
        </w:rPr>
        <w:t> </w:t>
      </w:r>
      <w:r>
        <w:rPr>
          <w:position w:val="2"/>
        </w:rPr>
        <w:t>modellere </w:t>
      </w:r>
      <w:r>
        <w:rPr/>
        <w:t>dahil</w:t>
      </w:r>
      <w:r>
        <w:rPr>
          <w:spacing w:val="-1"/>
        </w:rPr>
        <w:t> </w:t>
      </w:r>
      <w:r>
        <w:rPr/>
        <w:t>edilmiştir.</w:t>
      </w:r>
    </w:p>
    <w:p>
      <w:pPr>
        <w:pStyle w:val="Heading1"/>
        <w:numPr>
          <w:ilvl w:val="3"/>
          <w:numId w:val="3"/>
        </w:numPr>
        <w:tabs>
          <w:tab w:pos="2037" w:val="left" w:leader="none"/>
        </w:tabs>
        <w:spacing w:line="240" w:lineRule="auto" w:before="107" w:after="0"/>
        <w:ind w:left="2036" w:right="0" w:hanging="781"/>
        <w:jc w:val="both"/>
      </w:pPr>
      <w:r>
        <w:rPr/>
        <w:t>Kontrol</w:t>
      </w:r>
      <w:r>
        <w:rPr>
          <w:spacing w:val="-1"/>
        </w:rPr>
        <w:t> </w:t>
      </w:r>
      <w:r>
        <w:rPr/>
        <w:t>Değişkenleri</w:t>
      </w:r>
    </w:p>
    <w:p>
      <w:pPr>
        <w:pStyle w:val="BodyText"/>
        <w:spacing w:line="360" w:lineRule="auto" w:before="140"/>
        <w:ind w:right="310" w:firstLine="708"/>
      </w:pPr>
      <w:r>
        <w:rPr/>
        <w:t>Hacim ve değerlik değişkenleri dışında, hipotez testlerine dahil edilmeyen, ancak alıcıların satın alma kararlarında etkili olabilecek kontrol değişkenleri de modellere dahil edilmiştir. Etsy’de satıcılara yapılan yorumların yanı sıra satıcıları kaç kişinin favori satıcı olarak eklediği ve o anda satıcının kaç ürün çeşidini satışa sunduğu bilgileri de yer almaktadır.</w:t>
      </w:r>
      <w:r>
        <w:rPr>
          <w:spacing w:val="-7"/>
        </w:rPr>
        <w:t> </w:t>
      </w:r>
      <w:r>
        <w:rPr/>
        <w:t>Favoriye</w:t>
      </w:r>
      <w:r>
        <w:rPr>
          <w:spacing w:val="-7"/>
        </w:rPr>
        <w:t> </w:t>
      </w:r>
      <w:r>
        <w:rPr/>
        <w:t>eklenme</w:t>
      </w:r>
      <w:r>
        <w:rPr>
          <w:spacing w:val="-7"/>
        </w:rPr>
        <w:t> </w:t>
      </w:r>
      <w:r>
        <w:rPr/>
        <w:t>sayısı</w:t>
      </w:r>
      <w:r>
        <w:rPr>
          <w:spacing w:val="-5"/>
        </w:rPr>
        <w:t> </w:t>
      </w:r>
      <w:r>
        <w:rPr/>
        <w:t>ne</w:t>
      </w:r>
      <w:r>
        <w:rPr>
          <w:spacing w:val="-7"/>
        </w:rPr>
        <w:t> </w:t>
      </w:r>
      <w:r>
        <w:rPr/>
        <w:t>kadar</w:t>
      </w:r>
      <w:r>
        <w:rPr>
          <w:spacing w:val="-7"/>
        </w:rPr>
        <w:t> </w:t>
      </w:r>
      <w:r>
        <w:rPr/>
        <w:t>çok</w:t>
      </w:r>
      <w:r>
        <w:rPr>
          <w:spacing w:val="-6"/>
        </w:rPr>
        <w:t> </w:t>
      </w:r>
      <w:r>
        <w:rPr/>
        <w:t>ise</w:t>
      </w:r>
      <w:r>
        <w:rPr>
          <w:spacing w:val="-7"/>
        </w:rPr>
        <w:t> </w:t>
      </w:r>
      <w:r>
        <w:rPr/>
        <w:t>o</w:t>
      </w:r>
      <w:r>
        <w:rPr>
          <w:spacing w:val="-7"/>
        </w:rPr>
        <w:t> </w:t>
      </w:r>
      <w:r>
        <w:rPr/>
        <w:t>kadar</w:t>
      </w:r>
      <w:r>
        <w:rPr>
          <w:spacing w:val="-7"/>
        </w:rPr>
        <w:t> </w:t>
      </w:r>
      <w:r>
        <w:rPr/>
        <w:t>çok</w:t>
      </w:r>
      <w:r>
        <w:rPr>
          <w:spacing w:val="-6"/>
        </w:rPr>
        <w:t> </w:t>
      </w:r>
      <w:r>
        <w:rPr/>
        <w:t>potansiyel</w:t>
      </w:r>
      <w:r>
        <w:rPr>
          <w:spacing w:val="-6"/>
        </w:rPr>
        <w:t> </w:t>
      </w:r>
      <w:r>
        <w:rPr/>
        <w:t>alıcı</w:t>
      </w:r>
      <w:r>
        <w:rPr>
          <w:spacing w:val="-6"/>
        </w:rPr>
        <w:t> </w:t>
      </w:r>
      <w:r>
        <w:rPr/>
        <w:t>olabileceği çıkarımıyla favori sayısının doğrudan satış miktarını etkileyebileceği gibi satıcının ne</w:t>
      </w:r>
      <w:r>
        <w:rPr>
          <w:spacing w:val="20"/>
        </w:rPr>
        <w:t> </w:t>
      </w:r>
      <w:r>
        <w:rPr/>
        <w:t>kadar</w:t>
      </w:r>
    </w:p>
    <w:p>
      <w:pPr>
        <w:spacing w:after="0" w:line="360" w:lineRule="auto"/>
        <w:sectPr>
          <w:pgSz w:w="12240" w:h="15840"/>
          <w:pgMar w:header="718" w:footer="0" w:top="1300" w:bottom="280" w:left="1720" w:right="820"/>
        </w:sectPr>
      </w:pPr>
    </w:p>
    <w:p>
      <w:pPr>
        <w:pStyle w:val="BodyText"/>
        <w:spacing w:line="360" w:lineRule="auto" w:before="100"/>
        <w:ind w:right="314"/>
      </w:pPr>
      <w:r>
        <w:rPr/>
        <w:t>çok tercih edildiği konusunda alıcılara ipucu vererek dolaylı olarak da satış miktarını etkileyebileceği düşünülmüştür. Ayrıca, ne kadar çok çeşitli ürün satışta ise o kadar çok potansiyel satış olabileceği varsayılarak ürün çeşidi sayısı ile satışlar arasında ilişki olabileceği düşünülmüştür. Bu sebeplerle, favoriye eklenme sayısı ile ürün çeşidi sayısının satışlara etkisini kontrol edebilmek adına favori eklenme sayısının ve ürün çeşidi sayısının </w:t>
      </w:r>
      <w:r>
        <w:rPr>
          <w:position w:val="2"/>
        </w:rPr>
        <w:t>doğal logaritmaları (</w:t>
      </w:r>
      <w:r>
        <w:rPr>
          <w:i/>
          <w:position w:val="2"/>
        </w:rPr>
        <w:t>ln(Favori</w:t>
      </w:r>
      <w:r>
        <w:rPr>
          <w:i/>
          <w:sz w:val="16"/>
        </w:rPr>
        <w:t>it</w:t>
      </w:r>
      <w:r>
        <w:rPr>
          <w:i/>
          <w:position w:val="2"/>
        </w:rPr>
        <w:t>) </w:t>
      </w:r>
      <w:r>
        <w:rPr>
          <w:position w:val="2"/>
        </w:rPr>
        <w:t>ve </w:t>
      </w:r>
      <w:r>
        <w:rPr>
          <w:i/>
          <w:position w:val="2"/>
        </w:rPr>
        <w:t>ln(Ürün</w:t>
      </w:r>
      <w:r>
        <w:rPr>
          <w:i/>
          <w:sz w:val="16"/>
        </w:rPr>
        <w:t>it</w:t>
      </w:r>
      <w:r>
        <w:rPr>
          <w:i/>
          <w:position w:val="2"/>
        </w:rPr>
        <w:t>)</w:t>
      </w:r>
      <w:r>
        <w:rPr>
          <w:position w:val="2"/>
        </w:rPr>
        <w:t>) modellere eklenmiştir.</w:t>
      </w:r>
    </w:p>
    <w:p>
      <w:pPr>
        <w:pStyle w:val="Heading1"/>
        <w:numPr>
          <w:ilvl w:val="2"/>
          <w:numId w:val="3"/>
        </w:numPr>
        <w:tabs>
          <w:tab w:pos="1857" w:val="left" w:leader="none"/>
        </w:tabs>
        <w:spacing w:line="240" w:lineRule="auto" w:before="118" w:after="0"/>
        <w:ind w:left="1856" w:right="0" w:hanging="601"/>
        <w:jc w:val="both"/>
      </w:pPr>
      <w:r>
        <w:rPr/>
        <w:t>Model</w:t>
      </w:r>
      <w:r>
        <w:rPr>
          <w:spacing w:val="-1"/>
        </w:rPr>
        <w:t> </w:t>
      </w:r>
      <w:r>
        <w:rPr/>
        <w:t>Geliştirme</w:t>
      </w:r>
    </w:p>
    <w:p>
      <w:pPr>
        <w:pStyle w:val="BodyText"/>
        <w:spacing w:line="360" w:lineRule="auto" w:before="137"/>
        <w:ind w:right="309" w:firstLine="708"/>
      </w:pPr>
      <w:r>
        <w:rPr/>
        <w:t>Amazon.com verileriyle yapılan uygulama bölümünde aktarıldığı gibi yorumlar ve satışlar</w:t>
      </w:r>
      <w:r>
        <w:rPr>
          <w:spacing w:val="-12"/>
        </w:rPr>
        <w:t> </w:t>
      </w:r>
      <w:r>
        <w:rPr/>
        <w:t>arasındaki</w:t>
      </w:r>
      <w:r>
        <w:rPr>
          <w:spacing w:val="-11"/>
        </w:rPr>
        <w:t> </w:t>
      </w:r>
      <w:r>
        <w:rPr/>
        <w:t>ilişkiden</w:t>
      </w:r>
      <w:r>
        <w:rPr>
          <w:spacing w:val="-10"/>
        </w:rPr>
        <w:t> </w:t>
      </w:r>
      <w:r>
        <w:rPr/>
        <w:t>kaynaklı</w:t>
      </w:r>
      <w:r>
        <w:rPr>
          <w:spacing w:val="-10"/>
        </w:rPr>
        <w:t> </w:t>
      </w:r>
      <w:r>
        <w:rPr/>
        <w:t>içsellik</w:t>
      </w:r>
      <w:r>
        <w:rPr>
          <w:spacing w:val="-9"/>
        </w:rPr>
        <w:t> </w:t>
      </w:r>
      <w:r>
        <w:rPr/>
        <w:t>sorunu</w:t>
      </w:r>
      <w:r>
        <w:rPr>
          <w:spacing w:val="-11"/>
        </w:rPr>
        <w:t> </w:t>
      </w:r>
      <w:r>
        <w:rPr/>
        <w:t>ve</w:t>
      </w:r>
      <w:r>
        <w:rPr>
          <w:spacing w:val="-11"/>
        </w:rPr>
        <w:t> </w:t>
      </w:r>
      <w:r>
        <w:rPr/>
        <w:t>satışların</w:t>
      </w:r>
      <w:r>
        <w:rPr>
          <w:spacing w:val="-10"/>
        </w:rPr>
        <w:t> </w:t>
      </w:r>
      <w:r>
        <w:rPr/>
        <w:t>geçmiş</w:t>
      </w:r>
      <w:r>
        <w:rPr>
          <w:spacing w:val="-11"/>
        </w:rPr>
        <w:t> </w:t>
      </w:r>
      <w:r>
        <w:rPr/>
        <w:t>dönem</w:t>
      </w:r>
      <w:r>
        <w:rPr>
          <w:spacing w:val="-9"/>
        </w:rPr>
        <w:t> </w:t>
      </w:r>
      <w:r>
        <w:rPr/>
        <w:t>satışlarından etkilenmesinden dolayı verinin dinamik panel veri olarak analiz edilmesi gerektiği düşünülmüştür. Bu sebeple, hipotezleri test etmek için Genelleştirilmiş Momentler Yöntemi (GMM) modellerinin kullanılmasına karar verilmiştir. Bölüm 2.2.5.1.’de GMM ile ilgili genel bilgiler</w:t>
      </w:r>
      <w:r>
        <w:rPr>
          <w:spacing w:val="-3"/>
        </w:rPr>
        <w:t> </w:t>
      </w:r>
      <w:r>
        <w:rPr/>
        <w:t>sunulmuştur.</w:t>
      </w:r>
    </w:p>
    <w:p>
      <w:pPr>
        <w:pStyle w:val="BodyText"/>
        <w:spacing w:before="1"/>
        <w:ind w:left="1256"/>
      </w:pPr>
      <w:r>
        <w:rPr/>
        <w:t>Denklem</w:t>
      </w:r>
      <w:r>
        <w:rPr>
          <w:spacing w:val="9"/>
        </w:rPr>
        <w:t> </w:t>
      </w:r>
      <w:r>
        <w:rPr/>
        <w:t>(1),</w:t>
      </w:r>
      <w:r>
        <w:rPr>
          <w:spacing w:val="12"/>
        </w:rPr>
        <w:t> </w:t>
      </w:r>
      <w:r>
        <w:rPr/>
        <w:t>temel</w:t>
      </w:r>
      <w:r>
        <w:rPr>
          <w:spacing w:val="13"/>
        </w:rPr>
        <w:t> </w:t>
      </w:r>
      <w:r>
        <w:rPr/>
        <w:t>dinamik</w:t>
      </w:r>
      <w:r>
        <w:rPr>
          <w:spacing w:val="11"/>
        </w:rPr>
        <w:t> </w:t>
      </w:r>
      <w:r>
        <w:rPr/>
        <w:t>modeli</w:t>
      </w:r>
      <w:r>
        <w:rPr>
          <w:spacing w:val="10"/>
        </w:rPr>
        <w:t> </w:t>
      </w:r>
      <w:r>
        <w:rPr/>
        <w:t>basitleştirilmiş</w:t>
      </w:r>
      <w:r>
        <w:rPr>
          <w:spacing w:val="11"/>
        </w:rPr>
        <w:t> </w:t>
      </w:r>
      <w:r>
        <w:rPr/>
        <w:t>olarak</w:t>
      </w:r>
      <w:r>
        <w:rPr>
          <w:spacing w:val="10"/>
        </w:rPr>
        <w:t> </w:t>
      </w:r>
      <w:r>
        <w:rPr/>
        <w:t>ifade</w:t>
      </w:r>
      <w:r>
        <w:rPr>
          <w:spacing w:val="9"/>
        </w:rPr>
        <w:t> </w:t>
      </w:r>
      <w:r>
        <w:rPr/>
        <w:t>etmektedir.</w:t>
      </w:r>
      <w:r>
        <w:rPr>
          <w:spacing w:val="9"/>
        </w:rPr>
        <w:t> </w:t>
      </w:r>
      <w:r>
        <w:rPr/>
        <w:t>Burada</w:t>
      </w:r>
    </w:p>
    <w:p>
      <w:pPr>
        <w:pStyle w:val="BodyText"/>
        <w:spacing w:before="139"/>
      </w:pPr>
      <w:r>
        <w:rPr>
          <w:i/>
        </w:rPr>
        <w:t>S</w:t>
      </w:r>
      <w:r>
        <w:rPr>
          <w:i/>
          <w:spacing w:val="8"/>
        </w:rPr>
        <w:t> </w:t>
      </w:r>
      <w:r>
        <w:rPr/>
        <w:t>satış</w:t>
      </w:r>
      <w:r>
        <w:rPr>
          <w:spacing w:val="8"/>
        </w:rPr>
        <w:t> </w:t>
      </w:r>
      <w:r>
        <w:rPr/>
        <w:t>miktarını,</w:t>
      </w:r>
      <w:r>
        <w:rPr>
          <w:spacing w:val="10"/>
        </w:rPr>
        <w:t> </w:t>
      </w:r>
      <w:r>
        <w:rPr>
          <w:i/>
        </w:rPr>
        <w:t>H</w:t>
      </w:r>
      <w:r>
        <w:rPr>
          <w:i/>
          <w:spacing w:val="8"/>
        </w:rPr>
        <w:t> </w:t>
      </w:r>
      <w:r>
        <w:rPr/>
        <w:t>hacim</w:t>
      </w:r>
      <w:r>
        <w:rPr>
          <w:spacing w:val="10"/>
        </w:rPr>
        <w:t> </w:t>
      </w:r>
      <w:r>
        <w:rPr/>
        <w:t>değişkenini,</w:t>
      </w:r>
      <w:r>
        <w:rPr>
          <w:spacing w:val="9"/>
        </w:rPr>
        <w:t> </w:t>
      </w:r>
      <w:r>
        <w:rPr>
          <w:i/>
        </w:rPr>
        <w:t>D</w:t>
      </w:r>
      <w:r>
        <w:rPr>
          <w:i/>
          <w:spacing w:val="9"/>
        </w:rPr>
        <w:t> </w:t>
      </w:r>
      <w:r>
        <w:rPr/>
        <w:t>değerlik</w:t>
      </w:r>
      <w:r>
        <w:rPr>
          <w:spacing w:val="8"/>
        </w:rPr>
        <w:t> </w:t>
      </w:r>
      <w:r>
        <w:rPr/>
        <w:t>değişkenlerini,</w:t>
      </w:r>
      <w:r>
        <w:rPr>
          <w:spacing w:val="11"/>
        </w:rPr>
        <w:t> </w:t>
      </w:r>
      <w:r>
        <w:rPr>
          <w:i/>
        </w:rPr>
        <w:t>K</w:t>
      </w:r>
      <w:r>
        <w:rPr>
          <w:i/>
          <w:spacing w:val="9"/>
        </w:rPr>
        <w:t> </w:t>
      </w:r>
      <w:r>
        <w:rPr/>
        <w:t>kontrol</w:t>
      </w:r>
      <w:r>
        <w:rPr>
          <w:spacing w:val="8"/>
        </w:rPr>
        <w:t> </w:t>
      </w:r>
      <w:r>
        <w:rPr/>
        <w:t>değişkenlerini,</w:t>
      </w:r>
    </w:p>
    <w:p>
      <w:pPr>
        <w:spacing w:line="360" w:lineRule="auto" w:before="142"/>
        <w:ind w:left="548" w:right="308" w:firstLine="0"/>
        <w:jc w:val="both"/>
        <w:rPr>
          <w:sz w:val="24"/>
        </w:rPr>
      </w:pPr>
      <w:r>
        <w:rPr>
          <w:rFonts w:ascii="DejaVu Serif Condensed" w:hAnsi="DejaVu Serif Condensed" w:eastAsia="DejaVu Serif Condensed"/>
          <w:sz w:val="24"/>
        </w:rPr>
        <w:t>𝛼</w:t>
      </w:r>
      <w:r>
        <w:rPr>
          <w:rFonts w:ascii="DejaVu Serif Condensed" w:hAnsi="DejaVu Serif Condensed" w:eastAsia="DejaVu Serif Condensed"/>
          <w:sz w:val="24"/>
          <w:vertAlign w:val="subscript"/>
        </w:rPr>
        <w:t>𝑖</w:t>
      </w:r>
      <w:r>
        <w:rPr>
          <w:rFonts w:ascii="DejaVu Serif Condensed" w:hAnsi="DejaVu Serif Condensed" w:eastAsia="DejaVu Serif Condensed"/>
          <w:sz w:val="24"/>
          <w:vertAlign w:val="baseline"/>
        </w:rPr>
        <w:t> </w:t>
      </w:r>
      <w:r>
        <w:rPr>
          <w:sz w:val="24"/>
          <w:vertAlign w:val="baseline"/>
        </w:rPr>
        <w:t>birim sabit etkilerini ve </w:t>
      </w:r>
      <w:r>
        <w:rPr>
          <w:rFonts w:ascii="DejaVu Serif Condensed" w:hAnsi="DejaVu Serif Condensed" w:eastAsia="DejaVu Serif Condensed"/>
          <w:sz w:val="24"/>
          <w:vertAlign w:val="baseline"/>
        </w:rPr>
        <w:t>𝑢</w:t>
      </w:r>
      <w:r>
        <w:rPr>
          <w:rFonts w:ascii="DejaVu Serif Condensed" w:hAnsi="DejaVu Serif Condensed" w:eastAsia="DejaVu Serif Condensed"/>
          <w:sz w:val="24"/>
          <w:vertAlign w:val="subscript"/>
        </w:rPr>
        <w:t>𝑖,𝑡</w:t>
      </w:r>
      <w:r>
        <w:rPr>
          <w:rFonts w:ascii="DejaVu Serif Condensed" w:hAnsi="DejaVu Serif Condensed" w:eastAsia="DejaVu Serif Condensed"/>
          <w:sz w:val="24"/>
          <w:vertAlign w:val="baseline"/>
        </w:rPr>
        <w:t> </w:t>
      </w:r>
      <w:r>
        <w:rPr>
          <w:sz w:val="24"/>
          <w:vertAlign w:val="baseline"/>
        </w:rPr>
        <w:t>ise birim ve zaman boyutlarında gözlemlenemeyen etkileri göstermektedir.</w:t>
      </w:r>
      <w:r>
        <w:rPr>
          <w:spacing w:val="-10"/>
          <w:sz w:val="24"/>
          <w:vertAlign w:val="baseline"/>
        </w:rPr>
        <w:t> </w:t>
      </w:r>
      <w:r>
        <w:rPr>
          <w:sz w:val="24"/>
          <w:vertAlign w:val="baseline"/>
        </w:rPr>
        <w:t>Modelin</w:t>
      </w:r>
      <w:r>
        <w:rPr>
          <w:spacing w:val="-10"/>
          <w:sz w:val="24"/>
          <w:vertAlign w:val="baseline"/>
        </w:rPr>
        <w:t> </w:t>
      </w:r>
      <w:r>
        <w:rPr>
          <w:sz w:val="24"/>
          <w:vertAlign w:val="baseline"/>
        </w:rPr>
        <w:t>dönüştürülmüş</w:t>
      </w:r>
      <w:r>
        <w:rPr>
          <w:spacing w:val="-10"/>
          <w:sz w:val="24"/>
          <w:vertAlign w:val="baseline"/>
        </w:rPr>
        <w:t> </w:t>
      </w:r>
      <w:r>
        <w:rPr>
          <w:sz w:val="24"/>
          <w:vertAlign w:val="baseline"/>
        </w:rPr>
        <w:t>hali</w:t>
      </w:r>
      <w:r>
        <w:rPr>
          <w:spacing w:val="-9"/>
          <w:sz w:val="24"/>
          <w:vertAlign w:val="baseline"/>
        </w:rPr>
        <w:t> </w:t>
      </w:r>
      <w:r>
        <w:rPr>
          <w:sz w:val="24"/>
          <w:vertAlign w:val="baseline"/>
        </w:rPr>
        <w:t>Denklem</w:t>
      </w:r>
      <w:r>
        <w:rPr>
          <w:spacing w:val="-10"/>
          <w:sz w:val="24"/>
          <w:vertAlign w:val="baseline"/>
        </w:rPr>
        <w:t> </w:t>
      </w:r>
      <w:r>
        <w:rPr>
          <w:sz w:val="24"/>
          <w:vertAlign w:val="baseline"/>
        </w:rPr>
        <w:t>(2)’de</w:t>
      </w:r>
      <w:r>
        <w:rPr>
          <w:spacing w:val="-11"/>
          <w:sz w:val="24"/>
          <w:vertAlign w:val="baseline"/>
        </w:rPr>
        <w:t> </w:t>
      </w:r>
      <w:r>
        <w:rPr>
          <w:sz w:val="24"/>
          <w:vertAlign w:val="baseline"/>
        </w:rPr>
        <w:t>sunulmuştur.</w:t>
      </w:r>
      <w:r>
        <w:rPr>
          <w:spacing w:val="-7"/>
          <w:sz w:val="24"/>
          <w:vertAlign w:val="baseline"/>
        </w:rPr>
        <w:t> </w:t>
      </w:r>
      <w:r>
        <w:rPr>
          <w:sz w:val="24"/>
          <w:vertAlign w:val="baseline"/>
        </w:rPr>
        <w:t>Olumlu,</w:t>
      </w:r>
      <w:r>
        <w:rPr>
          <w:spacing w:val="-10"/>
          <w:sz w:val="24"/>
          <w:vertAlign w:val="baseline"/>
        </w:rPr>
        <w:t> </w:t>
      </w:r>
      <w:r>
        <w:rPr>
          <w:sz w:val="24"/>
          <w:vertAlign w:val="baseline"/>
        </w:rPr>
        <w:t>olumsuz </w:t>
      </w:r>
      <w:r>
        <w:rPr>
          <w:position w:val="2"/>
          <w:sz w:val="24"/>
          <w:vertAlign w:val="baseline"/>
        </w:rPr>
        <w:t>ve nötr yorumların toplamı toplam yorum sayısına eşit olduğundan dolayı, </w:t>
      </w:r>
      <w:r>
        <w:rPr>
          <w:i/>
          <w:position w:val="2"/>
          <w:sz w:val="24"/>
          <w:vertAlign w:val="baseline"/>
        </w:rPr>
        <w:t>ln(Olumlu</w:t>
      </w:r>
      <w:r>
        <w:rPr>
          <w:i/>
          <w:sz w:val="16"/>
          <w:vertAlign w:val="baseline"/>
        </w:rPr>
        <w:t>i,t</w:t>
      </w:r>
      <w:r>
        <w:rPr>
          <w:i/>
          <w:position w:val="2"/>
          <w:sz w:val="24"/>
          <w:vertAlign w:val="baseline"/>
        </w:rPr>
        <w:t>)</w:t>
      </w:r>
      <w:r>
        <w:rPr>
          <w:position w:val="2"/>
          <w:sz w:val="24"/>
          <w:vertAlign w:val="baseline"/>
        </w:rPr>
        <w:t>, </w:t>
      </w:r>
      <w:r>
        <w:rPr>
          <w:i/>
          <w:position w:val="2"/>
          <w:sz w:val="24"/>
          <w:vertAlign w:val="baseline"/>
        </w:rPr>
        <w:t>ln(Olumsuz</w:t>
      </w:r>
      <w:r>
        <w:rPr>
          <w:i/>
          <w:sz w:val="16"/>
          <w:vertAlign w:val="baseline"/>
        </w:rPr>
        <w:t>i,t</w:t>
      </w:r>
      <w:r>
        <w:rPr>
          <w:i/>
          <w:position w:val="2"/>
          <w:sz w:val="24"/>
          <w:vertAlign w:val="baseline"/>
        </w:rPr>
        <w:t>) </w:t>
      </w:r>
      <w:r>
        <w:rPr>
          <w:position w:val="2"/>
          <w:sz w:val="24"/>
          <w:vertAlign w:val="baseline"/>
        </w:rPr>
        <w:t>ve </w:t>
      </w:r>
      <w:r>
        <w:rPr>
          <w:i/>
          <w:position w:val="2"/>
          <w:sz w:val="24"/>
          <w:vertAlign w:val="baseline"/>
        </w:rPr>
        <w:t>ln(Nötr</w:t>
      </w:r>
      <w:r>
        <w:rPr>
          <w:i/>
          <w:sz w:val="16"/>
          <w:vertAlign w:val="baseline"/>
        </w:rPr>
        <w:t>i,t</w:t>
      </w:r>
      <w:r>
        <w:rPr>
          <w:i/>
          <w:position w:val="2"/>
          <w:sz w:val="24"/>
          <w:vertAlign w:val="baseline"/>
        </w:rPr>
        <w:t>) </w:t>
      </w:r>
      <w:r>
        <w:rPr>
          <w:position w:val="2"/>
          <w:sz w:val="24"/>
          <w:vertAlign w:val="baseline"/>
        </w:rPr>
        <w:t>değişkenleri </w:t>
      </w:r>
      <w:r>
        <w:rPr>
          <w:i/>
          <w:position w:val="2"/>
          <w:sz w:val="24"/>
          <w:vertAlign w:val="baseline"/>
        </w:rPr>
        <w:t>ln(ToplamYorum</w:t>
      </w:r>
      <w:r>
        <w:rPr>
          <w:i/>
          <w:sz w:val="16"/>
          <w:vertAlign w:val="baseline"/>
        </w:rPr>
        <w:t>i,t</w:t>
      </w:r>
      <w:r>
        <w:rPr>
          <w:i/>
          <w:position w:val="2"/>
          <w:sz w:val="24"/>
          <w:vertAlign w:val="baseline"/>
        </w:rPr>
        <w:t>) </w:t>
      </w:r>
      <w:r>
        <w:rPr>
          <w:position w:val="2"/>
          <w:sz w:val="24"/>
          <w:vertAlign w:val="baseline"/>
        </w:rPr>
        <w:t>değişkeni ile kolerasyon </w:t>
      </w:r>
      <w:r>
        <w:rPr>
          <w:sz w:val="24"/>
          <w:vertAlign w:val="baseline"/>
        </w:rPr>
        <w:t>göstereceklerdir. Bu sebeple çoklu doğrusallık sorunu olacaktır. Bu nedenle araştırma </w:t>
      </w:r>
      <w:r>
        <w:rPr>
          <w:position w:val="2"/>
          <w:sz w:val="24"/>
          <w:vertAlign w:val="baseline"/>
        </w:rPr>
        <w:t>modeli</w:t>
      </w:r>
      <w:r>
        <w:rPr>
          <w:spacing w:val="-15"/>
          <w:position w:val="2"/>
          <w:sz w:val="24"/>
          <w:vertAlign w:val="baseline"/>
        </w:rPr>
        <w:t> </w:t>
      </w:r>
      <w:r>
        <w:rPr>
          <w:position w:val="2"/>
          <w:sz w:val="24"/>
          <w:vertAlign w:val="baseline"/>
        </w:rPr>
        <w:t>iki</w:t>
      </w:r>
      <w:r>
        <w:rPr>
          <w:spacing w:val="-15"/>
          <w:position w:val="2"/>
          <w:sz w:val="24"/>
          <w:vertAlign w:val="baseline"/>
        </w:rPr>
        <w:t> </w:t>
      </w:r>
      <w:r>
        <w:rPr>
          <w:position w:val="2"/>
          <w:sz w:val="24"/>
          <w:vertAlign w:val="baseline"/>
        </w:rPr>
        <w:t>parçaya</w:t>
      </w:r>
      <w:r>
        <w:rPr>
          <w:spacing w:val="-16"/>
          <w:position w:val="2"/>
          <w:sz w:val="24"/>
          <w:vertAlign w:val="baseline"/>
        </w:rPr>
        <w:t> </w:t>
      </w:r>
      <w:r>
        <w:rPr>
          <w:position w:val="2"/>
          <w:sz w:val="24"/>
          <w:vertAlign w:val="baseline"/>
        </w:rPr>
        <w:t>ayrılmıştır.</w:t>
      </w:r>
      <w:r>
        <w:rPr>
          <w:spacing w:val="-15"/>
          <w:position w:val="2"/>
          <w:sz w:val="24"/>
          <w:vertAlign w:val="baseline"/>
        </w:rPr>
        <w:t> </w:t>
      </w:r>
      <w:r>
        <w:rPr>
          <w:position w:val="2"/>
          <w:sz w:val="24"/>
          <w:vertAlign w:val="baseline"/>
        </w:rPr>
        <w:t>İlk</w:t>
      </w:r>
      <w:r>
        <w:rPr>
          <w:spacing w:val="-15"/>
          <w:position w:val="2"/>
          <w:sz w:val="24"/>
          <w:vertAlign w:val="baseline"/>
        </w:rPr>
        <w:t> </w:t>
      </w:r>
      <w:r>
        <w:rPr>
          <w:position w:val="2"/>
          <w:sz w:val="24"/>
          <w:vertAlign w:val="baseline"/>
        </w:rPr>
        <w:t>modelde,</w:t>
      </w:r>
      <w:r>
        <w:rPr>
          <w:spacing w:val="30"/>
          <w:position w:val="2"/>
          <w:sz w:val="24"/>
          <w:vertAlign w:val="baseline"/>
        </w:rPr>
        <w:t> </w:t>
      </w:r>
      <w:r>
        <w:rPr>
          <w:i/>
          <w:position w:val="2"/>
          <w:sz w:val="24"/>
          <w:vertAlign w:val="baseline"/>
        </w:rPr>
        <w:t>ln(Olumlu</w:t>
      </w:r>
      <w:r>
        <w:rPr>
          <w:i/>
          <w:sz w:val="16"/>
          <w:vertAlign w:val="baseline"/>
        </w:rPr>
        <w:t>i,t</w:t>
      </w:r>
      <w:r>
        <w:rPr>
          <w:i/>
          <w:position w:val="2"/>
          <w:sz w:val="24"/>
          <w:vertAlign w:val="baseline"/>
        </w:rPr>
        <w:t>)</w:t>
      </w:r>
      <w:r>
        <w:rPr>
          <w:position w:val="2"/>
          <w:sz w:val="24"/>
          <w:vertAlign w:val="baseline"/>
        </w:rPr>
        <w:t>,</w:t>
      </w:r>
      <w:r>
        <w:rPr>
          <w:spacing w:val="-15"/>
          <w:position w:val="2"/>
          <w:sz w:val="24"/>
          <w:vertAlign w:val="baseline"/>
        </w:rPr>
        <w:t> </w:t>
      </w:r>
      <w:r>
        <w:rPr>
          <w:i/>
          <w:position w:val="2"/>
          <w:sz w:val="24"/>
          <w:vertAlign w:val="baseline"/>
        </w:rPr>
        <w:t>ln(Olumsuz</w:t>
      </w:r>
      <w:r>
        <w:rPr>
          <w:i/>
          <w:sz w:val="16"/>
          <w:vertAlign w:val="baseline"/>
        </w:rPr>
        <w:t>i,t</w:t>
      </w:r>
      <w:r>
        <w:rPr>
          <w:i/>
          <w:position w:val="2"/>
          <w:sz w:val="24"/>
          <w:vertAlign w:val="baseline"/>
        </w:rPr>
        <w:t>)</w:t>
      </w:r>
      <w:r>
        <w:rPr>
          <w:i/>
          <w:spacing w:val="-17"/>
          <w:position w:val="2"/>
          <w:sz w:val="24"/>
          <w:vertAlign w:val="baseline"/>
        </w:rPr>
        <w:t> </w:t>
      </w:r>
      <w:r>
        <w:rPr>
          <w:position w:val="2"/>
          <w:sz w:val="24"/>
          <w:vertAlign w:val="baseline"/>
        </w:rPr>
        <w:t>ve</w:t>
      </w:r>
      <w:r>
        <w:rPr>
          <w:spacing w:val="-16"/>
          <w:position w:val="2"/>
          <w:sz w:val="24"/>
          <w:vertAlign w:val="baseline"/>
        </w:rPr>
        <w:t> </w:t>
      </w:r>
      <w:r>
        <w:rPr>
          <w:i/>
          <w:position w:val="2"/>
          <w:sz w:val="24"/>
          <w:vertAlign w:val="baseline"/>
        </w:rPr>
        <w:t>ln(Nötr</w:t>
      </w:r>
      <w:r>
        <w:rPr>
          <w:i/>
          <w:sz w:val="16"/>
          <w:vertAlign w:val="baseline"/>
        </w:rPr>
        <w:t>i,t</w:t>
      </w:r>
      <w:r>
        <w:rPr>
          <w:i/>
          <w:position w:val="2"/>
          <w:sz w:val="24"/>
          <w:vertAlign w:val="baseline"/>
        </w:rPr>
        <w:t>)</w:t>
      </w:r>
      <w:r>
        <w:rPr>
          <w:i/>
          <w:spacing w:val="15"/>
          <w:position w:val="2"/>
          <w:sz w:val="24"/>
          <w:vertAlign w:val="baseline"/>
        </w:rPr>
        <w:t> </w:t>
      </w:r>
      <w:r>
        <w:rPr>
          <w:position w:val="2"/>
          <w:sz w:val="24"/>
          <w:vertAlign w:val="baseline"/>
        </w:rPr>
        <w:t>modele dahil</w:t>
      </w:r>
      <w:r>
        <w:rPr>
          <w:spacing w:val="-6"/>
          <w:position w:val="2"/>
          <w:sz w:val="24"/>
          <w:vertAlign w:val="baseline"/>
        </w:rPr>
        <w:t> </w:t>
      </w:r>
      <w:r>
        <w:rPr>
          <w:position w:val="2"/>
          <w:sz w:val="24"/>
          <w:vertAlign w:val="baseline"/>
        </w:rPr>
        <w:t>edilmemiştir</w:t>
      </w:r>
      <w:r>
        <w:rPr>
          <w:spacing w:val="-7"/>
          <w:position w:val="2"/>
          <w:sz w:val="24"/>
          <w:vertAlign w:val="baseline"/>
        </w:rPr>
        <w:t> </w:t>
      </w:r>
      <w:r>
        <w:rPr>
          <w:position w:val="2"/>
          <w:sz w:val="24"/>
          <w:vertAlign w:val="baseline"/>
        </w:rPr>
        <w:t>(bk.</w:t>
      </w:r>
      <w:r>
        <w:rPr>
          <w:spacing w:val="-6"/>
          <w:position w:val="2"/>
          <w:sz w:val="24"/>
          <w:vertAlign w:val="baseline"/>
        </w:rPr>
        <w:t> </w:t>
      </w:r>
      <w:r>
        <w:rPr>
          <w:position w:val="2"/>
          <w:sz w:val="24"/>
          <w:vertAlign w:val="baseline"/>
        </w:rPr>
        <w:t>Denklem</w:t>
      </w:r>
      <w:r>
        <w:rPr>
          <w:spacing w:val="-6"/>
          <w:position w:val="2"/>
          <w:sz w:val="24"/>
          <w:vertAlign w:val="baseline"/>
        </w:rPr>
        <w:t> </w:t>
      </w:r>
      <w:r>
        <w:rPr>
          <w:position w:val="2"/>
          <w:sz w:val="24"/>
          <w:vertAlign w:val="baseline"/>
        </w:rPr>
        <w:t>3).</w:t>
      </w:r>
      <w:r>
        <w:rPr>
          <w:spacing w:val="-5"/>
          <w:position w:val="2"/>
          <w:sz w:val="24"/>
          <w:vertAlign w:val="baseline"/>
        </w:rPr>
        <w:t> </w:t>
      </w:r>
      <w:r>
        <w:rPr>
          <w:position w:val="2"/>
          <w:sz w:val="24"/>
          <w:vertAlign w:val="baseline"/>
        </w:rPr>
        <w:t>İkinci</w:t>
      </w:r>
      <w:r>
        <w:rPr>
          <w:spacing w:val="-6"/>
          <w:position w:val="2"/>
          <w:sz w:val="24"/>
          <w:vertAlign w:val="baseline"/>
        </w:rPr>
        <w:t> </w:t>
      </w:r>
      <w:r>
        <w:rPr>
          <w:position w:val="2"/>
          <w:sz w:val="24"/>
          <w:vertAlign w:val="baseline"/>
        </w:rPr>
        <w:t>modelde</w:t>
      </w:r>
      <w:r>
        <w:rPr>
          <w:spacing w:val="-7"/>
          <w:position w:val="2"/>
          <w:sz w:val="24"/>
          <w:vertAlign w:val="baseline"/>
        </w:rPr>
        <w:t> </w:t>
      </w:r>
      <w:r>
        <w:rPr>
          <w:position w:val="2"/>
          <w:sz w:val="24"/>
          <w:vertAlign w:val="baseline"/>
        </w:rPr>
        <w:t>ise</w:t>
      </w:r>
      <w:r>
        <w:rPr>
          <w:spacing w:val="-6"/>
          <w:position w:val="2"/>
          <w:sz w:val="24"/>
          <w:vertAlign w:val="baseline"/>
        </w:rPr>
        <w:t> </w:t>
      </w:r>
      <w:r>
        <w:rPr>
          <w:position w:val="2"/>
          <w:sz w:val="24"/>
          <w:vertAlign w:val="baseline"/>
        </w:rPr>
        <w:t>(bk.</w:t>
      </w:r>
      <w:r>
        <w:rPr>
          <w:spacing w:val="-6"/>
          <w:position w:val="2"/>
          <w:sz w:val="24"/>
          <w:vertAlign w:val="baseline"/>
        </w:rPr>
        <w:t> </w:t>
      </w:r>
      <w:r>
        <w:rPr>
          <w:position w:val="2"/>
          <w:sz w:val="24"/>
          <w:vertAlign w:val="baseline"/>
        </w:rPr>
        <w:t>Denklem</w:t>
      </w:r>
      <w:r>
        <w:rPr>
          <w:spacing w:val="-6"/>
          <w:position w:val="2"/>
          <w:sz w:val="24"/>
          <w:vertAlign w:val="baseline"/>
        </w:rPr>
        <w:t> </w:t>
      </w:r>
      <w:r>
        <w:rPr>
          <w:position w:val="2"/>
          <w:sz w:val="24"/>
          <w:vertAlign w:val="baseline"/>
        </w:rPr>
        <w:t>4),</w:t>
      </w:r>
      <w:r>
        <w:rPr>
          <w:spacing w:val="-7"/>
          <w:position w:val="2"/>
          <w:sz w:val="24"/>
          <w:vertAlign w:val="baseline"/>
        </w:rPr>
        <w:t> </w:t>
      </w:r>
      <w:r>
        <w:rPr>
          <w:i/>
          <w:position w:val="2"/>
          <w:sz w:val="24"/>
          <w:vertAlign w:val="baseline"/>
        </w:rPr>
        <w:t>ln(ToplamYorum</w:t>
      </w:r>
      <w:r>
        <w:rPr>
          <w:i/>
          <w:sz w:val="16"/>
          <w:vertAlign w:val="baseline"/>
        </w:rPr>
        <w:t>i,t</w:t>
      </w:r>
      <w:r>
        <w:rPr>
          <w:i/>
          <w:position w:val="2"/>
          <w:sz w:val="24"/>
          <w:vertAlign w:val="baseline"/>
        </w:rPr>
        <w:t>) </w:t>
      </w:r>
      <w:r>
        <w:rPr>
          <w:position w:val="2"/>
          <w:sz w:val="24"/>
          <w:vertAlign w:val="baseline"/>
        </w:rPr>
        <w:t>modelden çıkarılmış ve </w:t>
      </w:r>
      <w:r>
        <w:rPr>
          <w:i/>
          <w:position w:val="2"/>
          <w:sz w:val="24"/>
          <w:vertAlign w:val="baseline"/>
        </w:rPr>
        <w:t>ln(Olumlu</w:t>
      </w:r>
      <w:r>
        <w:rPr>
          <w:i/>
          <w:sz w:val="16"/>
          <w:vertAlign w:val="baseline"/>
        </w:rPr>
        <w:t>i,t</w:t>
      </w:r>
      <w:r>
        <w:rPr>
          <w:i/>
          <w:position w:val="2"/>
          <w:sz w:val="24"/>
          <w:vertAlign w:val="baseline"/>
        </w:rPr>
        <w:t>)</w:t>
      </w:r>
      <w:r>
        <w:rPr>
          <w:position w:val="2"/>
          <w:sz w:val="24"/>
          <w:vertAlign w:val="baseline"/>
        </w:rPr>
        <w:t>, </w:t>
      </w:r>
      <w:r>
        <w:rPr>
          <w:i/>
          <w:position w:val="2"/>
          <w:sz w:val="24"/>
          <w:vertAlign w:val="baseline"/>
        </w:rPr>
        <w:t>ln(Olumsuz</w:t>
      </w:r>
      <w:r>
        <w:rPr>
          <w:i/>
          <w:sz w:val="16"/>
          <w:vertAlign w:val="baseline"/>
        </w:rPr>
        <w:t>i,t</w:t>
      </w:r>
      <w:r>
        <w:rPr>
          <w:i/>
          <w:position w:val="2"/>
          <w:sz w:val="24"/>
          <w:vertAlign w:val="baseline"/>
        </w:rPr>
        <w:t>) </w:t>
      </w:r>
      <w:r>
        <w:rPr>
          <w:position w:val="2"/>
          <w:sz w:val="24"/>
          <w:vertAlign w:val="baseline"/>
        </w:rPr>
        <w:t>ve </w:t>
      </w:r>
      <w:r>
        <w:rPr>
          <w:i/>
          <w:position w:val="2"/>
          <w:sz w:val="24"/>
          <w:vertAlign w:val="baseline"/>
        </w:rPr>
        <w:t>ln(Nötr</w:t>
      </w:r>
      <w:r>
        <w:rPr>
          <w:i/>
          <w:sz w:val="16"/>
          <w:vertAlign w:val="baseline"/>
        </w:rPr>
        <w:t>i,t</w:t>
      </w:r>
      <w:r>
        <w:rPr>
          <w:i/>
          <w:position w:val="2"/>
          <w:sz w:val="24"/>
          <w:vertAlign w:val="baseline"/>
        </w:rPr>
        <w:t>) </w:t>
      </w:r>
      <w:r>
        <w:rPr>
          <w:position w:val="2"/>
          <w:sz w:val="24"/>
          <w:vertAlign w:val="baseline"/>
        </w:rPr>
        <w:t>modele dahil</w:t>
      </w:r>
      <w:r>
        <w:rPr>
          <w:spacing w:val="-31"/>
          <w:position w:val="2"/>
          <w:sz w:val="24"/>
          <w:vertAlign w:val="baseline"/>
        </w:rPr>
        <w:t> </w:t>
      </w:r>
      <w:r>
        <w:rPr>
          <w:position w:val="2"/>
          <w:sz w:val="24"/>
          <w:vertAlign w:val="baseline"/>
        </w:rPr>
        <w:t>edilmiştir.</w:t>
      </w:r>
    </w:p>
    <w:p>
      <w:pPr>
        <w:pStyle w:val="BodyText"/>
        <w:ind w:left="0"/>
        <w:jc w:val="left"/>
        <w:rPr>
          <w:sz w:val="20"/>
        </w:rPr>
      </w:pPr>
    </w:p>
    <w:p>
      <w:pPr>
        <w:pStyle w:val="BodyText"/>
        <w:spacing w:before="9" w:after="1"/>
        <w:ind w:left="0"/>
        <w:jc w:val="left"/>
        <w:rPr>
          <w:sz w:val="18"/>
        </w:rPr>
      </w:pPr>
    </w:p>
    <w:tbl>
      <w:tblPr>
        <w:tblW w:w="0" w:type="auto"/>
        <w:jc w:val="left"/>
        <w:tblInd w:w="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38"/>
        <w:gridCol w:w="2174"/>
      </w:tblGrid>
      <w:tr>
        <w:trPr>
          <w:trHeight w:val="579" w:hRule="atLeast"/>
        </w:trPr>
        <w:tc>
          <w:tcPr>
            <w:tcW w:w="6838" w:type="dxa"/>
          </w:tcPr>
          <w:p>
            <w:pPr>
              <w:pStyle w:val="TableParagraph"/>
              <w:spacing w:line="179" w:lineRule="exact"/>
              <w:ind w:left="200"/>
              <w:rPr>
                <w:rFonts w:ascii="DejaVu Serif Condensed" w:hAnsi="DejaVu Serif Condensed" w:eastAsia="DejaVu Serif Condensed"/>
                <w:sz w:val="14"/>
              </w:rPr>
            </w:pPr>
            <w:r>
              <w:rPr>
                <w:rFonts w:ascii="DejaVu Serif Condensed" w:hAnsi="DejaVu Serif Condensed" w:eastAsia="DejaVu Serif Condensed"/>
                <w:spacing w:val="-10"/>
                <w:w w:val="97"/>
                <w:position w:val="4"/>
                <w:sz w:val="20"/>
              </w:rPr>
              <w:t>𝑆</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z w:val="14"/>
              </w:rPr>
              <w:t> </w:t>
            </w:r>
            <w:r>
              <w:rPr>
                <w:rFonts w:ascii="DejaVu Serif Condensed" w:hAnsi="DejaVu Serif Condensed" w:eastAsia="DejaVu Serif Condensed"/>
                <w:spacing w:val="-12"/>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2"/>
                <w:position w:val="4"/>
                <w:sz w:val="20"/>
              </w:rPr>
              <w:t> </w:t>
            </w:r>
            <w:r>
              <w:rPr>
                <w:rFonts w:ascii="DejaVu Serif Condensed" w:hAnsi="DejaVu Serif Condensed" w:eastAsia="DejaVu Serif Condensed"/>
                <w:w w:val="111"/>
                <w:position w:val="4"/>
                <w:sz w:val="20"/>
              </w:rPr>
              <w:t>𝛽</w:t>
            </w:r>
            <w:r>
              <w:rPr>
                <w:rFonts w:ascii="DejaVu Serif Condensed" w:hAnsi="DejaVu Serif Condensed" w:eastAsia="DejaVu Serif Condensed"/>
                <w:spacing w:val="-6"/>
                <w:position w:val="4"/>
                <w:sz w:val="20"/>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4"/>
                <w:position w:val="4"/>
                <w:sz w:val="20"/>
              </w:rPr>
              <w:t> </w:t>
            </w:r>
            <w:r>
              <w:rPr>
                <w:rFonts w:ascii="DejaVu Serif Condensed" w:hAnsi="DejaVu Serif Condensed" w:eastAsia="DejaVu Serif Condensed"/>
                <w:w w:val="109"/>
                <w:position w:val="5"/>
                <w:sz w:val="20"/>
              </w:rPr>
              <w:t>∑</w:t>
            </w:r>
            <w:r>
              <w:rPr>
                <w:rFonts w:ascii="DejaVu Serif Condensed" w:hAnsi="DejaVu Serif Condensed" w:eastAsia="DejaVu Serif Condensed"/>
                <w:w w:val="100"/>
                <w:position w:val="12"/>
                <w:sz w:val="14"/>
              </w:rPr>
              <w:t>2</w:t>
            </w:r>
            <w:r>
              <w:rPr>
                <w:rFonts w:ascii="DejaVu Serif Condensed" w:hAnsi="DejaVu Serif Condensed" w:eastAsia="DejaVu Serif Condensed"/>
                <w:spacing w:val="-27"/>
                <w:position w:val="12"/>
                <w:sz w:val="14"/>
              </w:rPr>
              <w:t> </w:t>
            </w:r>
            <w:r>
              <w:rPr>
                <w:rFonts w:ascii="DejaVu Serif Condensed" w:hAnsi="DejaVu Serif Condensed" w:eastAsia="DejaVu Serif Condensed"/>
                <w:spacing w:val="1"/>
                <w:w w:val="95"/>
                <w:sz w:val="14"/>
              </w:rPr>
              <w:t>=</w:t>
            </w:r>
            <w:r>
              <w:rPr>
                <w:rFonts w:ascii="DejaVu Serif Condensed" w:hAnsi="DejaVu Serif Condensed" w:eastAsia="DejaVu Serif Condensed"/>
                <w:w w:val="100"/>
                <w:sz w:val="14"/>
              </w:rPr>
              <w:t>1</w:t>
            </w:r>
            <w:r>
              <w:rPr>
                <w:rFonts w:ascii="DejaVu Serif Condensed" w:hAnsi="DejaVu Serif Condensed" w:eastAsia="DejaVu Serif Condensed"/>
                <w:spacing w:val="-8"/>
                <w:sz w:val="14"/>
              </w:rPr>
              <w:t> </w:t>
            </w:r>
            <w:r>
              <w:rPr>
                <w:rFonts w:ascii="DejaVu Serif Condensed" w:hAnsi="DejaVu Serif Condensed" w:eastAsia="DejaVu Serif Condensed"/>
                <w:spacing w:val="-19"/>
                <w:w w:val="96"/>
                <w:position w:val="4"/>
                <w:sz w:val="20"/>
              </w:rPr>
              <w:t>𝛾</w:t>
            </w:r>
            <w:r>
              <w:rPr>
                <w:rFonts w:ascii="DejaVu Serif Condensed" w:hAnsi="DejaVu Serif Condensed" w:eastAsia="DejaVu Serif Condensed"/>
                <w:spacing w:val="12"/>
                <w:w w:val="119"/>
                <w:sz w:val="14"/>
              </w:rPr>
              <w:t>𝑛</w:t>
            </w:r>
            <w:r>
              <w:rPr>
                <w:rFonts w:ascii="DejaVu Serif Condensed" w:hAnsi="DejaVu Serif Condensed" w:eastAsia="DejaVu Serif Condensed"/>
                <w:spacing w:val="-9"/>
                <w:w w:val="97"/>
                <w:position w:val="4"/>
                <w:sz w:val="20"/>
              </w:rPr>
              <w:t>𝑆</w:t>
            </w:r>
            <w:r>
              <w:rPr>
                <w:rFonts w:ascii="DejaVu Serif Condensed" w:hAnsi="DejaVu Serif Condensed" w:eastAsia="DejaVu Serif Condensed"/>
                <w:spacing w:val="4"/>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spacing w:val="5"/>
                <w:w w:val="81"/>
                <w:sz w:val="14"/>
              </w:rPr>
              <w:t>𝑡</w:t>
            </w:r>
            <w:r>
              <w:rPr>
                <w:rFonts w:ascii="DejaVu Serif Condensed" w:hAnsi="DejaVu Serif Condensed" w:eastAsia="DejaVu Serif Condensed"/>
                <w:spacing w:val="-1"/>
                <w:w w:val="95"/>
                <w:sz w:val="14"/>
              </w:rPr>
              <w:t>−</w:t>
            </w:r>
            <w:r>
              <w:rPr>
                <w:rFonts w:ascii="DejaVu Serif Condensed" w:hAnsi="DejaVu Serif Condensed" w:eastAsia="DejaVu Serif Condensed"/>
                <w:w w:val="119"/>
                <w:sz w:val="14"/>
              </w:rPr>
              <w:t>𝑛</w:t>
            </w:r>
            <w:r>
              <w:rPr>
                <w:rFonts w:ascii="DejaVu Serif Condensed" w:hAnsi="DejaVu Serif Condensed" w:eastAsia="DejaVu Serif Condensed"/>
                <w:spacing w:val="16"/>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2"/>
                <w:position w:val="4"/>
                <w:sz w:val="20"/>
              </w:rPr>
              <w:t> </w:t>
            </w:r>
            <w:r>
              <w:rPr>
                <w:rFonts w:ascii="DejaVu Serif Condensed" w:hAnsi="DejaVu Serif Condensed" w:eastAsia="DejaVu Serif Condensed"/>
                <w:spacing w:val="8"/>
                <w:w w:val="99"/>
                <w:position w:val="4"/>
                <w:sz w:val="20"/>
              </w:rPr>
              <w:t>𝛿</w:t>
            </w:r>
            <w:r>
              <w:rPr>
                <w:rFonts w:ascii="DejaVu Serif Condensed" w:hAnsi="DejaVu Serif Condensed" w:eastAsia="DejaVu Serif Condensed"/>
                <w:spacing w:val="-14"/>
                <w:w w:val="134"/>
                <w:position w:val="4"/>
                <w:sz w:val="20"/>
              </w:rPr>
              <w:t>𝐻</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pacing w:val="16"/>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2"/>
                <w:position w:val="4"/>
                <w:sz w:val="20"/>
              </w:rPr>
              <w:t> </w:t>
            </w:r>
            <w:r>
              <w:rPr>
                <w:rFonts w:ascii="DejaVu Serif Condensed" w:hAnsi="DejaVu Serif Condensed" w:eastAsia="DejaVu Serif Condensed"/>
                <w:spacing w:val="-24"/>
                <w:w w:val="103"/>
                <w:position w:val="4"/>
                <w:sz w:val="20"/>
              </w:rPr>
              <w:t>𝜃</w:t>
            </w:r>
            <w:r>
              <w:rPr>
                <w:rFonts w:ascii="DejaVu Serif Condensed" w:hAnsi="DejaVu Serif Condensed" w:eastAsia="DejaVu Serif Condensed"/>
                <w:w w:val="86"/>
                <w:sz w:val="14"/>
              </w:rPr>
              <w:t>𝑗</w:t>
            </w:r>
            <w:r>
              <w:rPr>
                <w:rFonts w:ascii="DejaVu Serif Condensed" w:hAnsi="DejaVu Serif Condensed" w:eastAsia="DejaVu Serif Condensed"/>
                <w:spacing w:val="-27"/>
                <w:sz w:val="14"/>
              </w:rPr>
              <w:t> </w:t>
            </w:r>
            <w:r>
              <w:rPr>
                <w:rFonts w:ascii="DejaVu Serif Condensed" w:hAnsi="DejaVu Serif Condensed" w:eastAsia="DejaVu Serif Condensed"/>
                <w:spacing w:val="-14"/>
                <w:w w:val="127"/>
                <w:position w:val="4"/>
                <w:sz w:val="20"/>
              </w:rPr>
              <w:t>𝐷</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pacing w:val="16"/>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2"/>
                <w:position w:val="4"/>
                <w:sz w:val="20"/>
              </w:rPr>
              <w:t> </w:t>
            </w:r>
            <w:r>
              <w:rPr>
                <w:rFonts w:ascii="DejaVu Serif Condensed" w:hAnsi="DejaVu Serif Condensed" w:eastAsia="DejaVu Serif Condensed"/>
                <w:spacing w:val="-7"/>
                <w:w w:val="108"/>
                <w:position w:val="4"/>
                <w:sz w:val="20"/>
              </w:rPr>
              <w:t>𝜗</w:t>
            </w:r>
            <w:r>
              <w:rPr>
                <w:rFonts w:ascii="DejaVu Serif Condensed" w:hAnsi="DejaVu Serif Condensed" w:eastAsia="DejaVu Serif Condensed"/>
                <w:spacing w:val="11"/>
                <w:w w:val="111"/>
                <w:sz w:val="14"/>
              </w:rPr>
              <w:t>𝑘</w:t>
            </w:r>
            <w:r>
              <w:rPr>
                <w:rFonts w:ascii="DejaVu Serif Condensed" w:hAnsi="DejaVu Serif Condensed" w:eastAsia="DejaVu Serif Condensed"/>
                <w:spacing w:val="-17"/>
                <w:w w:val="128"/>
                <w:position w:val="4"/>
                <w:sz w:val="20"/>
              </w:rPr>
              <w:t>𝐾</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pacing w:val="16"/>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2"/>
                <w:position w:val="4"/>
                <w:sz w:val="20"/>
              </w:rPr>
              <w:t> </w:t>
            </w:r>
            <w:r>
              <w:rPr>
                <w:rFonts w:ascii="DejaVu Serif Condensed" w:hAnsi="DejaVu Serif Condensed" w:eastAsia="DejaVu Serif Condensed"/>
                <w:w w:val="110"/>
                <w:position w:val="4"/>
                <w:sz w:val="20"/>
              </w:rPr>
              <w:t>𝛼</w:t>
            </w:r>
            <w:r>
              <w:rPr>
                <w:rFonts w:ascii="DejaVu Serif Condensed" w:hAnsi="DejaVu Serif Condensed" w:eastAsia="DejaVu Serif Condensed"/>
                <w:w w:val="64"/>
                <w:sz w:val="14"/>
              </w:rPr>
              <w:t>𝑖</w:t>
            </w:r>
            <w:r>
              <w:rPr>
                <w:rFonts w:ascii="DejaVu Serif Condensed" w:hAnsi="DejaVu Serif Condensed" w:eastAsia="DejaVu Serif Condensed"/>
                <w:spacing w:val="19"/>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4"/>
                <w:position w:val="4"/>
                <w:sz w:val="20"/>
              </w:rPr>
              <w:t> </w:t>
            </w:r>
            <w:r>
              <w:rPr>
                <w:rFonts w:ascii="DejaVu Serif Condensed" w:hAnsi="DejaVu Serif Condensed" w:eastAsia="DejaVu Serif Condensed"/>
                <w:w w:val="105"/>
                <w:position w:val="4"/>
                <w:sz w:val="20"/>
              </w:rPr>
              <w:t>𝑢</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p>
          <w:p>
            <w:pPr>
              <w:pStyle w:val="TableParagraph"/>
              <w:spacing w:line="83" w:lineRule="exact"/>
              <w:ind w:left="1220"/>
              <w:rPr>
                <w:rFonts w:ascii="DejaVu Serif Condensed" w:eastAsia="DejaVu Serif Condensed"/>
                <w:sz w:val="14"/>
              </w:rPr>
            </w:pPr>
            <w:r>
              <w:rPr>
                <w:rFonts w:ascii="DejaVu Serif Condensed" w:eastAsia="DejaVu Serif Condensed"/>
                <w:w w:val="120"/>
                <w:sz w:val="14"/>
              </w:rPr>
              <w:t>𝑛</w:t>
            </w:r>
          </w:p>
        </w:tc>
        <w:tc>
          <w:tcPr>
            <w:tcW w:w="2174" w:type="dxa"/>
          </w:tcPr>
          <w:p>
            <w:pPr>
              <w:pStyle w:val="TableParagraph"/>
              <w:spacing w:line="266" w:lineRule="exact"/>
              <w:ind w:left="0" w:right="198"/>
              <w:jc w:val="right"/>
              <w:rPr>
                <w:sz w:val="24"/>
              </w:rPr>
            </w:pPr>
            <w:r>
              <w:rPr>
                <w:sz w:val="24"/>
              </w:rPr>
              <w:t>(1)</w:t>
            </w:r>
          </w:p>
        </w:tc>
      </w:tr>
      <w:tr>
        <w:trPr>
          <w:trHeight w:val="579" w:hRule="atLeast"/>
        </w:trPr>
        <w:tc>
          <w:tcPr>
            <w:tcW w:w="6838" w:type="dxa"/>
          </w:tcPr>
          <w:p>
            <w:pPr>
              <w:pStyle w:val="TableParagraph"/>
              <w:spacing w:before="4"/>
              <w:ind w:left="0"/>
              <w:rPr>
                <w:sz w:val="25"/>
              </w:rPr>
            </w:pPr>
          </w:p>
          <w:p>
            <w:pPr>
              <w:pStyle w:val="TableParagraph"/>
              <w:spacing w:line="200" w:lineRule="exact"/>
              <w:ind w:left="200"/>
              <w:rPr>
                <w:rFonts w:ascii="DejaVu Serif Condensed" w:hAnsi="DejaVu Serif Condensed" w:eastAsia="DejaVu Serif Condensed"/>
                <w:sz w:val="14"/>
              </w:rPr>
            </w:pPr>
            <w:r>
              <w:rPr>
                <w:rFonts w:ascii="DejaVu Serif Condensed" w:hAnsi="DejaVu Serif Condensed" w:eastAsia="DejaVu Serif Condensed"/>
                <w:spacing w:val="1"/>
                <w:w w:val="94"/>
                <w:position w:val="4"/>
                <w:sz w:val="20"/>
              </w:rPr>
              <w:t>∆</w:t>
            </w:r>
            <w:r>
              <w:rPr>
                <w:rFonts w:ascii="DejaVu Serif Condensed" w:hAnsi="DejaVu Serif Condensed" w:eastAsia="DejaVu Serif Condensed"/>
                <w:spacing w:val="-10"/>
                <w:w w:val="97"/>
                <w:position w:val="4"/>
                <w:sz w:val="20"/>
              </w:rPr>
              <w:t>𝑆</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z w:val="14"/>
              </w:rPr>
              <w:t> </w:t>
            </w:r>
            <w:r>
              <w:rPr>
                <w:rFonts w:ascii="DejaVu Serif Condensed" w:hAnsi="DejaVu Serif Condensed" w:eastAsia="DejaVu Serif Condensed"/>
                <w:spacing w:val="-15"/>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position w:val="4"/>
                <w:sz w:val="20"/>
              </w:rPr>
              <w:t> </w:t>
            </w:r>
            <w:r>
              <w:rPr>
                <w:rFonts w:ascii="DejaVu Serif Condensed" w:hAnsi="DejaVu Serif Condensed" w:eastAsia="DejaVu Serif Condensed"/>
                <w:w w:val="109"/>
                <w:position w:val="5"/>
                <w:sz w:val="20"/>
              </w:rPr>
              <w:t>∑</w:t>
            </w:r>
            <w:r>
              <w:rPr>
                <w:rFonts w:ascii="DejaVu Serif Condensed" w:hAnsi="DejaVu Serif Condensed" w:eastAsia="DejaVu Serif Condensed"/>
                <w:w w:val="100"/>
                <w:position w:val="12"/>
                <w:sz w:val="14"/>
              </w:rPr>
              <w:t>2</w:t>
            </w:r>
            <w:r>
              <w:rPr>
                <w:rFonts w:ascii="DejaVu Serif Condensed" w:hAnsi="DejaVu Serif Condensed" w:eastAsia="DejaVu Serif Condensed"/>
                <w:spacing w:val="-27"/>
                <w:position w:val="12"/>
                <w:sz w:val="14"/>
              </w:rPr>
              <w:t> </w:t>
            </w:r>
            <w:r>
              <w:rPr>
                <w:rFonts w:ascii="DejaVu Serif Condensed" w:hAnsi="DejaVu Serif Condensed" w:eastAsia="DejaVu Serif Condensed"/>
                <w:spacing w:val="-1"/>
                <w:w w:val="95"/>
                <w:sz w:val="14"/>
              </w:rPr>
              <w:t>=</w:t>
            </w:r>
            <w:r>
              <w:rPr>
                <w:rFonts w:ascii="DejaVu Serif Condensed" w:hAnsi="DejaVu Serif Condensed" w:eastAsia="DejaVu Serif Condensed"/>
                <w:w w:val="100"/>
                <w:sz w:val="14"/>
              </w:rPr>
              <w:t>1</w:t>
            </w:r>
            <w:r>
              <w:rPr>
                <w:rFonts w:ascii="DejaVu Serif Condensed" w:hAnsi="DejaVu Serif Condensed" w:eastAsia="DejaVu Serif Condensed"/>
                <w:spacing w:val="-6"/>
                <w:sz w:val="14"/>
              </w:rPr>
              <w:t> </w:t>
            </w:r>
            <w:r>
              <w:rPr>
                <w:rFonts w:ascii="DejaVu Serif Condensed" w:hAnsi="DejaVu Serif Condensed" w:eastAsia="DejaVu Serif Condensed"/>
                <w:spacing w:val="-19"/>
                <w:w w:val="96"/>
                <w:position w:val="4"/>
                <w:sz w:val="20"/>
              </w:rPr>
              <w:t>𝛾</w:t>
            </w:r>
            <w:r>
              <w:rPr>
                <w:rFonts w:ascii="DejaVu Serif Condensed" w:hAnsi="DejaVu Serif Condensed" w:eastAsia="DejaVu Serif Condensed"/>
                <w:spacing w:val="10"/>
                <w:w w:val="119"/>
                <w:sz w:val="14"/>
              </w:rPr>
              <w:t>𝑛</w:t>
            </w:r>
            <w:r>
              <w:rPr>
                <w:rFonts w:ascii="DejaVu Serif Condensed" w:hAnsi="DejaVu Serif Condensed" w:eastAsia="DejaVu Serif Condensed"/>
                <w:spacing w:val="1"/>
                <w:w w:val="94"/>
                <w:position w:val="4"/>
                <w:sz w:val="20"/>
              </w:rPr>
              <w:t>∆</w:t>
            </w:r>
            <w:r>
              <w:rPr>
                <w:rFonts w:ascii="DejaVu Serif Condensed" w:hAnsi="DejaVu Serif Condensed" w:eastAsia="DejaVu Serif Condensed"/>
                <w:spacing w:val="-10"/>
                <w:w w:val="97"/>
                <w:position w:val="4"/>
                <w:sz w:val="20"/>
              </w:rPr>
              <w:t>𝑆</w:t>
            </w:r>
            <w:r>
              <w:rPr>
                <w:rFonts w:ascii="DejaVu Serif Condensed" w:hAnsi="DejaVu Serif Condensed" w:eastAsia="DejaVu Serif Condensed"/>
                <w:spacing w:val="4"/>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spacing w:val="6"/>
                <w:w w:val="81"/>
                <w:sz w:val="14"/>
              </w:rPr>
              <w:t>𝑡</w:t>
            </w:r>
            <w:r>
              <w:rPr>
                <w:rFonts w:ascii="DejaVu Serif Condensed" w:hAnsi="DejaVu Serif Condensed" w:eastAsia="DejaVu Serif Condensed"/>
                <w:spacing w:val="-1"/>
                <w:w w:val="95"/>
                <w:sz w:val="14"/>
              </w:rPr>
              <w:t>−</w:t>
            </w:r>
            <w:r>
              <w:rPr>
                <w:rFonts w:ascii="DejaVu Serif Condensed" w:hAnsi="DejaVu Serif Condensed" w:eastAsia="DejaVu Serif Condensed"/>
                <w:w w:val="119"/>
                <w:sz w:val="14"/>
              </w:rPr>
              <w:t>𝑛</w:t>
            </w:r>
            <w:r>
              <w:rPr>
                <w:rFonts w:ascii="DejaVu Serif Condensed" w:hAnsi="DejaVu Serif Condensed" w:eastAsia="DejaVu Serif Condensed"/>
                <w:spacing w:val="16"/>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2"/>
                <w:position w:val="4"/>
                <w:sz w:val="20"/>
              </w:rPr>
              <w:t> </w:t>
            </w:r>
            <w:r>
              <w:rPr>
                <w:rFonts w:ascii="DejaVu Serif Condensed" w:hAnsi="DejaVu Serif Condensed" w:eastAsia="DejaVu Serif Condensed"/>
                <w:spacing w:val="8"/>
                <w:w w:val="99"/>
                <w:position w:val="4"/>
                <w:sz w:val="20"/>
              </w:rPr>
              <w:t>𝛿</w:t>
            </w:r>
            <w:r>
              <w:rPr>
                <w:rFonts w:ascii="DejaVu Serif Condensed" w:hAnsi="DejaVu Serif Condensed" w:eastAsia="DejaVu Serif Condensed"/>
                <w:spacing w:val="-2"/>
                <w:w w:val="94"/>
                <w:position w:val="4"/>
                <w:sz w:val="20"/>
              </w:rPr>
              <w:t>∆</w:t>
            </w:r>
            <w:r>
              <w:rPr>
                <w:rFonts w:ascii="DejaVu Serif Condensed" w:hAnsi="DejaVu Serif Condensed" w:eastAsia="DejaVu Serif Condensed"/>
                <w:spacing w:val="-14"/>
                <w:w w:val="134"/>
                <w:position w:val="4"/>
                <w:sz w:val="20"/>
              </w:rPr>
              <w:t>𝐻</w:t>
            </w:r>
            <w:r>
              <w:rPr>
                <w:rFonts w:ascii="DejaVu Serif Condensed" w:hAnsi="DejaVu Serif Condensed" w:eastAsia="DejaVu Serif Condensed"/>
                <w:spacing w:val="8"/>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pacing w:val="16"/>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2"/>
                <w:position w:val="4"/>
                <w:sz w:val="20"/>
              </w:rPr>
              <w:t> </w:t>
            </w:r>
            <w:r>
              <w:rPr>
                <w:rFonts w:ascii="DejaVu Serif Condensed" w:hAnsi="DejaVu Serif Condensed" w:eastAsia="DejaVu Serif Condensed"/>
                <w:spacing w:val="-24"/>
                <w:w w:val="103"/>
                <w:position w:val="4"/>
                <w:sz w:val="20"/>
              </w:rPr>
              <w:t>𝜃</w:t>
            </w:r>
            <w:r>
              <w:rPr>
                <w:rFonts w:ascii="DejaVu Serif Condensed" w:hAnsi="DejaVu Serif Condensed" w:eastAsia="DejaVu Serif Condensed"/>
                <w:spacing w:val="11"/>
                <w:w w:val="86"/>
                <w:sz w:val="14"/>
              </w:rPr>
              <w:t>𝑗</w:t>
            </w:r>
            <w:r>
              <w:rPr>
                <w:rFonts w:ascii="DejaVu Serif Condensed" w:hAnsi="DejaVu Serif Condensed" w:eastAsia="DejaVu Serif Condensed"/>
                <w:spacing w:val="1"/>
                <w:w w:val="94"/>
                <w:position w:val="4"/>
                <w:sz w:val="20"/>
              </w:rPr>
              <w:t>∆</w:t>
            </w:r>
            <w:r>
              <w:rPr>
                <w:rFonts w:ascii="DejaVu Serif Condensed" w:hAnsi="DejaVu Serif Condensed" w:eastAsia="DejaVu Serif Condensed"/>
                <w:spacing w:val="-14"/>
                <w:w w:val="127"/>
                <w:position w:val="4"/>
                <w:sz w:val="20"/>
              </w:rPr>
              <w:t>𝐷</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pacing w:val="16"/>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2"/>
                <w:position w:val="4"/>
                <w:sz w:val="20"/>
              </w:rPr>
              <w:t> </w:t>
            </w:r>
            <w:r>
              <w:rPr>
                <w:rFonts w:ascii="DejaVu Serif Condensed" w:hAnsi="DejaVu Serif Condensed" w:eastAsia="DejaVu Serif Condensed"/>
                <w:spacing w:val="-7"/>
                <w:w w:val="108"/>
                <w:position w:val="4"/>
                <w:sz w:val="20"/>
              </w:rPr>
              <w:t>𝜗</w:t>
            </w:r>
            <w:r>
              <w:rPr>
                <w:rFonts w:ascii="DejaVu Serif Condensed" w:hAnsi="DejaVu Serif Condensed" w:eastAsia="DejaVu Serif Condensed"/>
                <w:spacing w:val="14"/>
                <w:w w:val="111"/>
                <w:sz w:val="14"/>
              </w:rPr>
              <w:t>𝑘</w:t>
            </w:r>
            <w:r>
              <w:rPr>
                <w:rFonts w:ascii="DejaVu Serif Condensed" w:hAnsi="DejaVu Serif Condensed" w:eastAsia="DejaVu Serif Condensed"/>
                <w:spacing w:val="-2"/>
                <w:w w:val="94"/>
                <w:position w:val="4"/>
                <w:sz w:val="20"/>
              </w:rPr>
              <w:t>∆</w:t>
            </w:r>
            <w:r>
              <w:rPr>
                <w:rFonts w:ascii="DejaVu Serif Condensed" w:hAnsi="DejaVu Serif Condensed" w:eastAsia="DejaVu Serif Condensed"/>
                <w:spacing w:val="-17"/>
                <w:w w:val="128"/>
                <w:position w:val="4"/>
                <w:sz w:val="20"/>
              </w:rPr>
              <w:t>𝐾</w:t>
            </w:r>
            <w:r>
              <w:rPr>
                <w:rFonts w:ascii="DejaVu Serif Condensed" w:hAnsi="DejaVu Serif Condensed" w:eastAsia="DejaVu Serif Condensed"/>
                <w:spacing w:val="6"/>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r>
              <w:rPr>
                <w:rFonts w:ascii="DejaVu Serif Condensed" w:hAnsi="DejaVu Serif Condensed" w:eastAsia="DejaVu Serif Condensed"/>
                <w:spacing w:val="16"/>
                <w:sz w:val="14"/>
              </w:rPr>
              <w:t> </w:t>
            </w:r>
            <w:r>
              <w:rPr>
                <w:rFonts w:ascii="DejaVu Serif Condensed" w:hAnsi="DejaVu Serif Condensed" w:eastAsia="DejaVu Serif Condensed"/>
                <w:w w:val="98"/>
                <w:position w:val="4"/>
                <w:sz w:val="20"/>
              </w:rPr>
              <w:t>+</w:t>
            </w:r>
            <w:r>
              <w:rPr>
                <w:rFonts w:ascii="DejaVu Serif Condensed" w:hAnsi="DejaVu Serif Condensed" w:eastAsia="DejaVu Serif Condensed"/>
                <w:spacing w:val="-12"/>
                <w:position w:val="4"/>
                <w:sz w:val="20"/>
              </w:rPr>
              <w:t> </w:t>
            </w:r>
            <w:r>
              <w:rPr>
                <w:rFonts w:ascii="DejaVu Serif Condensed" w:hAnsi="DejaVu Serif Condensed" w:eastAsia="DejaVu Serif Condensed"/>
                <w:spacing w:val="1"/>
                <w:w w:val="94"/>
                <w:position w:val="4"/>
                <w:sz w:val="20"/>
              </w:rPr>
              <w:t>∆</w:t>
            </w:r>
            <w:r>
              <w:rPr>
                <w:rFonts w:ascii="DejaVu Serif Condensed" w:hAnsi="DejaVu Serif Condensed" w:eastAsia="DejaVu Serif Condensed"/>
                <w:w w:val="105"/>
                <w:position w:val="4"/>
                <w:sz w:val="20"/>
              </w:rPr>
              <w:t>𝑢</w:t>
            </w:r>
            <w:r>
              <w:rPr>
                <w:rFonts w:ascii="DejaVu Serif Condensed" w:hAnsi="DejaVu Serif Condensed" w:eastAsia="DejaVu Serif Condensed"/>
                <w:spacing w:val="4"/>
                <w:w w:val="64"/>
                <w:sz w:val="14"/>
              </w:rPr>
              <w:t>𝑖</w:t>
            </w:r>
            <w:r>
              <w:rPr>
                <w:rFonts w:ascii="DejaVu Serif Condensed" w:hAnsi="DejaVu Serif Condensed" w:eastAsia="DejaVu Serif Condensed"/>
                <w:w w:val="71"/>
                <w:sz w:val="14"/>
              </w:rPr>
              <w:t>,</w:t>
            </w:r>
            <w:r>
              <w:rPr>
                <w:rFonts w:ascii="DejaVu Serif Condensed" w:hAnsi="DejaVu Serif Condensed" w:eastAsia="DejaVu Serif Condensed"/>
                <w:w w:val="81"/>
                <w:sz w:val="14"/>
              </w:rPr>
              <w:t>𝑡</w:t>
            </w:r>
          </w:p>
          <w:p>
            <w:pPr>
              <w:pStyle w:val="TableParagraph"/>
              <w:spacing w:line="67" w:lineRule="exact"/>
              <w:ind w:left="975"/>
              <w:rPr>
                <w:rFonts w:ascii="DejaVu Serif Condensed" w:eastAsia="DejaVu Serif Condensed"/>
                <w:sz w:val="14"/>
              </w:rPr>
            </w:pPr>
            <w:r>
              <w:rPr>
                <w:rFonts w:ascii="DejaVu Serif Condensed" w:eastAsia="DejaVu Serif Condensed"/>
                <w:w w:val="120"/>
                <w:sz w:val="14"/>
              </w:rPr>
              <w:t>𝑛</w:t>
            </w:r>
          </w:p>
        </w:tc>
        <w:tc>
          <w:tcPr>
            <w:tcW w:w="2174" w:type="dxa"/>
          </w:tcPr>
          <w:p>
            <w:pPr>
              <w:pStyle w:val="TableParagraph"/>
              <w:spacing w:before="4"/>
              <w:ind w:left="0"/>
              <w:rPr>
                <w:sz w:val="26"/>
              </w:rPr>
            </w:pPr>
          </w:p>
          <w:p>
            <w:pPr>
              <w:pStyle w:val="TableParagraph"/>
              <w:spacing w:line="256" w:lineRule="exact"/>
              <w:ind w:left="0" w:right="198"/>
              <w:jc w:val="right"/>
              <w:rPr>
                <w:sz w:val="24"/>
              </w:rPr>
            </w:pPr>
            <w:r>
              <w:rPr>
                <w:sz w:val="24"/>
              </w:rPr>
              <w:t>(2)</w:t>
            </w:r>
          </w:p>
        </w:tc>
      </w:tr>
    </w:tbl>
    <w:p>
      <w:pPr>
        <w:spacing w:after="0" w:line="256" w:lineRule="exact"/>
        <w:jc w:val="right"/>
        <w:rPr>
          <w:sz w:val="24"/>
        </w:rPr>
        <w:sectPr>
          <w:pgSz w:w="12240" w:h="15840"/>
          <w:pgMar w:header="718" w:footer="0" w:top="1300" w:bottom="280" w:left="1720" w:right="820"/>
        </w:sectPr>
      </w:pPr>
    </w:p>
    <w:p>
      <w:pPr>
        <w:pStyle w:val="BodyText"/>
        <w:ind w:left="0"/>
        <w:jc w:val="left"/>
        <w:rPr>
          <w:sz w:val="20"/>
        </w:rPr>
      </w:pPr>
    </w:p>
    <w:p>
      <w:pPr>
        <w:pStyle w:val="BodyText"/>
        <w:spacing w:before="5" w:after="1"/>
        <w:ind w:left="0"/>
        <w:jc w:val="left"/>
        <w:rPr>
          <w:sz w:val="10"/>
        </w:rPr>
      </w:pPr>
    </w:p>
    <w:tbl>
      <w:tblPr>
        <w:tblW w:w="0" w:type="auto"/>
        <w:jc w:val="left"/>
        <w:tblInd w:w="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51"/>
        <w:gridCol w:w="960"/>
      </w:tblGrid>
      <w:tr>
        <w:trPr>
          <w:trHeight w:val="1341" w:hRule="atLeast"/>
        </w:trPr>
        <w:tc>
          <w:tcPr>
            <w:tcW w:w="8051" w:type="dxa"/>
          </w:tcPr>
          <w:p>
            <w:pPr>
              <w:pStyle w:val="TableParagraph"/>
              <w:spacing w:line="141" w:lineRule="exact"/>
              <w:ind w:left="1654"/>
              <w:rPr>
                <w:rFonts w:ascii="DejaVu Serif Condensed"/>
                <w:sz w:val="14"/>
              </w:rPr>
            </w:pPr>
            <w:r>
              <w:rPr>
                <w:rFonts w:ascii="DejaVu Serif Condensed"/>
                <w:w w:val="100"/>
                <w:sz w:val="14"/>
              </w:rPr>
              <w:t>2</w:t>
            </w:r>
          </w:p>
          <w:p>
            <w:pPr>
              <w:pStyle w:val="TableParagraph"/>
              <w:spacing w:before="79"/>
              <w:ind w:left="200"/>
              <w:rPr>
                <w:rFonts w:ascii="DejaVu Serif Condensed" w:hAnsi="DejaVu Serif Condensed" w:eastAsia="DejaVu Serif Condensed"/>
                <w:sz w:val="20"/>
              </w:rPr>
            </w:pP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spacing w:val="-1"/>
                <w:w w:val="82"/>
                <w:sz w:val="20"/>
              </w:rPr>
              <w:t>𝑆𝑎𝑡𝚤</w:t>
            </w:r>
            <w:r>
              <w:rPr>
                <w:rFonts w:ascii="DejaVu Serif Condensed" w:hAnsi="DejaVu Serif Condensed" w:eastAsia="DejaVu Serif Condensed"/>
                <w:w w:val="92"/>
                <w:sz w:val="20"/>
              </w:rPr>
              <w:t>ş</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5"/>
                <w:sz w:val="20"/>
              </w:rPr>
              <w:t> </w:t>
            </w:r>
            <w:r>
              <w:rPr>
                <w:rFonts w:ascii="DejaVu Serif Condensed" w:hAnsi="DejaVu Serif Condensed" w:eastAsia="DejaVu Serif Condensed"/>
                <w:w w:val="205"/>
                <w:sz w:val="20"/>
              </w:rPr>
              <w:t>∑</w:t>
            </w:r>
            <w:r>
              <w:rPr>
                <w:rFonts w:ascii="DejaVu Serif Condensed" w:hAnsi="DejaVu Serif Condensed" w:eastAsia="DejaVu Serif Condensed"/>
                <w:spacing w:val="-16"/>
                <w:sz w:val="20"/>
              </w:rPr>
              <w:t> </w:t>
            </w:r>
            <w:r>
              <w:rPr>
                <w:rFonts w:ascii="DejaVu Serif Condensed" w:hAnsi="DejaVu Serif Condensed" w:eastAsia="DejaVu Serif Condensed"/>
                <w:spacing w:val="-19"/>
                <w:w w:val="96"/>
                <w:sz w:val="20"/>
              </w:rPr>
              <w:t>𝛾</w:t>
            </w:r>
            <w:r>
              <w:rPr>
                <w:rFonts w:ascii="DejaVu Serif Condensed" w:hAnsi="DejaVu Serif Condensed" w:eastAsia="DejaVu Serif Condensed"/>
                <w:spacing w:val="10"/>
                <w:w w:val="119"/>
                <w:position w:val="-3"/>
                <w:sz w:val="14"/>
              </w:rPr>
              <w:t>𝑛</w:t>
            </w:r>
            <w:r>
              <w:rPr>
                <w:rFonts w:ascii="DejaVu Serif Condensed" w:hAnsi="DejaVu Serif Condensed" w:eastAsia="DejaVu Serif Condensed"/>
                <w:spacing w:val="-2"/>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82"/>
                <w:sz w:val="20"/>
              </w:rPr>
              <w:t>𝑆𝑎𝑡𝚤</w:t>
            </w:r>
            <w:r>
              <w:rPr>
                <w:rFonts w:ascii="DejaVu Serif Condensed" w:hAnsi="DejaVu Serif Condensed" w:eastAsia="DejaVu Serif Condensed"/>
                <w:w w:val="92"/>
                <w:sz w:val="20"/>
              </w:rPr>
              <w:t>ş</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5"/>
                <w:w w:val="81"/>
                <w:position w:val="-3"/>
                <w:sz w:val="14"/>
              </w:rPr>
              <w:t>𝑡</w:t>
            </w:r>
            <w:r>
              <w:rPr>
                <w:rFonts w:ascii="DejaVu Serif Condensed" w:hAnsi="DejaVu Serif Condensed" w:eastAsia="DejaVu Serif Condensed"/>
                <w:spacing w:val="-1"/>
                <w:w w:val="95"/>
                <w:position w:val="-3"/>
                <w:sz w:val="14"/>
              </w:rPr>
              <w:t>−</w:t>
            </w:r>
            <w:r>
              <w:rPr>
                <w:rFonts w:ascii="DejaVu Serif Condensed" w:hAnsi="DejaVu Serif Condensed" w:eastAsia="DejaVu Serif Condensed"/>
                <w:spacing w:val="10"/>
                <w:w w:val="119"/>
                <w:position w:val="-3"/>
                <w:sz w:val="14"/>
              </w:rPr>
              <w:t>𝑛</w:t>
            </w:r>
            <w:r>
              <w:rPr>
                <w:rFonts w:ascii="DejaVu Serif Condensed" w:hAnsi="DejaVu Serif Condensed" w:eastAsia="DejaVu Serif Condensed"/>
                <w:w w:val="117"/>
                <w:sz w:val="20"/>
              </w:rPr>
              <w:t>)</w:t>
            </w:r>
            <w:r>
              <w:rPr>
                <w:rFonts w:ascii="DejaVu Serif Condensed" w:hAnsi="DejaVu Serif Condensed" w:eastAsia="DejaVu Serif Condensed"/>
                <w:spacing w:val="-11"/>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4"/>
                <w:sz w:val="20"/>
              </w:rPr>
              <w:t> </w:t>
            </w:r>
            <w:r>
              <w:rPr>
                <w:rFonts w:ascii="DejaVu Serif Condensed" w:hAnsi="DejaVu Serif Condensed" w:eastAsia="DejaVu Serif Condensed"/>
                <w:spacing w:val="8"/>
                <w:w w:val="99"/>
                <w:sz w:val="20"/>
              </w:rPr>
              <w:t>𝛿</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2"/>
                <w:w w:val="109"/>
                <w:sz w:val="20"/>
              </w:rPr>
              <w:t>𝑇</w:t>
            </w:r>
            <w:r>
              <w:rPr>
                <w:rFonts w:ascii="DejaVu Serif Condensed" w:hAnsi="DejaVu Serif Condensed" w:eastAsia="DejaVu Serif Condensed"/>
                <w:w w:val="100"/>
                <w:sz w:val="20"/>
              </w:rPr>
              <w:t>𝑜𝑝</w:t>
            </w:r>
            <w:r>
              <w:rPr>
                <w:rFonts w:ascii="DejaVu Serif Condensed" w:hAnsi="DejaVu Serif Condensed" w:eastAsia="DejaVu Serif Condensed"/>
                <w:w w:val="80"/>
                <w:sz w:val="20"/>
              </w:rPr>
              <w:t>𝑙</w:t>
            </w:r>
            <w:r>
              <w:rPr>
                <w:rFonts w:ascii="DejaVu Serif Condensed" w:hAnsi="DejaVu Serif Condensed" w:eastAsia="DejaVu Serif Condensed"/>
                <w:spacing w:val="-2"/>
                <w:w w:val="80"/>
                <w:sz w:val="20"/>
              </w:rPr>
              <w:t>𝑎</w:t>
            </w:r>
            <w:r>
              <w:rPr>
                <w:rFonts w:ascii="DejaVu Serif Condensed" w:hAnsi="DejaVu Serif Condensed" w:eastAsia="DejaVu Serif Condensed"/>
                <w:w w:val="154"/>
                <w:sz w:val="20"/>
              </w:rPr>
              <w:t>𝑚</w:t>
            </w:r>
            <w:r>
              <w:rPr>
                <w:rFonts w:ascii="DejaVu Serif Condensed" w:hAnsi="DejaVu Serif Condensed" w:eastAsia="DejaVu Serif Condensed"/>
                <w:w w:val="104"/>
                <w:sz w:val="20"/>
              </w:rPr>
              <w:t>𝑌</w:t>
            </w:r>
            <w:r>
              <w:rPr>
                <w:rFonts w:ascii="DejaVu Serif Condensed" w:hAnsi="DejaVu Serif Condensed" w:eastAsia="DejaVu Serif Condensed"/>
                <w:spacing w:val="1"/>
                <w:w w:val="104"/>
                <w:sz w:val="20"/>
              </w:rPr>
              <w:t>𝑜</w:t>
            </w:r>
            <w:r>
              <w:rPr>
                <w:rFonts w:ascii="DejaVu Serif Condensed" w:hAnsi="DejaVu Serif Condensed" w:eastAsia="DejaVu Serif Condensed"/>
                <w:spacing w:val="-2"/>
                <w:w w:val="87"/>
                <w:sz w:val="20"/>
              </w:rPr>
              <w:t>𝑟</w:t>
            </w:r>
            <w:r>
              <w:rPr>
                <w:rFonts w:ascii="DejaVu Serif Condensed" w:hAnsi="DejaVu Serif Condensed" w:eastAsia="DejaVu Serif Condensed"/>
                <w:w w:val="105"/>
                <w:sz w:val="20"/>
              </w:rPr>
              <w:t>𝑢</w:t>
            </w:r>
            <w:r>
              <w:rPr>
                <w:rFonts w:ascii="DejaVu Serif Condensed" w:hAnsi="DejaVu Serif Condensed" w:eastAsia="DejaVu Serif Condensed"/>
                <w:spacing w:val="2"/>
                <w:w w:val="154"/>
                <w:sz w:val="20"/>
              </w:rPr>
              <w:t>𝑚</w:t>
            </w:r>
            <w:r>
              <w:rPr>
                <w:rFonts w:ascii="DejaVu Serif Condensed" w:hAnsi="DejaVu Serif Condensed" w:eastAsia="DejaVu Serif Condensed"/>
                <w:spacing w:val="8"/>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13"/>
                <w:w w:val="81"/>
                <w:position w:val="-3"/>
                <w:sz w:val="14"/>
              </w:rPr>
              <w:t>𝑡</w:t>
            </w:r>
            <w:r>
              <w:rPr>
                <w:rFonts w:ascii="DejaVu Serif Condensed" w:hAnsi="DejaVu Serif Condensed" w:eastAsia="DejaVu Serif Condensed"/>
                <w:w w:val="117"/>
                <w:sz w:val="20"/>
              </w:rPr>
              <w:t>)</w:t>
            </w:r>
            <w:r>
              <w:rPr>
                <w:rFonts w:ascii="DejaVu Serif Condensed" w:hAnsi="DejaVu Serif Condensed" w:eastAsia="DejaVu Serif Condensed"/>
                <w:spacing w:val="-15"/>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2"/>
                <w:w w:val="103"/>
                <w:sz w:val="20"/>
              </w:rPr>
              <w:t>𝜃</w:t>
            </w:r>
            <w:r>
              <w:rPr>
                <w:rFonts w:ascii="DejaVu Serif Condensed" w:hAnsi="DejaVu Serif Condensed" w:eastAsia="DejaVu Serif Condensed"/>
                <w:spacing w:val="8"/>
                <w:w w:val="100"/>
                <w:position w:val="-3"/>
                <w:sz w:val="14"/>
              </w:rPr>
              <w:t>1</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106"/>
                <w:sz w:val="20"/>
              </w:rPr>
              <w:t>𝑂</w:t>
            </w:r>
            <w:r>
              <w:rPr>
                <w:rFonts w:ascii="DejaVu Serif Condensed" w:hAnsi="DejaVu Serif Condensed" w:eastAsia="DejaVu Serif Condensed"/>
                <w:spacing w:val="-2"/>
                <w:w w:val="106"/>
                <w:sz w:val="20"/>
              </w:rPr>
              <w:t>𝑟</w:t>
            </w:r>
            <w:r>
              <w:rPr>
                <w:rFonts w:ascii="DejaVu Serif Condensed" w:hAnsi="DejaVu Serif Condensed" w:eastAsia="DejaVu Serif Condensed"/>
                <w:spacing w:val="7"/>
                <w:w w:val="72"/>
                <w:sz w:val="20"/>
              </w:rPr>
              <w:t>𝑡</w:t>
            </w:r>
            <w:r>
              <w:rPr>
                <w:rFonts w:ascii="DejaVu Serif Condensed" w:hAnsi="DejaVu Serif Condensed" w:eastAsia="DejaVu Serif Condensed"/>
                <w:w w:val="71"/>
                <w:sz w:val="20"/>
              </w:rPr>
              <w:t>.</w:t>
            </w:r>
            <w:r>
              <w:rPr>
                <w:rFonts w:ascii="DejaVu Serif Condensed" w:hAnsi="DejaVu Serif Condensed" w:eastAsia="DejaVu Serif Condensed"/>
                <w:spacing w:val="-24"/>
                <w:sz w:val="20"/>
              </w:rPr>
              <w:t> </w:t>
            </w:r>
            <w:r>
              <w:rPr>
                <w:rFonts w:ascii="DejaVu Serif Condensed" w:hAnsi="DejaVu Serif Condensed" w:eastAsia="DejaVu Serif Condensed"/>
                <w:spacing w:val="-2"/>
                <w:w w:val="114"/>
                <w:sz w:val="20"/>
              </w:rPr>
              <w:t>𝑃</w:t>
            </w:r>
            <w:r>
              <w:rPr>
                <w:rFonts w:ascii="DejaVu Serif Condensed" w:hAnsi="DejaVu Serif Condensed" w:eastAsia="DejaVu Serif Condensed"/>
                <w:w w:val="105"/>
                <w:sz w:val="20"/>
              </w:rPr>
              <w:t>𝑢</w:t>
            </w:r>
            <w:r>
              <w:rPr>
                <w:rFonts w:ascii="DejaVu Serif Condensed" w:hAnsi="DejaVu Serif Condensed" w:eastAsia="DejaVu Serif Condensed"/>
                <w:spacing w:val="-1"/>
                <w:w w:val="104"/>
                <w:sz w:val="20"/>
              </w:rPr>
              <w:t>𝑎</w:t>
            </w:r>
            <w:r>
              <w:rPr>
                <w:rFonts w:ascii="DejaVu Serif Condensed" w:hAnsi="DejaVu Serif Condensed" w:eastAsia="DejaVu Serif Condensed"/>
                <w:spacing w:val="1"/>
                <w:w w:val="104"/>
                <w:sz w:val="20"/>
              </w:rPr>
              <w:t>𝑛</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p>
          <w:p>
            <w:pPr>
              <w:pStyle w:val="TableParagraph"/>
              <w:spacing w:before="51"/>
              <w:ind w:left="1558"/>
              <w:rPr>
                <w:rFonts w:ascii="DejaVu Serif Condensed" w:eastAsia="DejaVu Serif Condensed"/>
                <w:sz w:val="14"/>
              </w:rPr>
            </w:pPr>
            <w:r>
              <w:rPr>
                <w:rFonts w:ascii="DejaVu Serif Condensed" w:eastAsia="DejaVu Serif Condensed"/>
                <w:w w:val="105"/>
                <w:sz w:val="14"/>
              </w:rPr>
              <w:t>𝑛=1</w:t>
            </w:r>
          </w:p>
          <w:p>
            <w:pPr>
              <w:pStyle w:val="TableParagraph"/>
              <w:spacing w:before="93"/>
              <w:ind w:left="1640"/>
              <w:rPr>
                <w:rFonts w:ascii="DejaVu Serif Condensed" w:hAnsi="DejaVu Serif Condensed" w:eastAsia="DejaVu Serif Condensed"/>
                <w:sz w:val="14"/>
              </w:rPr>
            </w:pPr>
            <w:r>
              <w:rPr>
                <w:rFonts w:ascii="DejaVu Serif Condensed" w:hAnsi="DejaVu Serif Condensed" w:eastAsia="DejaVu Serif Condensed"/>
                <w:w w:val="98"/>
                <w:sz w:val="20"/>
              </w:rPr>
              <w:t>+</w:t>
            </w:r>
            <w:r>
              <w:rPr>
                <w:rFonts w:ascii="DejaVu Serif Condensed" w:hAnsi="DejaVu Serif Condensed" w:eastAsia="DejaVu Serif Condensed"/>
                <w:spacing w:val="-11"/>
                <w:sz w:val="20"/>
              </w:rPr>
              <w:t> </w:t>
            </w:r>
            <w:r>
              <w:rPr>
                <w:rFonts w:ascii="DejaVu Serif Condensed" w:hAnsi="DejaVu Serif Condensed" w:eastAsia="DejaVu Serif Condensed"/>
                <w:spacing w:val="-12"/>
                <w:w w:val="108"/>
                <w:sz w:val="20"/>
              </w:rPr>
              <w:t>𝜗</w:t>
            </w:r>
            <w:r>
              <w:rPr>
                <w:rFonts w:ascii="DejaVu Serif Condensed" w:hAnsi="DejaVu Serif Condensed" w:eastAsia="DejaVu Serif Condensed"/>
                <w:spacing w:val="8"/>
                <w:w w:val="100"/>
                <w:position w:val="-3"/>
                <w:sz w:val="14"/>
              </w:rPr>
              <w:t>1</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w w:val="112"/>
                <w:sz w:val="20"/>
              </w:rPr>
              <w:t>𝐹</w:t>
            </w:r>
            <w:r>
              <w:rPr>
                <w:rFonts w:ascii="DejaVu Serif Condensed" w:hAnsi="DejaVu Serif Condensed" w:eastAsia="DejaVu Serif Condensed"/>
                <w:spacing w:val="-1"/>
                <w:w w:val="101"/>
                <w:sz w:val="20"/>
              </w:rPr>
              <w:t>𝑎</w:t>
            </w:r>
            <w:r>
              <w:rPr>
                <w:rFonts w:ascii="DejaVu Serif Condensed" w:hAnsi="DejaVu Serif Condensed" w:eastAsia="DejaVu Serif Condensed"/>
                <w:spacing w:val="-2"/>
                <w:w w:val="101"/>
                <w:sz w:val="20"/>
              </w:rPr>
              <w:t>𝑣</w:t>
            </w:r>
            <w:r>
              <w:rPr>
                <w:rFonts w:ascii="DejaVu Serif Condensed" w:hAnsi="DejaVu Serif Condensed" w:eastAsia="DejaVu Serif Condensed"/>
                <w:w w:val="92"/>
                <w:sz w:val="20"/>
              </w:rPr>
              <w:t>𝑜</w:t>
            </w:r>
            <w:r>
              <w:rPr>
                <w:rFonts w:ascii="DejaVu Serif Condensed" w:hAnsi="DejaVu Serif Condensed" w:eastAsia="DejaVu Serif Condensed"/>
                <w:spacing w:val="-2"/>
                <w:w w:val="92"/>
                <w:sz w:val="20"/>
              </w:rPr>
              <w:t>𝑟</w:t>
            </w:r>
            <w:r>
              <w:rPr>
                <w:rFonts w:ascii="DejaVu Serif Condensed" w:hAnsi="DejaVu Serif Condensed" w:eastAsia="DejaVu Serif Condensed"/>
                <w:spacing w:val="2"/>
                <w:w w:val="58"/>
                <w:sz w:val="20"/>
              </w:rPr>
              <w:t>𝑖</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7"/>
                <w:w w:val="108"/>
                <w:sz w:val="20"/>
              </w:rPr>
              <w:t>𝜗</w:t>
            </w:r>
            <w:r>
              <w:rPr>
                <w:rFonts w:ascii="DejaVu Serif Condensed" w:hAnsi="DejaVu Serif Condensed" w:eastAsia="DejaVu Serif Condensed"/>
                <w:spacing w:val="8"/>
                <w:w w:val="100"/>
                <w:position w:val="-3"/>
                <w:sz w:val="14"/>
              </w:rPr>
              <w:t>2</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w w:val="85"/>
                <w:sz w:val="20"/>
              </w:rPr>
              <w:t>Ü</w:t>
            </w:r>
            <w:r>
              <w:rPr>
                <w:rFonts w:ascii="DejaVu Serif Condensed" w:hAnsi="DejaVu Serif Condensed" w:eastAsia="DejaVu Serif Condensed"/>
                <w:spacing w:val="-2"/>
                <w:w w:val="87"/>
                <w:sz w:val="20"/>
              </w:rPr>
              <w:t>𝑟</w:t>
            </w:r>
            <w:r>
              <w:rPr>
                <w:rFonts w:ascii="DejaVu Serif Condensed" w:hAnsi="DejaVu Serif Condensed" w:eastAsia="DejaVu Serif Condensed"/>
                <w:w w:val="94"/>
                <w:sz w:val="20"/>
              </w:rPr>
              <w:t>ü</w:t>
            </w:r>
            <w:r>
              <w:rPr>
                <w:rFonts w:ascii="DejaVu Serif Condensed" w:hAnsi="DejaVu Serif Condensed" w:eastAsia="DejaVu Serif Condensed"/>
                <w:w w:val="105"/>
                <w:sz w:val="20"/>
              </w:rPr>
              <w:t>𝑛</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13"/>
                <w:w w:val="81"/>
                <w:position w:val="-3"/>
                <w:sz w:val="14"/>
              </w:rPr>
              <w:t>𝑡</w:t>
            </w:r>
            <w:r>
              <w:rPr>
                <w:rFonts w:ascii="DejaVu Serif Condensed" w:hAnsi="DejaVu Serif Condensed" w:eastAsia="DejaVu Serif Condensed"/>
                <w:w w:val="117"/>
                <w:sz w:val="20"/>
              </w:rPr>
              <w:t>)</w:t>
            </w:r>
            <w:r>
              <w:rPr>
                <w:rFonts w:ascii="DejaVu Serif Condensed" w:hAnsi="DejaVu Serif Condensed" w:eastAsia="DejaVu Serif Condensed"/>
                <w:spacing w:val="-15"/>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
                <w:w w:val="94"/>
                <w:sz w:val="20"/>
              </w:rPr>
              <w:t>∆</w:t>
            </w:r>
            <w:r>
              <w:rPr>
                <w:rFonts w:ascii="DejaVu Serif Condensed" w:hAnsi="DejaVu Serif Condensed" w:eastAsia="DejaVu Serif Condensed"/>
                <w:w w:val="105"/>
                <w:sz w:val="20"/>
              </w:rPr>
              <w:t>𝑢</w:t>
            </w:r>
            <w:r>
              <w:rPr>
                <w:rFonts w:ascii="DejaVu Serif Condensed" w:hAnsi="DejaVu Serif Condensed" w:eastAsia="DejaVu Serif Condensed"/>
                <w:spacing w:val="4"/>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p>
        </w:tc>
        <w:tc>
          <w:tcPr>
            <w:tcW w:w="960" w:type="dxa"/>
          </w:tcPr>
          <w:p>
            <w:pPr>
              <w:pStyle w:val="TableParagraph"/>
              <w:spacing w:before="5"/>
              <w:ind w:left="0"/>
              <w:rPr>
                <w:sz w:val="31"/>
              </w:rPr>
            </w:pPr>
          </w:p>
          <w:p>
            <w:pPr>
              <w:pStyle w:val="TableParagraph"/>
              <w:ind w:left="0" w:right="197"/>
              <w:jc w:val="right"/>
              <w:rPr>
                <w:sz w:val="24"/>
              </w:rPr>
            </w:pPr>
            <w:r>
              <w:rPr>
                <w:sz w:val="24"/>
              </w:rPr>
              <w:t>(3)</w:t>
            </w:r>
          </w:p>
        </w:tc>
      </w:tr>
      <w:tr>
        <w:trPr>
          <w:trHeight w:val="1708" w:hRule="atLeast"/>
        </w:trPr>
        <w:tc>
          <w:tcPr>
            <w:tcW w:w="8051" w:type="dxa"/>
          </w:tcPr>
          <w:p>
            <w:pPr>
              <w:pStyle w:val="TableParagraph"/>
              <w:ind w:left="0"/>
              <w:rPr>
                <w:sz w:val="14"/>
              </w:rPr>
            </w:pPr>
          </w:p>
          <w:p>
            <w:pPr>
              <w:pStyle w:val="TableParagraph"/>
              <w:spacing w:before="115"/>
              <w:ind w:left="1654"/>
              <w:rPr>
                <w:rFonts w:ascii="DejaVu Serif Condensed"/>
                <w:sz w:val="14"/>
              </w:rPr>
            </w:pPr>
            <w:r>
              <w:rPr>
                <w:rFonts w:ascii="DejaVu Serif Condensed"/>
                <w:w w:val="100"/>
                <w:sz w:val="14"/>
              </w:rPr>
              <w:t>2</w:t>
            </w:r>
          </w:p>
          <w:p>
            <w:pPr>
              <w:pStyle w:val="TableParagraph"/>
              <w:spacing w:before="79"/>
              <w:ind w:left="200"/>
              <w:rPr>
                <w:rFonts w:ascii="DejaVu Serif Condensed" w:hAnsi="DejaVu Serif Condensed" w:eastAsia="DejaVu Serif Condensed"/>
                <w:sz w:val="20"/>
              </w:rPr>
            </w:pP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spacing w:val="-1"/>
                <w:w w:val="82"/>
                <w:sz w:val="20"/>
              </w:rPr>
              <w:t>𝑆𝑎𝑡𝚤</w:t>
            </w:r>
            <w:r>
              <w:rPr>
                <w:rFonts w:ascii="DejaVu Serif Condensed" w:hAnsi="DejaVu Serif Condensed" w:eastAsia="DejaVu Serif Condensed"/>
                <w:w w:val="92"/>
                <w:sz w:val="20"/>
              </w:rPr>
              <w:t>ş</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5"/>
                <w:sz w:val="20"/>
              </w:rPr>
              <w:t> </w:t>
            </w:r>
            <w:r>
              <w:rPr>
                <w:rFonts w:ascii="DejaVu Serif Condensed" w:hAnsi="DejaVu Serif Condensed" w:eastAsia="DejaVu Serif Condensed"/>
                <w:w w:val="205"/>
                <w:sz w:val="20"/>
              </w:rPr>
              <w:t>∑</w:t>
            </w:r>
            <w:r>
              <w:rPr>
                <w:rFonts w:ascii="DejaVu Serif Condensed" w:hAnsi="DejaVu Serif Condensed" w:eastAsia="DejaVu Serif Condensed"/>
                <w:spacing w:val="-16"/>
                <w:sz w:val="20"/>
              </w:rPr>
              <w:t> </w:t>
            </w:r>
            <w:r>
              <w:rPr>
                <w:rFonts w:ascii="DejaVu Serif Condensed" w:hAnsi="DejaVu Serif Condensed" w:eastAsia="DejaVu Serif Condensed"/>
                <w:spacing w:val="-19"/>
                <w:w w:val="96"/>
                <w:sz w:val="20"/>
              </w:rPr>
              <w:t>𝛾</w:t>
            </w:r>
            <w:r>
              <w:rPr>
                <w:rFonts w:ascii="DejaVu Serif Condensed" w:hAnsi="DejaVu Serif Condensed" w:eastAsia="DejaVu Serif Condensed"/>
                <w:spacing w:val="10"/>
                <w:w w:val="119"/>
                <w:position w:val="-3"/>
                <w:sz w:val="14"/>
              </w:rPr>
              <w:t>𝑛</w:t>
            </w:r>
            <w:r>
              <w:rPr>
                <w:rFonts w:ascii="DejaVu Serif Condensed" w:hAnsi="DejaVu Serif Condensed" w:eastAsia="DejaVu Serif Condensed"/>
                <w:spacing w:val="-2"/>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82"/>
                <w:sz w:val="20"/>
              </w:rPr>
              <w:t>𝑆𝑎𝑡𝚤</w:t>
            </w:r>
            <w:r>
              <w:rPr>
                <w:rFonts w:ascii="DejaVu Serif Condensed" w:hAnsi="DejaVu Serif Condensed" w:eastAsia="DejaVu Serif Condensed"/>
                <w:w w:val="92"/>
                <w:sz w:val="20"/>
              </w:rPr>
              <w:t>ş</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spacing w:val="5"/>
                <w:w w:val="81"/>
                <w:position w:val="-3"/>
                <w:sz w:val="14"/>
              </w:rPr>
              <w:t>𝑡</w:t>
            </w:r>
            <w:r>
              <w:rPr>
                <w:rFonts w:ascii="DejaVu Serif Condensed" w:hAnsi="DejaVu Serif Condensed" w:eastAsia="DejaVu Serif Condensed"/>
                <w:spacing w:val="-1"/>
                <w:w w:val="95"/>
                <w:position w:val="-3"/>
                <w:sz w:val="14"/>
              </w:rPr>
              <w:t>−</w:t>
            </w:r>
            <w:r>
              <w:rPr>
                <w:rFonts w:ascii="DejaVu Serif Condensed" w:hAnsi="DejaVu Serif Condensed" w:eastAsia="DejaVu Serif Condensed"/>
                <w:spacing w:val="10"/>
                <w:w w:val="119"/>
                <w:position w:val="-3"/>
                <w:sz w:val="14"/>
              </w:rPr>
              <w:t>𝑛</w:t>
            </w:r>
            <w:r>
              <w:rPr>
                <w:rFonts w:ascii="DejaVu Serif Condensed" w:hAnsi="DejaVu Serif Condensed" w:eastAsia="DejaVu Serif Condensed"/>
                <w:w w:val="117"/>
                <w:sz w:val="20"/>
              </w:rPr>
              <w:t>)</w:t>
            </w:r>
            <w:r>
              <w:rPr>
                <w:rFonts w:ascii="DejaVu Serif Condensed" w:hAnsi="DejaVu Serif Condensed" w:eastAsia="DejaVu Serif Condensed"/>
                <w:spacing w:val="-11"/>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4"/>
                <w:sz w:val="20"/>
              </w:rPr>
              <w:t> </w:t>
            </w:r>
            <w:r>
              <w:rPr>
                <w:rFonts w:ascii="DejaVu Serif Condensed" w:hAnsi="DejaVu Serif Condensed" w:eastAsia="DejaVu Serif Condensed"/>
                <w:spacing w:val="-12"/>
                <w:w w:val="103"/>
                <w:sz w:val="20"/>
              </w:rPr>
              <w:t>𝜃</w:t>
            </w:r>
            <w:r>
              <w:rPr>
                <w:rFonts w:ascii="DejaVu Serif Condensed" w:hAnsi="DejaVu Serif Condensed" w:eastAsia="DejaVu Serif Condensed"/>
                <w:spacing w:val="10"/>
                <w:w w:val="100"/>
                <w:position w:val="-3"/>
                <w:sz w:val="14"/>
              </w:rPr>
              <w:t>1</w:t>
            </w:r>
            <w:r>
              <w:rPr>
                <w:rFonts w:ascii="DejaVu Serif Condensed" w:hAnsi="DejaVu Serif Condensed" w:eastAsia="DejaVu Serif Condensed"/>
                <w:spacing w:val="-2"/>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106"/>
                <w:sz w:val="20"/>
              </w:rPr>
              <w:t>𝑂</w:t>
            </w:r>
            <w:r>
              <w:rPr>
                <w:rFonts w:ascii="DejaVu Serif Condensed" w:hAnsi="DejaVu Serif Condensed" w:eastAsia="DejaVu Serif Condensed"/>
                <w:spacing w:val="-2"/>
                <w:w w:val="106"/>
                <w:sz w:val="20"/>
              </w:rPr>
              <w:t>𝑟</w:t>
            </w:r>
            <w:r>
              <w:rPr>
                <w:rFonts w:ascii="DejaVu Serif Condensed" w:hAnsi="DejaVu Serif Condensed" w:eastAsia="DejaVu Serif Condensed"/>
                <w:spacing w:val="8"/>
                <w:w w:val="72"/>
                <w:sz w:val="20"/>
              </w:rPr>
              <w:t>𝑡</w:t>
            </w:r>
            <w:r>
              <w:rPr>
                <w:rFonts w:ascii="DejaVu Serif Condensed" w:hAnsi="DejaVu Serif Condensed" w:eastAsia="DejaVu Serif Condensed"/>
                <w:w w:val="71"/>
                <w:sz w:val="20"/>
              </w:rPr>
              <w:t>.</w:t>
            </w:r>
            <w:r>
              <w:rPr>
                <w:rFonts w:ascii="DejaVu Serif Condensed" w:hAnsi="DejaVu Serif Condensed" w:eastAsia="DejaVu Serif Condensed"/>
                <w:spacing w:val="-24"/>
                <w:sz w:val="20"/>
              </w:rPr>
              <w:t> </w:t>
            </w:r>
            <w:r>
              <w:rPr>
                <w:rFonts w:ascii="DejaVu Serif Condensed" w:hAnsi="DejaVu Serif Condensed" w:eastAsia="DejaVu Serif Condensed"/>
                <w:spacing w:val="-2"/>
                <w:w w:val="114"/>
                <w:sz w:val="20"/>
              </w:rPr>
              <w:t>𝑃</w:t>
            </w:r>
            <w:r>
              <w:rPr>
                <w:rFonts w:ascii="DejaVu Serif Condensed" w:hAnsi="DejaVu Serif Condensed" w:eastAsia="DejaVu Serif Condensed"/>
                <w:w w:val="105"/>
                <w:sz w:val="20"/>
              </w:rPr>
              <w:t>𝑢</w:t>
            </w:r>
            <w:r>
              <w:rPr>
                <w:rFonts w:ascii="DejaVu Serif Condensed" w:hAnsi="DejaVu Serif Condensed" w:eastAsia="DejaVu Serif Condensed"/>
                <w:spacing w:val="-1"/>
                <w:w w:val="104"/>
                <w:sz w:val="20"/>
              </w:rPr>
              <w:t>𝑎</w:t>
            </w:r>
            <w:r>
              <w:rPr>
                <w:rFonts w:ascii="DejaVu Serif Condensed" w:hAnsi="DejaVu Serif Condensed" w:eastAsia="DejaVu Serif Condensed"/>
                <w:w w:val="104"/>
                <w:sz w:val="20"/>
              </w:rPr>
              <w:t>𝑛</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3"/>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7"/>
                <w:w w:val="103"/>
                <w:sz w:val="20"/>
              </w:rPr>
              <w:t>𝜃</w:t>
            </w:r>
            <w:r>
              <w:rPr>
                <w:rFonts w:ascii="DejaVu Serif Condensed" w:hAnsi="DejaVu Serif Condensed" w:eastAsia="DejaVu Serif Condensed"/>
                <w:spacing w:val="8"/>
                <w:w w:val="100"/>
                <w:position w:val="-3"/>
                <w:sz w:val="14"/>
              </w:rPr>
              <w:t>2</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spacing w:val="-1"/>
                <w:w w:val="91"/>
                <w:sz w:val="20"/>
              </w:rPr>
              <w:t>𝑂𝑙</w:t>
            </w:r>
            <w:r>
              <w:rPr>
                <w:rFonts w:ascii="DejaVu Serif Condensed" w:hAnsi="DejaVu Serif Condensed" w:eastAsia="DejaVu Serif Condensed"/>
                <w:w w:val="105"/>
                <w:sz w:val="20"/>
              </w:rPr>
              <w:t>𝑢</w:t>
            </w:r>
            <w:r>
              <w:rPr>
                <w:rFonts w:ascii="DejaVu Serif Condensed" w:hAnsi="DejaVu Serif Condensed" w:eastAsia="DejaVu Serif Condensed"/>
                <w:w w:val="154"/>
                <w:sz w:val="20"/>
              </w:rPr>
              <w:t>𝑚</w:t>
            </w:r>
            <w:r>
              <w:rPr>
                <w:rFonts w:ascii="DejaVu Serif Condensed" w:hAnsi="DejaVu Serif Condensed" w:eastAsia="DejaVu Serif Condensed"/>
                <w:w w:val="82"/>
                <w:sz w:val="20"/>
              </w:rPr>
              <w:t>𝑙𝑢</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p>
          <w:p>
            <w:pPr>
              <w:pStyle w:val="TableParagraph"/>
              <w:spacing w:before="51"/>
              <w:ind w:left="1558"/>
              <w:rPr>
                <w:rFonts w:ascii="DejaVu Serif Condensed" w:eastAsia="DejaVu Serif Condensed"/>
                <w:sz w:val="14"/>
              </w:rPr>
            </w:pPr>
            <w:r>
              <w:rPr>
                <w:rFonts w:ascii="DejaVu Serif Condensed" w:eastAsia="DejaVu Serif Condensed"/>
                <w:w w:val="105"/>
                <w:sz w:val="14"/>
              </w:rPr>
              <w:t>𝑛=1</w:t>
            </w:r>
          </w:p>
          <w:p>
            <w:pPr>
              <w:pStyle w:val="TableParagraph"/>
              <w:spacing w:before="89"/>
              <w:ind w:left="1640"/>
              <w:rPr>
                <w:rFonts w:ascii="DejaVu Serif Condensed" w:hAnsi="DejaVu Serif Condensed" w:eastAsia="DejaVu Serif Condensed"/>
                <w:sz w:val="20"/>
              </w:rPr>
            </w:pPr>
            <w:r>
              <w:rPr>
                <w:rFonts w:ascii="DejaVu Serif Condensed" w:hAnsi="DejaVu Serif Condensed" w:eastAsia="DejaVu Serif Condensed"/>
                <w:w w:val="98"/>
                <w:sz w:val="20"/>
              </w:rPr>
              <w:t>+</w:t>
            </w:r>
            <w:r>
              <w:rPr>
                <w:rFonts w:ascii="DejaVu Serif Condensed" w:hAnsi="DejaVu Serif Condensed" w:eastAsia="DejaVu Serif Condensed"/>
                <w:spacing w:val="-11"/>
                <w:sz w:val="20"/>
              </w:rPr>
              <w:t> </w:t>
            </w:r>
            <w:r>
              <w:rPr>
                <w:rFonts w:ascii="DejaVu Serif Condensed" w:hAnsi="DejaVu Serif Condensed" w:eastAsia="DejaVu Serif Condensed"/>
                <w:spacing w:val="-7"/>
                <w:w w:val="103"/>
                <w:sz w:val="20"/>
              </w:rPr>
              <w:t>𝜃</w:t>
            </w:r>
            <w:r>
              <w:rPr>
                <w:rFonts w:ascii="DejaVu Serif Condensed" w:hAnsi="DejaVu Serif Condensed" w:eastAsia="DejaVu Serif Condensed"/>
                <w:spacing w:val="8"/>
                <w:w w:val="100"/>
                <w:position w:val="-3"/>
                <w:sz w:val="14"/>
              </w:rPr>
              <w:t>3</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5"/>
                <w:sz w:val="20"/>
              </w:rPr>
              <w:t> </w:t>
            </w:r>
            <w:r>
              <w:rPr>
                <w:rFonts w:ascii="DejaVu Serif Condensed" w:hAnsi="DejaVu Serif Condensed" w:eastAsia="DejaVu Serif Condensed"/>
                <w:spacing w:val="1"/>
                <w:w w:val="117"/>
                <w:sz w:val="20"/>
              </w:rPr>
              <w:t>(</w:t>
            </w:r>
            <w:r>
              <w:rPr>
                <w:rFonts w:ascii="DejaVu Serif Condensed" w:hAnsi="DejaVu Serif Condensed" w:eastAsia="DejaVu Serif Condensed"/>
                <w:w w:val="135"/>
                <w:sz w:val="20"/>
              </w:rPr>
              <w:t>𝑁</w:t>
            </w:r>
            <w:r>
              <w:rPr>
                <w:rFonts w:ascii="DejaVu Serif Condensed" w:hAnsi="DejaVu Serif Condensed" w:eastAsia="DejaVu Serif Condensed"/>
                <w:spacing w:val="-1"/>
                <w:w w:val="97"/>
                <w:sz w:val="20"/>
              </w:rPr>
              <w:t>ö</w:t>
            </w:r>
            <w:r>
              <w:rPr>
                <w:rFonts w:ascii="DejaVu Serif Condensed" w:hAnsi="DejaVu Serif Condensed" w:eastAsia="DejaVu Serif Condensed"/>
                <w:w w:val="72"/>
                <w:sz w:val="20"/>
              </w:rPr>
              <w:t>𝑡</w:t>
            </w:r>
            <w:r>
              <w:rPr>
                <w:rFonts w:ascii="DejaVu Serif Condensed" w:hAnsi="DejaVu Serif Condensed" w:eastAsia="DejaVu Serif Condensed"/>
                <w:spacing w:val="-23"/>
                <w:w w:val="87"/>
                <w:sz w:val="20"/>
              </w:rPr>
              <w:t>𝑟</w:t>
            </w:r>
            <w:r>
              <w:rPr>
                <w:rFonts w:ascii="DejaVu Serif Condensed" w:hAnsi="DejaVu Serif Condensed" w:eastAsia="DejaVu Serif Condensed"/>
                <w:spacing w:val="6"/>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5"/>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2"/>
                <w:w w:val="103"/>
                <w:sz w:val="20"/>
              </w:rPr>
              <w:t>𝜃</w:t>
            </w:r>
            <w:r>
              <w:rPr>
                <w:rFonts w:ascii="DejaVu Serif Condensed" w:hAnsi="DejaVu Serif Condensed" w:eastAsia="DejaVu Serif Condensed"/>
                <w:spacing w:val="8"/>
                <w:w w:val="100"/>
                <w:position w:val="-3"/>
                <w:sz w:val="14"/>
              </w:rPr>
              <w:t>4</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58"/>
                <w:sz w:val="20"/>
              </w:rPr>
              <w:t>𝑙</w:t>
            </w:r>
            <w:r>
              <w:rPr>
                <w:rFonts w:ascii="DejaVu Serif Condensed" w:hAnsi="DejaVu Serif Condensed" w:eastAsia="DejaVu Serif Condensed"/>
                <w:spacing w:val="5"/>
                <w:w w:val="105"/>
                <w:sz w:val="20"/>
              </w:rPr>
              <w:t>𝑛</w:t>
            </w:r>
            <w:r>
              <w:rPr>
                <w:rFonts w:ascii="DejaVu Serif Condensed" w:hAnsi="DejaVu Serif Condensed" w:eastAsia="DejaVu Serif Condensed"/>
                <w:spacing w:val="-2"/>
                <w:w w:val="117"/>
                <w:sz w:val="20"/>
              </w:rPr>
              <w:t>(</w:t>
            </w:r>
            <w:r>
              <w:rPr>
                <w:rFonts w:ascii="DejaVu Serif Condensed" w:hAnsi="DejaVu Serif Condensed" w:eastAsia="DejaVu Serif Condensed"/>
                <w:spacing w:val="-1"/>
                <w:w w:val="91"/>
                <w:sz w:val="20"/>
              </w:rPr>
              <w:t>𝑂𝑙</w:t>
            </w:r>
            <w:r>
              <w:rPr>
                <w:rFonts w:ascii="DejaVu Serif Condensed" w:hAnsi="DejaVu Serif Condensed" w:eastAsia="DejaVu Serif Condensed"/>
                <w:w w:val="105"/>
                <w:sz w:val="20"/>
              </w:rPr>
              <w:t>𝑢</w:t>
            </w:r>
            <w:r>
              <w:rPr>
                <w:rFonts w:ascii="DejaVu Serif Condensed" w:hAnsi="DejaVu Serif Condensed" w:eastAsia="DejaVu Serif Condensed"/>
                <w:w w:val="154"/>
                <w:sz w:val="20"/>
              </w:rPr>
              <w:t>𝑚</w:t>
            </w:r>
            <w:r>
              <w:rPr>
                <w:rFonts w:ascii="DejaVu Serif Condensed" w:hAnsi="DejaVu Serif Condensed" w:eastAsia="DejaVu Serif Condensed"/>
                <w:spacing w:val="-1"/>
                <w:w w:val="85"/>
                <w:sz w:val="20"/>
              </w:rPr>
              <w:t>𝑠</w:t>
            </w:r>
            <w:r>
              <w:rPr>
                <w:rFonts w:ascii="DejaVu Serif Condensed" w:hAnsi="DejaVu Serif Condensed" w:eastAsia="DejaVu Serif Condensed"/>
                <w:w w:val="105"/>
                <w:sz w:val="20"/>
              </w:rPr>
              <w:t>𝑢</w:t>
            </w:r>
            <w:r>
              <w:rPr>
                <w:rFonts w:ascii="DejaVu Serif Condensed" w:hAnsi="DejaVu Serif Condensed" w:eastAsia="DejaVu Serif Condensed"/>
                <w:spacing w:val="-4"/>
                <w:w w:val="89"/>
                <w:sz w:val="20"/>
              </w:rPr>
              <w:t>𝑧</w:t>
            </w:r>
            <w:r>
              <w:rPr>
                <w:rFonts w:ascii="DejaVu Serif Condensed" w:hAnsi="DejaVu Serif Condensed" w:eastAsia="DejaVu Serif Condensed"/>
                <w:spacing w:val="8"/>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r>
              <w:rPr>
                <w:rFonts w:ascii="DejaVu Serif Condensed" w:hAnsi="DejaVu Serif Condensed" w:eastAsia="DejaVu Serif Condensed"/>
                <w:spacing w:val="-15"/>
                <w:sz w:val="20"/>
              </w:rPr>
              <w:t> </w:t>
            </w:r>
            <w:r>
              <w:rPr>
                <w:rFonts w:ascii="DejaVu Serif Condensed" w:hAnsi="DejaVu Serif Condensed" w:eastAsia="DejaVu Serif Condensed"/>
                <w:w w:val="98"/>
                <w:sz w:val="20"/>
              </w:rPr>
              <w:t>+</w:t>
            </w:r>
            <w:r>
              <w:rPr>
                <w:rFonts w:ascii="DejaVu Serif Condensed" w:hAnsi="DejaVu Serif Condensed" w:eastAsia="DejaVu Serif Condensed"/>
                <w:spacing w:val="-12"/>
                <w:sz w:val="20"/>
              </w:rPr>
              <w:t> </w:t>
            </w:r>
            <w:r>
              <w:rPr>
                <w:rFonts w:ascii="DejaVu Serif Condensed" w:hAnsi="DejaVu Serif Condensed" w:eastAsia="DejaVu Serif Condensed"/>
                <w:spacing w:val="-12"/>
                <w:w w:val="108"/>
                <w:sz w:val="20"/>
              </w:rPr>
              <w:t>𝜗</w:t>
            </w:r>
            <w:r>
              <w:rPr>
                <w:rFonts w:ascii="DejaVu Serif Condensed" w:hAnsi="DejaVu Serif Condensed" w:eastAsia="DejaVu Serif Condensed"/>
                <w:spacing w:val="8"/>
                <w:w w:val="100"/>
                <w:position w:val="-3"/>
                <w:sz w:val="14"/>
              </w:rPr>
              <w:t>1</w:t>
            </w:r>
            <w:r>
              <w:rPr>
                <w:rFonts w:ascii="DejaVu Serif Condensed" w:hAnsi="DejaVu Serif Condensed" w:eastAsia="DejaVu Serif Condensed"/>
                <w:spacing w:val="1"/>
                <w:w w:val="94"/>
                <w:sz w:val="20"/>
              </w:rPr>
              <w:t>∆</w:t>
            </w:r>
            <w:r>
              <w:rPr>
                <w:rFonts w:ascii="DejaVu Serif Condensed" w:hAnsi="DejaVu Serif Condensed" w:eastAsia="DejaVu Serif Condensed"/>
                <w:spacing w:val="1"/>
                <w:w w:val="95"/>
                <w:sz w:val="20"/>
              </w:rPr>
              <w:t>l</w:t>
            </w:r>
            <w:r>
              <w:rPr>
                <w:rFonts w:ascii="DejaVu Serif Condensed" w:hAnsi="DejaVu Serif Condensed" w:eastAsia="DejaVu Serif Condensed"/>
                <w:w w:val="95"/>
                <w:sz w:val="20"/>
              </w:rPr>
              <w:t>n</w:t>
            </w:r>
            <w:r>
              <w:rPr>
                <w:rFonts w:ascii="DejaVu Serif Condensed" w:hAnsi="DejaVu Serif Condensed" w:eastAsia="DejaVu Serif Condensed"/>
                <w:spacing w:val="-13"/>
                <w:sz w:val="20"/>
              </w:rPr>
              <w:t> </w:t>
            </w:r>
            <w:r>
              <w:rPr>
                <w:rFonts w:ascii="DejaVu Serif Condensed" w:hAnsi="DejaVu Serif Condensed" w:eastAsia="DejaVu Serif Condensed"/>
                <w:spacing w:val="-2"/>
                <w:w w:val="117"/>
                <w:sz w:val="20"/>
              </w:rPr>
              <w:t>(</w:t>
            </w:r>
            <w:r>
              <w:rPr>
                <w:rFonts w:ascii="DejaVu Serif Condensed" w:hAnsi="DejaVu Serif Condensed" w:eastAsia="DejaVu Serif Condensed"/>
                <w:w w:val="112"/>
                <w:sz w:val="20"/>
              </w:rPr>
              <w:t>𝐹</w:t>
            </w:r>
            <w:r>
              <w:rPr>
                <w:rFonts w:ascii="DejaVu Serif Condensed" w:hAnsi="DejaVu Serif Condensed" w:eastAsia="DejaVu Serif Condensed"/>
                <w:spacing w:val="-1"/>
                <w:w w:val="101"/>
                <w:sz w:val="20"/>
              </w:rPr>
              <w:t>𝑎</w:t>
            </w:r>
            <w:r>
              <w:rPr>
                <w:rFonts w:ascii="DejaVu Serif Condensed" w:hAnsi="DejaVu Serif Condensed" w:eastAsia="DejaVu Serif Condensed"/>
                <w:spacing w:val="-2"/>
                <w:w w:val="101"/>
                <w:sz w:val="20"/>
              </w:rPr>
              <w:t>𝑣</w:t>
            </w:r>
            <w:r>
              <w:rPr>
                <w:rFonts w:ascii="DejaVu Serif Condensed" w:hAnsi="DejaVu Serif Condensed" w:eastAsia="DejaVu Serif Condensed"/>
                <w:w w:val="92"/>
                <w:sz w:val="20"/>
              </w:rPr>
              <w:t>𝑜𝑟</w:t>
            </w:r>
            <w:r>
              <w:rPr>
                <w:rFonts w:ascii="DejaVu Serif Condensed" w:hAnsi="DejaVu Serif Condensed" w:eastAsia="DejaVu Serif Condensed"/>
                <w:spacing w:val="-1"/>
                <w:w w:val="58"/>
                <w:sz w:val="20"/>
              </w:rPr>
              <w:t>𝑖</w:t>
            </w:r>
            <w:r>
              <w:rPr>
                <w:rFonts w:ascii="DejaVu Serif Condensed" w:hAnsi="DejaVu Serif Condensed" w:eastAsia="DejaVu Serif Condensed"/>
                <w:spacing w:val="8"/>
                <w:w w:val="64"/>
                <w:position w:val="-3"/>
                <w:sz w:val="14"/>
              </w:rPr>
              <w:t>𝑖</w:t>
            </w:r>
            <w:r>
              <w:rPr>
                <w:rFonts w:ascii="DejaVu Serif Condensed" w:hAnsi="DejaVu Serif Condensed" w:eastAsia="DejaVu Serif Condensed"/>
                <w:w w:val="71"/>
                <w:position w:val="-3"/>
                <w:sz w:val="14"/>
              </w:rPr>
              <w:t>,</w:t>
            </w:r>
            <w:r>
              <w:rPr>
                <w:rFonts w:ascii="DejaVu Serif Condensed" w:hAnsi="DejaVu Serif Condensed" w:eastAsia="DejaVu Serif Condensed"/>
                <w:w w:val="81"/>
                <w:position w:val="-3"/>
                <w:sz w:val="14"/>
              </w:rPr>
              <w:t>𝑡</w:t>
            </w:r>
            <w:r>
              <w:rPr>
                <w:rFonts w:ascii="DejaVu Serif Condensed" w:hAnsi="DejaVu Serif Condensed" w:eastAsia="DejaVu Serif Condensed"/>
                <w:spacing w:val="-27"/>
                <w:position w:val="-3"/>
                <w:sz w:val="14"/>
              </w:rPr>
              <w:t> </w:t>
            </w:r>
            <w:r>
              <w:rPr>
                <w:rFonts w:ascii="DejaVu Serif Condensed" w:hAnsi="DejaVu Serif Condensed" w:eastAsia="DejaVu Serif Condensed"/>
                <w:w w:val="117"/>
                <w:sz w:val="20"/>
              </w:rPr>
              <w:t>)</w:t>
            </w:r>
          </w:p>
          <w:p>
            <w:pPr>
              <w:pStyle w:val="TableParagraph"/>
              <w:spacing w:line="237" w:lineRule="exact" w:before="113"/>
              <w:ind w:left="1640"/>
              <w:rPr>
                <w:rFonts w:ascii="DejaVu Serif Condensed" w:hAnsi="DejaVu Serif Condensed" w:eastAsia="DejaVu Serif Condensed"/>
                <w:sz w:val="14"/>
              </w:rPr>
            </w:pPr>
            <w:r>
              <w:rPr>
                <w:rFonts w:ascii="DejaVu Serif Condensed" w:hAnsi="DejaVu Serif Condensed" w:eastAsia="DejaVu Serif Condensed"/>
                <w:sz w:val="20"/>
              </w:rPr>
              <w:t>+ 𝜗</w:t>
            </w:r>
            <w:r>
              <w:rPr>
                <w:rFonts w:ascii="DejaVu Serif Condensed" w:hAnsi="DejaVu Serif Condensed" w:eastAsia="DejaVu Serif Condensed"/>
                <w:position w:val="-3"/>
                <w:sz w:val="14"/>
              </w:rPr>
              <w:t>2</w:t>
            </w:r>
            <w:r>
              <w:rPr>
                <w:rFonts w:ascii="DejaVu Serif Condensed" w:hAnsi="DejaVu Serif Condensed" w:eastAsia="DejaVu Serif Condensed"/>
                <w:sz w:val="20"/>
              </w:rPr>
              <w:t>∆ln (Ü𝑟ü𝑛</w:t>
            </w:r>
            <w:r>
              <w:rPr>
                <w:rFonts w:ascii="DejaVu Serif Condensed" w:hAnsi="DejaVu Serif Condensed" w:eastAsia="DejaVu Serif Condensed"/>
                <w:position w:val="-3"/>
                <w:sz w:val="14"/>
              </w:rPr>
              <w:t>𝑖,𝑡</w:t>
            </w:r>
            <w:r>
              <w:rPr>
                <w:rFonts w:ascii="DejaVu Serif Condensed" w:hAnsi="DejaVu Serif Condensed" w:eastAsia="DejaVu Serif Condensed"/>
                <w:sz w:val="20"/>
              </w:rPr>
              <w:t>) + ∆𝑢</w:t>
            </w:r>
            <w:r>
              <w:rPr>
                <w:rFonts w:ascii="DejaVu Serif Condensed" w:hAnsi="DejaVu Serif Condensed" w:eastAsia="DejaVu Serif Condensed"/>
                <w:position w:val="-3"/>
                <w:sz w:val="14"/>
              </w:rPr>
              <w:t>𝑖,𝑡</w:t>
            </w:r>
          </w:p>
        </w:tc>
        <w:tc>
          <w:tcPr>
            <w:tcW w:w="960" w:type="dxa"/>
          </w:tcPr>
          <w:p>
            <w:pPr>
              <w:pStyle w:val="TableParagraph"/>
              <w:ind w:left="0"/>
              <w:rPr>
                <w:sz w:val="26"/>
              </w:rPr>
            </w:pPr>
          </w:p>
          <w:p>
            <w:pPr>
              <w:pStyle w:val="TableParagraph"/>
              <w:ind w:left="0"/>
              <w:rPr>
                <w:sz w:val="26"/>
              </w:rPr>
            </w:pPr>
          </w:p>
          <w:p>
            <w:pPr>
              <w:pStyle w:val="TableParagraph"/>
              <w:spacing w:before="4"/>
              <w:ind w:left="0"/>
              <w:rPr>
                <w:sz w:val="21"/>
              </w:rPr>
            </w:pPr>
          </w:p>
          <w:p>
            <w:pPr>
              <w:pStyle w:val="TableParagraph"/>
              <w:spacing w:before="1"/>
              <w:ind w:left="0" w:right="197"/>
              <w:jc w:val="right"/>
              <w:rPr>
                <w:sz w:val="24"/>
              </w:rPr>
            </w:pPr>
            <w:r>
              <w:rPr>
                <w:sz w:val="24"/>
              </w:rPr>
              <w:t>(4)</w:t>
            </w:r>
          </w:p>
        </w:tc>
      </w:tr>
    </w:tbl>
    <w:p>
      <w:pPr>
        <w:pStyle w:val="BodyText"/>
        <w:ind w:left="0"/>
        <w:jc w:val="left"/>
        <w:rPr>
          <w:sz w:val="20"/>
        </w:rPr>
      </w:pPr>
    </w:p>
    <w:p>
      <w:pPr>
        <w:pStyle w:val="BodyText"/>
        <w:spacing w:before="5"/>
        <w:ind w:left="0"/>
        <w:jc w:val="left"/>
        <w:rPr>
          <w:sz w:val="20"/>
        </w:rPr>
      </w:pPr>
    </w:p>
    <w:p>
      <w:pPr>
        <w:pStyle w:val="Heading1"/>
        <w:numPr>
          <w:ilvl w:val="1"/>
          <w:numId w:val="3"/>
        </w:numPr>
        <w:tabs>
          <w:tab w:pos="1677" w:val="left" w:leader="none"/>
        </w:tabs>
        <w:spacing w:line="240" w:lineRule="auto" w:before="0" w:after="0"/>
        <w:ind w:left="1676" w:right="0" w:hanging="421"/>
        <w:jc w:val="both"/>
      </w:pPr>
      <w:r>
        <w:rPr/>
        <w:t>Bulgular</w:t>
      </w:r>
    </w:p>
    <w:p>
      <w:pPr>
        <w:pStyle w:val="BodyText"/>
        <w:spacing w:line="360" w:lineRule="auto" w:before="137"/>
        <w:ind w:right="313" w:firstLine="708"/>
      </w:pPr>
      <w:r>
        <w:rPr/>
        <w:t>Denklem</w:t>
      </w:r>
      <w:r>
        <w:rPr>
          <w:spacing w:val="-16"/>
        </w:rPr>
        <w:t> </w:t>
      </w:r>
      <w:r>
        <w:rPr/>
        <w:t>(3)</w:t>
      </w:r>
      <w:r>
        <w:rPr>
          <w:spacing w:val="-17"/>
        </w:rPr>
        <w:t> </w:t>
      </w:r>
      <w:r>
        <w:rPr/>
        <w:t>ve</w:t>
      </w:r>
      <w:r>
        <w:rPr>
          <w:spacing w:val="-17"/>
        </w:rPr>
        <w:t> </w:t>
      </w:r>
      <w:r>
        <w:rPr/>
        <w:t>Denklem</w:t>
      </w:r>
      <w:r>
        <w:rPr>
          <w:spacing w:val="-13"/>
        </w:rPr>
        <w:t> </w:t>
      </w:r>
      <w:r>
        <w:rPr/>
        <w:t>(4)</w:t>
      </w:r>
      <w:r>
        <w:rPr>
          <w:spacing w:val="-17"/>
        </w:rPr>
        <w:t> </w:t>
      </w:r>
      <w:r>
        <w:rPr/>
        <w:t>kullanılarak</w:t>
      </w:r>
      <w:r>
        <w:rPr>
          <w:spacing w:val="-13"/>
        </w:rPr>
        <w:t> </w:t>
      </w:r>
      <w:r>
        <w:rPr/>
        <w:t>analiz</w:t>
      </w:r>
      <w:r>
        <w:rPr>
          <w:spacing w:val="-17"/>
        </w:rPr>
        <w:t> </w:t>
      </w:r>
      <w:r>
        <w:rPr/>
        <w:t>gerçekleştirilmeden</w:t>
      </w:r>
      <w:r>
        <w:rPr>
          <w:spacing w:val="-16"/>
        </w:rPr>
        <w:t> </w:t>
      </w:r>
      <w:r>
        <w:rPr/>
        <w:t>önce</w:t>
      </w:r>
      <w:r>
        <w:rPr>
          <w:spacing w:val="-17"/>
        </w:rPr>
        <w:t> </w:t>
      </w:r>
      <w:r>
        <w:rPr/>
        <w:t>değişkenler birim kök (durağanlık) testine tabi tutulmuştur. Birim kökün varlığı, zaman içerisinde değişkende</w:t>
      </w:r>
      <w:r>
        <w:rPr>
          <w:spacing w:val="-11"/>
        </w:rPr>
        <w:t> </w:t>
      </w:r>
      <w:r>
        <w:rPr/>
        <w:t>meydana</w:t>
      </w:r>
      <w:r>
        <w:rPr>
          <w:spacing w:val="-7"/>
        </w:rPr>
        <w:t> </w:t>
      </w:r>
      <w:r>
        <w:rPr/>
        <w:t>gelen</w:t>
      </w:r>
      <w:r>
        <w:rPr>
          <w:spacing w:val="-9"/>
        </w:rPr>
        <w:t> </w:t>
      </w:r>
      <w:r>
        <w:rPr/>
        <w:t>bir</w:t>
      </w:r>
      <w:r>
        <w:rPr>
          <w:spacing w:val="-9"/>
        </w:rPr>
        <w:t> </w:t>
      </w:r>
      <w:r>
        <w:rPr/>
        <w:t>şokun</w:t>
      </w:r>
      <w:r>
        <w:rPr>
          <w:spacing w:val="-7"/>
        </w:rPr>
        <w:t> </w:t>
      </w:r>
      <w:r>
        <w:rPr/>
        <w:t>etkisinin</w:t>
      </w:r>
      <w:r>
        <w:rPr>
          <w:spacing w:val="-9"/>
        </w:rPr>
        <w:t> </w:t>
      </w:r>
      <w:r>
        <w:rPr/>
        <w:t>kalıcı</w:t>
      </w:r>
      <w:r>
        <w:rPr>
          <w:spacing w:val="-8"/>
        </w:rPr>
        <w:t> </w:t>
      </w:r>
      <w:r>
        <w:rPr/>
        <w:t>olduğunu</w:t>
      </w:r>
      <w:r>
        <w:rPr>
          <w:spacing w:val="-8"/>
        </w:rPr>
        <w:t> </w:t>
      </w:r>
      <w:r>
        <w:rPr/>
        <w:t>göstermektedir.</w:t>
      </w:r>
      <w:r>
        <w:rPr>
          <w:spacing w:val="-9"/>
        </w:rPr>
        <w:t> </w:t>
      </w:r>
      <w:r>
        <w:rPr/>
        <w:t>Böyle</w:t>
      </w:r>
      <w:r>
        <w:rPr>
          <w:spacing w:val="-10"/>
        </w:rPr>
        <w:t> </w:t>
      </w:r>
      <w:r>
        <w:rPr/>
        <w:t>bir</w:t>
      </w:r>
      <w:r>
        <w:rPr>
          <w:spacing w:val="-9"/>
        </w:rPr>
        <w:t> </w:t>
      </w:r>
      <w:r>
        <w:rPr/>
        <w:t>şok etkisine ürünün yeni versiyonun piyasaya sürülmesi, yasal düzenlemelerde gerçekleşen değişimler ve markanın bir halkla ilişkiler krizi yaşaması gibi ani değişimler neden olabilmektedir (Pauwels, 2017: 100). Bir dinamik panel veri modelinde, bağımlı değişkenin durağan olması, birim kök olmaması, model güvenilirliği için ön koşuldur (Kübler vd., 2018).</w:t>
      </w:r>
    </w:p>
    <w:p>
      <w:pPr>
        <w:pStyle w:val="BodyText"/>
        <w:spacing w:line="360" w:lineRule="auto" w:before="1"/>
        <w:ind w:right="313" w:firstLine="708"/>
      </w:pPr>
      <w:r>
        <w:rPr/>
        <w:t>Değişkenlerde birim kök olup olmadığı, Fisher tipi panel birim kök testi ile test edilmiştir (Choi, 2001). Bu testin sıfır hipotezi tüm panellerde birim kök olduğunu belirtmektedir. Tablo 16’da yer alan test sonuçları </w:t>
      </w:r>
      <w:r>
        <w:rPr>
          <w:i/>
        </w:rPr>
        <w:t>ln(Olumsuz) </w:t>
      </w:r>
      <w:r>
        <w:rPr/>
        <w:t>dışındaki diğer tüm değişkenler</w:t>
      </w:r>
      <w:r>
        <w:rPr>
          <w:spacing w:val="-7"/>
        </w:rPr>
        <w:t> </w:t>
      </w:r>
      <w:r>
        <w:rPr/>
        <w:t>için</w:t>
      </w:r>
      <w:r>
        <w:rPr>
          <w:spacing w:val="-6"/>
        </w:rPr>
        <w:t> </w:t>
      </w:r>
      <w:r>
        <w:rPr/>
        <w:t>%99</w:t>
      </w:r>
      <w:r>
        <w:rPr>
          <w:spacing w:val="-6"/>
        </w:rPr>
        <w:t> </w:t>
      </w:r>
      <w:r>
        <w:rPr/>
        <w:t>güven</w:t>
      </w:r>
      <w:r>
        <w:rPr>
          <w:spacing w:val="-6"/>
        </w:rPr>
        <w:t> </w:t>
      </w:r>
      <w:r>
        <w:rPr/>
        <w:t>aralığında,</w:t>
      </w:r>
      <w:r>
        <w:rPr>
          <w:spacing w:val="-6"/>
        </w:rPr>
        <w:t> </w:t>
      </w:r>
      <w:r>
        <w:rPr>
          <w:i/>
        </w:rPr>
        <w:t>ln(Olumsuz)</w:t>
      </w:r>
      <w:r>
        <w:rPr>
          <w:i/>
          <w:spacing w:val="-6"/>
        </w:rPr>
        <w:t> </w:t>
      </w:r>
      <w:r>
        <w:rPr/>
        <w:t>değişkeni</w:t>
      </w:r>
      <w:r>
        <w:rPr>
          <w:spacing w:val="-6"/>
        </w:rPr>
        <w:t> </w:t>
      </w:r>
      <w:r>
        <w:rPr/>
        <w:t>için</w:t>
      </w:r>
      <w:r>
        <w:rPr>
          <w:spacing w:val="-6"/>
        </w:rPr>
        <w:t> </w:t>
      </w:r>
      <w:r>
        <w:rPr/>
        <w:t>ise</w:t>
      </w:r>
      <w:r>
        <w:rPr>
          <w:spacing w:val="-6"/>
        </w:rPr>
        <w:t> </w:t>
      </w:r>
      <w:r>
        <w:rPr/>
        <w:t>%90</w:t>
      </w:r>
      <w:r>
        <w:rPr>
          <w:spacing w:val="-4"/>
        </w:rPr>
        <w:t> </w:t>
      </w:r>
      <w:r>
        <w:rPr/>
        <w:t>güven</w:t>
      </w:r>
      <w:r>
        <w:rPr>
          <w:spacing w:val="-5"/>
        </w:rPr>
        <w:t> </w:t>
      </w:r>
      <w:r>
        <w:rPr/>
        <w:t>aralığında sıfır hipotezini</w:t>
      </w:r>
      <w:r>
        <w:rPr>
          <w:spacing w:val="-2"/>
        </w:rPr>
        <w:t> </w:t>
      </w:r>
      <w:r>
        <w:rPr/>
        <w:t>reddetmektedir.</w:t>
      </w:r>
    </w:p>
    <w:p>
      <w:pPr>
        <w:pStyle w:val="BodyText"/>
        <w:spacing w:before="121"/>
      </w:pPr>
      <w:r>
        <w:rPr>
          <w:b/>
        </w:rPr>
        <w:t>Tablo 16: </w:t>
      </w:r>
      <w:r>
        <w:rPr/>
        <w:t>Etsy.com Uygulaması için Fisher Tipi Panel Birim Kök Testi Sonuçları</w:t>
      </w:r>
    </w:p>
    <w:tbl>
      <w:tblPr>
        <w:tblW w:w="0" w:type="auto"/>
        <w:jc w:val="left"/>
        <w:tblInd w:w="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7"/>
        <w:gridCol w:w="2705"/>
        <w:gridCol w:w="1689"/>
      </w:tblGrid>
      <w:tr>
        <w:trPr>
          <w:trHeight w:val="275" w:hRule="atLeast"/>
        </w:trPr>
        <w:tc>
          <w:tcPr>
            <w:tcW w:w="2277" w:type="dxa"/>
            <w:tcBorders>
              <w:top w:val="single" w:sz="4" w:space="0" w:color="000000"/>
              <w:bottom w:val="single" w:sz="4" w:space="0" w:color="000000"/>
            </w:tcBorders>
          </w:tcPr>
          <w:p>
            <w:pPr>
              <w:pStyle w:val="TableParagraph"/>
              <w:spacing w:line="256" w:lineRule="exact"/>
              <w:ind w:left="115"/>
              <w:rPr>
                <w:b/>
                <w:sz w:val="24"/>
              </w:rPr>
            </w:pPr>
            <w:r>
              <w:rPr>
                <w:b/>
                <w:sz w:val="24"/>
              </w:rPr>
              <w:t>Değişkenler</w:t>
            </w:r>
          </w:p>
        </w:tc>
        <w:tc>
          <w:tcPr>
            <w:tcW w:w="2705" w:type="dxa"/>
            <w:tcBorders>
              <w:top w:val="single" w:sz="4" w:space="0" w:color="000000"/>
              <w:bottom w:val="single" w:sz="4" w:space="0" w:color="000000"/>
            </w:tcBorders>
          </w:tcPr>
          <w:p>
            <w:pPr>
              <w:pStyle w:val="TableParagraph"/>
              <w:spacing w:line="256" w:lineRule="exact"/>
              <w:ind w:left="390"/>
              <w:rPr>
                <w:b/>
                <w:sz w:val="24"/>
              </w:rPr>
            </w:pPr>
            <w:r>
              <w:rPr>
                <w:b/>
                <w:sz w:val="24"/>
              </w:rPr>
              <w:t>Ki-kare istatistiği</w:t>
            </w:r>
          </w:p>
        </w:tc>
        <w:tc>
          <w:tcPr>
            <w:tcW w:w="1689" w:type="dxa"/>
            <w:tcBorders>
              <w:top w:val="single" w:sz="4" w:space="0" w:color="000000"/>
              <w:bottom w:val="single" w:sz="4" w:space="0" w:color="000000"/>
            </w:tcBorders>
          </w:tcPr>
          <w:p>
            <w:pPr>
              <w:pStyle w:val="TableParagraph"/>
              <w:spacing w:line="256" w:lineRule="exact"/>
              <w:ind w:left="522"/>
              <w:rPr>
                <w:b/>
                <w:sz w:val="24"/>
              </w:rPr>
            </w:pPr>
            <w:r>
              <w:rPr>
                <w:b/>
                <w:sz w:val="24"/>
              </w:rPr>
              <w:t>p değeri</w:t>
            </w:r>
          </w:p>
        </w:tc>
      </w:tr>
      <w:tr>
        <w:trPr>
          <w:trHeight w:val="275" w:hRule="atLeast"/>
        </w:trPr>
        <w:tc>
          <w:tcPr>
            <w:tcW w:w="2277" w:type="dxa"/>
            <w:tcBorders>
              <w:top w:val="single" w:sz="4" w:space="0" w:color="000000"/>
            </w:tcBorders>
            <w:shd w:val="clear" w:color="auto" w:fill="F1F1F1"/>
          </w:tcPr>
          <w:p>
            <w:pPr>
              <w:pStyle w:val="TableParagraph"/>
              <w:spacing w:line="256" w:lineRule="exact"/>
              <w:ind w:left="115"/>
              <w:rPr>
                <w:sz w:val="24"/>
              </w:rPr>
            </w:pPr>
            <w:r>
              <w:rPr>
                <w:sz w:val="24"/>
              </w:rPr>
              <w:t>ln(Satış)</w:t>
            </w:r>
          </w:p>
        </w:tc>
        <w:tc>
          <w:tcPr>
            <w:tcW w:w="2705" w:type="dxa"/>
            <w:tcBorders>
              <w:top w:val="single" w:sz="4" w:space="0" w:color="000000"/>
            </w:tcBorders>
            <w:shd w:val="clear" w:color="auto" w:fill="F1F1F1"/>
          </w:tcPr>
          <w:p>
            <w:pPr>
              <w:pStyle w:val="TableParagraph"/>
              <w:spacing w:line="256" w:lineRule="exact"/>
              <w:ind w:left="390"/>
              <w:rPr>
                <w:sz w:val="24"/>
              </w:rPr>
            </w:pPr>
            <w:r>
              <w:rPr>
                <w:sz w:val="24"/>
              </w:rPr>
              <w:t>1153,63</w:t>
            </w:r>
          </w:p>
        </w:tc>
        <w:tc>
          <w:tcPr>
            <w:tcW w:w="1689" w:type="dxa"/>
            <w:tcBorders>
              <w:top w:val="single" w:sz="4" w:space="0" w:color="000000"/>
            </w:tcBorders>
            <w:shd w:val="clear" w:color="auto" w:fill="F1F1F1"/>
          </w:tcPr>
          <w:p>
            <w:pPr>
              <w:pStyle w:val="TableParagraph"/>
              <w:spacing w:line="256" w:lineRule="exact"/>
              <w:ind w:left="522"/>
              <w:rPr>
                <w:sz w:val="24"/>
              </w:rPr>
            </w:pPr>
            <w:r>
              <w:rPr>
                <w:sz w:val="24"/>
              </w:rPr>
              <w:t>,0000</w:t>
            </w:r>
          </w:p>
        </w:tc>
      </w:tr>
      <w:tr>
        <w:trPr>
          <w:trHeight w:val="276" w:hRule="atLeast"/>
        </w:trPr>
        <w:tc>
          <w:tcPr>
            <w:tcW w:w="2277" w:type="dxa"/>
          </w:tcPr>
          <w:p>
            <w:pPr>
              <w:pStyle w:val="TableParagraph"/>
              <w:spacing w:line="257" w:lineRule="exact"/>
              <w:ind w:left="115"/>
              <w:rPr>
                <w:sz w:val="24"/>
              </w:rPr>
            </w:pPr>
            <w:r>
              <w:rPr>
                <w:sz w:val="24"/>
              </w:rPr>
              <w:t>ln(ToplamYorum)</w:t>
            </w:r>
          </w:p>
        </w:tc>
        <w:tc>
          <w:tcPr>
            <w:tcW w:w="2705" w:type="dxa"/>
          </w:tcPr>
          <w:p>
            <w:pPr>
              <w:pStyle w:val="TableParagraph"/>
              <w:spacing w:line="257" w:lineRule="exact"/>
              <w:ind w:left="390"/>
              <w:rPr>
                <w:sz w:val="24"/>
              </w:rPr>
            </w:pPr>
            <w:r>
              <w:rPr>
                <w:sz w:val="24"/>
              </w:rPr>
              <w:t>1239,21</w:t>
            </w:r>
          </w:p>
        </w:tc>
        <w:tc>
          <w:tcPr>
            <w:tcW w:w="1689" w:type="dxa"/>
          </w:tcPr>
          <w:p>
            <w:pPr>
              <w:pStyle w:val="TableParagraph"/>
              <w:spacing w:line="257" w:lineRule="exact"/>
              <w:ind w:left="522"/>
              <w:rPr>
                <w:sz w:val="24"/>
              </w:rPr>
            </w:pPr>
            <w:r>
              <w:rPr>
                <w:sz w:val="24"/>
              </w:rPr>
              <w:t>,0000</w:t>
            </w:r>
          </w:p>
        </w:tc>
      </w:tr>
      <w:tr>
        <w:trPr>
          <w:trHeight w:val="276" w:hRule="atLeast"/>
        </w:trPr>
        <w:tc>
          <w:tcPr>
            <w:tcW w:w="2277" w:type="dxa"/>
            <w:shd w:val="clear" w:color="auto" w:fill="F1F1F1"/>
          </w:tcPr>
          <w:p>
            <w:pPr>
              <w:pStyle w:val="TableParagraph"/>
              <w:spacing w:line="256" w:lineRule="exact"/>
              <w:ind w:left="115"/>
              <w:rPr>
                <w:sz w:val="24"/>
              </w:rPr>
            </w:pPr>
            <w:r>
              <w:rPr>
                <w:sz w:val="24"/>
              </w:rPr>
              <w:t>ln(Ort.Puan)</w:t>
            </w:r>
          </w:p>
        </w:tc>
        <w:tc>
          <w:tcPr>
            <w:tcW w:w="2705" w:type="dxa"/>
            <w:shd w:val="clear" w:color="auto" w:fill="F1F1F1"/>
          </w:tcPr>
          <w:p>
            <w:pPr>
              <w:pStyle w:val="TableParagraph"/>
              <w:spacing w:line="256" w:lineRule="exact"/>
              <w:ind w:left="390"/>
              <w:rPr>
                <w:sz w:val="24"/>
              </w:rPr>
            </w:pPr>
            <w:r>
              <w:rPr>
                <w:sz w:val="24"/>
              </w:rPr>
              <w:t>1369,75</w:t>
            </w:r>
          </w:p>
        </w:tc>
        <w:tc>
          <w:tcPr>
            <w:tcW w:w="1689" w:type="dxa"/>
            <w:shd w:val="clear" w:color="auto" w:fill="F1F1F1"/>
          </w:tcPr>
          <w:p>
            <w:pPr>
              <w:pStyle w:val="TableParagraph"/>
              <w:spacing w:line="256" w:lineRule="exact"/>
              <w:ind w:left="522"/>
              <w:rPr>
                <w:sz w:val="24"/>
              </w:rPr>
            </w:pPr>
            <w:r>
              <w:rPr>
                <w:sz w:val="24"/>
              </w:rPr>
              <w:t>,0000</w:t>
            </w:r>
          </w:p>
        </w:tc>
      </w:tr>
      <w:tr>
        <w:trPr>
          <w:trHeight w:val="275" w:hRule="atLeast"/>
        </w:trPr>
        <w:tc>
          <w:tcPr>
            <w:tcW w:w="2277" w:type="dxa"/>
          </w:tcPr>
          <w:p>
            <w:pPr>
              <w:pStyle w:val="TableParagraph"/>
              <w:spacing w:line="256" w:lineRule="exact"/>
              <w:ind w:left="115"/>
              <w:rPr>
                <w:sz w:val="24"/>
              </w:rPr>
            </w:pPr>
            <w:r>
              <w:rPr>
                <w:sz w:val="24"/>
              </w:rPr>
              <w:t>ln(Olumsuz)</w:t>
            </w:r>
          </w:p>
        </w:tc>
        <w:tc>
          <w:tcPr>
            <w:tcW w:w="2705" w:type="dxa"/>
          </w:tcPr>
          <w:p>
            <w:pPr>
              <w:pStyle w:val="TableParagraph"/>
              <w:spacing w:line="256" w:lineRule="exact"/>
              <w:ind w:left="390"/>
              <w:rPr>
                <w:sz w:val="24"/>
              </w:rPr>
            </w:pPr>
            <w:r>
              <w:rPr>
                <w:sz w:val="24"/>
              </w:rPr>
              <w:t>323,07</w:t>
            </w:r>
          </w:p>
        </w:tc>
        <w:tc>
          <w:tcPr>
            <w:tcW w:w="1689" w:type="dxa"/>
          </w:tcPr>
          <w:p>
            <w:pPr>
              <w:pStyle w:val="TableParagraph"/>
              <w:spacing w:line="256" w:lineRule="exact"/>
              <w:ind w:left="522"/>
              <w:rPr>
                <w:sz w:val="24"/>
              </w:rPr>
            </w:pPr>
            <w:r>
              <w:rPr>
                <w:sz w:val="24"/>
              </w:rPr>
              <w:t>,0551</w:t>
            </w:r>
          </w:p>
        </w:tc>
      </w:tr>
      <w:tr>
        <w:trPr>
          <w:trHeight w:val="276" w:hRule="atLeast"/>
        </w:trPr>
        <w:tc>
          <w:tcPr>
            <w:tcW w:w="2277" w:type="dxa"/>
            <w:shd w:val="clear" w:color="auto" w:fill="F1F1F1"/>
          </w:tcPr>
          <w:p>
            <w:pPr>
              <w:pStyle w:val="TableParagraph"/>
              <w:spacing w:line="256" w:lineRule="exact"/>
              <w:ind w:left="115"/>
              <w:rPr>
                <w:sz w:val="24"/>
              </w:rPr>
            </w:pPr>
            <w:r>
              <w:rPr>
                <w:sz w:val="24"/>
              </w:rPr>
              <w:t>ln(Nötr)</w:t>
            </w:r>
          </w:p>
        </w:tc>
        <w:tc>
          <w:tcPr>
            <w:tcW w:w="2705" w:type="dxa"/>
            <w:shd w:val="clear" w:color="auto" w:fill="F1F1F1"/>
          </w:tcPr>
          <w:p>
            <w:pPr>
              <w:pStyle w:val="TableParagraph"/>
              <w:spacing w:line="256" w:lineRule="exact"/>
              <w:ind w:left="390"/>
              <w:rPr>
                <w:sz w:val="24"/>
              </w:rPr>
            </w:pPr>
            <w:r>
              <w:rPr>
                <w:sz w:val="24"/>
              </w:rPr>
              <w:t>355,48</w:t>
            </w:r>
          </w:p>
        </w:tc>
        <w:tc>
          <w:tcPr>
            <w:tcW w:w="1689" w:type="dxa"/>
            <w:shd w:val="clear" w:color="auto" w:fill="F1F1F1"/>
          </w:tcPr>
          <w:p>
            <w:pPr>
              <w:pStyle w:val="TableParagraph"/>
              <w:spacing w:line="256" w:lineRule="exact"/>
              <w:ind w:left="522"/>
              <w:rPr>
                <w:sz w:val="24"/>
              </w:rPr>
            </w:pPr>
            <w:r>
              <w:rPr>
                <w:sz w:val="24"/>
              </w:rPr>
              <w:t>,0025</w:t>
            </w:r>
          </w:p>
        </w:tc>
      </w:tr>
      <w:tr>
        <w:trPr>
          <w:trHeight w:val="276" w:hRule="atLeast"/>
        </w:trPr>
        <w:tc>
          <w:tcPr>
            <w:tcW w:w="2277" w:type="dxa"/>
          </w:tcPr>
          <w:p>
            <w:pPr>
              <w:pStyle w:val="TableParagraph"/>
              <w:spacing w:line="256" w:lineRule="exact"/>
              <w:ind w:left="115"/>
              <w:rPr>
                <w:sz w:val="24"/>
              </w:rPr>
            </w:pPr>
            <w:r>
              <w:rPr>
                <w:sz w:val="24"/>
              </w:rPr>
              <w:t>ln(Olumlu)</w:t>
            </w:r>
          </w:p>
        </w:tc>
        <w:tc>
          <w:tcPr>
            <w:tcW w:w="2705" w:type="dxa"/>
          </w:tcPr>
          <w:p>
            <w:pPr>
              <w:pStyle w:val="TableParagraph"/>
              <w:spacing w:line="256" w:lineRule="exact"/>
              <w:ind w:left="390"/>
              <w:rPr>
                <w:sz w:val="24"/>
              </w:rPr>
            </w:pPr>
            <w:r>
              <w:rPr>
                <w:sz w:val="24"/>
              </w:rPr>
              <w:t>1096,94</w:t>
            </w:r>
          </w:p>
        </w:tc>
        <w:tc>
          <w:tcPr>
            <w:tcW w:w="1689" w:type="dxa"/>
          </w:tcPr>
          <w:p>
            <w:pPr>
              <w:pStyle w:val="TableParagraph"/>
              <w:spacing w:line="256" w:lineRule="exact"/>
              <w:ind w:left="522"/>
              <w:rPr>
                <w:sz w:val="24"/>
              </w:rPr>
            </w:pPr>
            <w:r>
              <w:rPr>
                <w:sz w:val="24"/>
              </w:rPr>
              <w:t>,0000</w:t>
            </w:r>
          </w:p>
        </w:tc>
      </w:tr>
      <w:tr>
        <w:trPr>
          <w:trHeight w:val="276" w:hRule="atLeast"/>
        </w:trPr>
        <w:tc>
          <w:tcPr>
            <w:tcW w:w="2277" w:type="dxa"/>
            <w:shd w:val="clear" w:color="auto" w:fill="F1F1F1"/>
          </w:tcPr>
          <w:p>
            <w:pPr>
              <w:pStyle w:val="TableParagraph"/>
              <w:spacing w:line="256" w:lineRule="exact"/>
              <w:ind w:left="115"/>
              <w:rPr>
                <w:sz w:val="24"/>
              </w:rPr>
            </w:pPr>
            <w:r>
              <w:rPr>
                <w:sz w:val="24"/>
              </w:rPr>
              <w:t>ln(Favori)</w:t>
            </w:r>
          </w:p>
        </w:tc>
        <w:tc>
          <w:tcPr>
            <w:tcW w:w="2705" w:type="dxa"/>
            <w:shd w:val="clear" w:color="auto" w:fill="F1F1F1"/>
          </w:tcPr>
          <w:p>
            <w:pPr>
              <w:pStyle w:val="TableParagraph"/>
              <w:spacing w:line="256" w:lineRule="exact"/>
              <w:ind w:left="390"/>
              <w:rPr>
                <w:sz w:val="24"/>
              </w:rPr>
            </w:pPr>
            <w:r>
              <w:rPr>
                <w:sz w:val="24"/>
              </w:rPr>
              <w:t>1288,80</w:t>
            </w:r>
          </w:p>
        </w:tc>
        <w:tc>
          <w:tcPr>
            <w:tcW w:w="1689" w:type="dxa"/>
            <w:shd w:val="clear" w:color="auto" w:fill="F1F1F1"/>
          </w:tcPr>
          <w:p>
            <w:pPr>
              <w:pStyle w:val="TableParagraph"/>
              <w:spacing w:line="256" w:lineRule="exact"/>
              <w:ind w:left="522"/>
              <w:rPr>
                <w:sz w:val="24"/>
              </w:rPr>
            </w:pPr>
            <w:r>
              <w:rPr>
                <w:sz w:val="24"/>
              </w:rPr>
              <w:t>,0000</w:t>
            </w:r>
          </w:p>
        </w:tc>
      </w:tr>
      <w:tr>
        <w:trPr>
          <w:trHeight w:val="275" w:hRule="atLeast"/>
        </w:trPr>
        <w:tc>
          <w:tcPr>
            <w:tcW w:w="2277" w:type="dxa"/>
            <w:tcBorders>
              <w:bottom w:val="single" w:sz="4" w:space="0" w:color="000000"/>
            </w:tcBorders>
          </w:tcPr>
          <w:p>
            <w:pPr>
              <w:pStyle w:val="TableParagraph"/>
              <w:spacing w:line="256" w:lineRule="exact"/>
              <w:ind w:left="115"/>
              <w:rPr>
                <w:sz w:val="24"/>
              </w:rPr>
            </w:pPr>
            <w:r>
              <w:rPr>
                <w:sz w:val="24"/>
              </w:rPr>
              <w:t>ln(Ürün)</w:t>
            </w:r>
          </w:p>
        </w:tc>
        <w:tc>
          <w:tcPr>
            <w:tcW w:w="2705" w:type="dxa"/>
            <w:tcBorders>
              <w:bottom w:val="single" w:sz="4" w:space="0" w:color="000000"/>
            </w:tcBorders>
          </w:tcPr>
          <w:p>
            <w:pPr>
              <w:pStyle w:val="TableParagraph"/>
              <w:spacing w:line="256" w:lineRule="exact"/>
              <w:ind w:left="390"/>
              <w:rPr>
                <w:sz w:val="24"/>
              </w:rPr>
            </w:pPr>
            <w:r>
              <w:rPr>
                <w:sz w:val="24"/>
              </w:rPr>
              <w:t>887,83</w:t>
            </w:r>
          </w:p>
        </w:tc>
        <w:tc>
          <w:tcPr>
            <w:tcW w:w="1689" w:type="dxa"/>
            <w:tcBorders>
              <w:bottom w:val="single" w:sz="4" w:space="0" w:color="000000"/>
            </w:tcBorders>
          </w:tcPr>
          <w:p>
            <w:pPr>
              <w:pStyle w:val="TableParagraph"/>
              <w:spacing w:line="256" w:lineRule="exact"/>
              <w:ind w:left="522"/>
              <w:rPr>
                <w:sz w:val="24"/>
              </w:rPr>
            </w:pPr>
            <w:r>
              <w:rPr>
                <w:sz w:val="24"/>
              </w:rPr>
              <w:t>,0000</w:t>
            </w:r>
          </w:p>
        </w:tc>
      </w:tr>
    </w:tbl>
    <w:p>
      <w:pPr>
        <w:spacing w:after="0" w:line="256" w:lineRule="exact"/>
        <w:rPr>
          <w:sz w:val="24"/>
        </w:rPr>
        <w:sectPr>
          <w:pgSz w:w="12240" w:h="15840"/>
          <w:pgMar w:header="718" w:footer="0" w:top="1300" w:bottom="280" w:left="1720" w:right="820"/>
        </w:sectPr>
      </w:pPr>
    </w:p>
    <w:p>
      <w:pPr>
        <w:pStyle w:val="BodyText"/>
        <w:spacing w:line="360" w:lineRule="auto" w:before="100"/>
        <w:ind w:right="308" w:firstLine="708"/>
      </w:pPr>
      <w:r>
        <w:rPr/>
        <w:t>Öncelikle, satıcı itibarının aracılık etkisini dahil etmeden, hacim ve değerlik değişkenlerinin</w:t>
      </w:r>
      <w:r>
        <w:rPr>
          <w:spacing w:val="-8"/>
        </w:rPr>
        <w:t> </w:t>
      </w:r>
      <w:r>
        <w:rPr/>
        <w:t>satışlar</w:t>
      </w:r>
      <w:r>
        <w:rPr>
          <w:spacing w:val="-8"/>
        </w:rPr>
        <w:t> </w:t>
      </w:r>
      <w:r>
        <w:rPr/>
        <w:t>üzerine</w:t>
      </w:r>
      <w:r>
        <w:rPr>
          <w:spacing w:val="-8"/>
        </w:rPr>
        <w:t> </w:t>
      </w:r>
      <w:r>
        <w:rPr/>
        <w:t>etkisini</w:t>
      </w:r>
      <w:r>
        <w:rPr>
          <w:spacing w:val="-6"/>
        </w:rPr>
        <w:t> </w:t>
      </w:r>
      <w:r>
        <w:rPr/>
        <w:t>görmek</w:t>
      </w:r>
      <w:r>
        <w:rPr>
          <w:spacing w:val="-7"/>
        </w:rPr>
        <w:t> </w:t>
      </w:r>
      <w:r>
        <w:rPr/>
        <w:t>için</w:t>
      </w:r>
      <w:r>
        <w:rPr>
          <w:spacing w:val="-5"/>
        </w:rPr>
        <w:t> </w:t>
      </w:r>
      <w:r>
        <w:rPr/>
        <w:t>Denklem</w:t>
      </w:r>
      <w:r>
        <w:rPr>
          <w:spacing w:val="-7"/>
        </w:rPr>
        <w:t> </w:t>
      </w:r>
      <w:r>
        <w:rPr/>
        <w:t>(3)</w:t>
      </w:r>
      <w:r>
        <w:rPr>
          <w:spacing w:val="-9"/>
        </w:rPr>
        <w:t> </w:t>
      </w:r>
      <w:r>
        <w:rPr/>
        <w:t>ve</w:t>
      </w:r>
      <w:r>
        <w:rPr>
          <w:spacing w:val="-9"/>
        </w:rPr>
        <w:t> </w:t>
      </w:r>
      <w:r>
        <w:rPr/>
        <w:t>Denklem</w:t>
      </w:r>
      <w:r>
        <w:rPr>
          <w:spacing w:val="-7"/>
        </w:rPr>
        <w:t> </w:t>
      </w:r>
      <w:r>
        <w:rPr/>
        <w:t>(4),</w:t>
      </w:r>
      <w:r>
        <w:rPr>
          <w:spacing w:val="-7"/>
        </w:rPr>
        <w:t> </w:t>
      </w:r>
      <w:r>
        <w:rPr/>
        <w:t>Kripfganz (2019)’un doğrusal dinamik panel veri setleri için geliştirdiği GMM tahmincisi </w:t>
      </w:r>
      <w:r>
        <w:rPr>
          <w:i/>
        </w:rPr>
        <w:t>xtdpdgmm </w:t>
      </w:r>
      <w:r>
        <w:rPr/>
        <w:t>ile Stata’da tahmin</w:t>
      </w:r>
      <w:r>
        <w:rPr>
          <w:spacing w:val="-3"/>
        </w:rPr>
        <w:t> </w:t>
      </w:r>
      <w:r>
        <w:rPr/>
        <w:t>edilmiştir.</w:t>
      </w:r>
    </w:p>
    <w:p>
      <w:pPr>
        <w:pStyle w:val="BodyText"/>
        <w:spacing w:line="360" w:lineRule="auto" w:before="1"/>
        <w:ind w:right="312" w:firstLine="708"/>
      </w:pPr>
      <w:r>
        <w:rPr/>
        <w:t>Denklem (3) ve Denklem (4) için yapılan Hansen testi sonuçlarına göre kullanılan araç değişkenler geçerlidir (bk. Tablo 17). Ayrıca, otokorelasyon testi sonuçlarına göre, beklenildiği gibi birinci dereceden otokorelasyon tespit edilmiş ancak ikinci dereceden otokorelasyon olmadığı görülmüştür. Wald χ</w:t>
      </w:r>
      <w:r>
        <w:rPr>
          <w:vertAlign w:val="superscript"/>
        </w:rPr>
        <w:t>2</w:t>
      </w:r>
      <w:r>
        <w:rPr>
          <w:vertAlign w:val="baseline"/>
        </w:rPr>
        <w:t> testi sonucu da modelin bütün olarak anlamlı olduğunu göstermektedir.</w:t>
      </w:r>
    </w:p>
    <w:p>
      <w:pPr>
        <w:pStyle w:val="BodyText"/>
        <w:spacing w:line="360" w:lineRule="auto"/>
        <w:ind w:right="314" w:firstLine="708"/>
      </w:pPr>
      <w:r>
        <w:rPr/>
        <w:t>Tablo 17’de yer alan sonuçlara göre, bağımlı değişkenin modele dahil edilen tüm gecikmelilerinin katsayıları pozitif ve istatistiksel olarak anlamlıdır. Katsayılara bakıldığında, gecikme büyüdükçe etki büyüklüğünün azaldığı görülmektedir. Satış miktarının, bir önceki hafta satışlarından önemli ölçüde etkilendiği ve daha önceki haftalardaki satışlardan çok daha az etkilendiği söylenebilir.</w:t>
      </w:r>
    </w:p>
    <w:p>
      <w:pPr>
        <w:pStyle w:val="BodyText"/>
        <w:spacing w:before="1"/>
      </w:pPr>
      <w:r>
        <w:rPr>
          <w:b/>
        </w:rPr>
        <w:t>Tablo 17: </w:t>
      </w:r>
      <w:r>
        <w:rPr/>
        <w:t>Denklem (3) ve Denklem (4) Sistem GMM Tahminleri</w:t>
      </w: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32"/>
        <w:gridCol w:w="1539"/>
        <w:gridCol w:w="1465"/>
        <w:gridCol w:w="1556"/>
        <w:gridCol w:w="1379"/>
      </w:tblGrid>
      <w:tr>
        <w:trPr>
          <w:trHeight w:val="283" w:hRule="atLeast"/>
        </w:trPr>
        <w:tc>
          <w:tcPr>
            <w:tcW w:w="2932" w:type="dxa"/>
            <w:vMerge w:val="restart"/>
            <w:tcBorders>
              <w:top w:val="single" w:sz="8" w:space="0" w:color="000000"/>
              <w:bottom w:val="single" w:sz="8" w:space="0" w:color="000000"/>
            </w:tcBorders>
          </w:tcPr>
          <w:p>
            <w:pPr>
              <w:pStyle w:val="TableParagraph"/>
              <w:spacing w:before="32"/>
              <w:ind w:left="122"/>
              <w:rPr>
                <w:b/>
                <w:sz w:val="24"/>
              </w:rPr>
            </w:pPr>
            <w:r>
              <w:rPr>
                <w:b/>
                <w:sz w:val="24"/>
              </w:rPr>
              <w:t>Değişken</w:t>
            </w:r>
          </w:p>
          <w:p>
            <w:pPr>
              <w:pStyle w:val="TableParagraph"/>
              <w:spacing w:line="256" w:lineRule="exact"/>
              <w:ind w:left="122"/>
              <w:rPr>
                <w:sz w:val="24"/>
              </w:rPr>
            </w:pPr>
            <w:r>
              <w:rPr>
                <w:sz w:val="24"/>
              </w:rPr>
              <w:t>(Bağımlı Değişken: Satış)</w:t>
            </w:r>
          </w:p>
        </w:tc>
        <w:tc>
          <w:tcPr>
            <w:tcW w:w="3004" w:type="dxa"/>
            <w:gridSpan w:val="2"/>
            <w:tcBorders>
              <w:top w:val="single" w:sz="8" w:space="0" w:color="000000"/>
            </w:tcBorders>
          </w:tcPr>
          <w:p>
            <w:pPr>
              <w:pStyle w:val="TableParagraph"/>
              <w:tabs>
                <w:tab w:pos="1124" w:val="left" w:leader="none"/>
                <w:tab w:pos="3976" w:val="left" w:leader="none"/>
              </w:tabs>
              <w:spacing w:line="263" w:lineRule="exact"/>
              <w:ind w:left="207" w:right="-980"/>
              <w:rPr>
                <w:b/>
                <w:sz w:val="24"/>
              </w:rPr>
            </w:pPr>
            <w:r>
              <w:rPr>
                <w:b/>
                <w:sz w:val="24"/>
                <w:u w:val="single"/>
              </w:rPr>
              <w:t> </w:t>
              <w:tab/>
              <w:t>Denklem</w:t>
            </w:r>
            <w:r>
              <w:rPr>
                <w:b/>
                <w:spacing w:val="-3"/>
                <w:sz w:val="24"/>
                <w:u w:val="single"/>
              </w:rPr>
              <w:t> </w:t>
            </w:r>
            <w:r>
              <w:rPr>
                <w:b/>
                <w:sz w:val="24"/>
                <w:u w:val="single"/>
              </w:rPr>
              <w:t>(3)</w:t>
              <w:tab/>
            </w:r>
          </w:p>
        </w:tc>
        <w:tc>
          <w:tcPr>
            <w:tcW w:w="2935" w:type="dxa"/>
            <w:gridSpan w:val="2"/>
            <w:tcBorders>
              <w:top w:val="single" w:sz="8" w:space="0" w:color="000000"/>
            </w:tcBorders>
          </w:tcPr>
          <w:p>
            <w:pPr>
              <w:pStyle w:val="TableParagraph"/>
              <w:tabs>
                <w:tab w:pos="2911" w:val="left" w:leader="none"/>
              </w:tabs>
              <w:spacing w:line="263" w:lineRule="exact"/>
              <w:ind w:left="972"/>
              <w:rPr>
                <w:b/>
                <w:sz w:val="24"/>
              </w:rPr>
            </w:pPr>
            <w:r>
              <w:rPr>
                <w:b/>
                <w:sz w:val="24"/>
                <w:u w:val="single"/>
              </w:rPr>
              <w:t>Denklem</w:t>
            </w:r>
            <w:r>
              <w:rPr>
                <w:b/>
                <w:spacing w:val="-3"/>
                <w:sz w:val="24"/>
                <w:u w:val="single"/>
              </w:rPr>
              <w:t> </w:t>
            </w:r>
            <w:r>
              <w:rPr>
                <w:b/>
                <w:sz w:val="24"/>
                <w:u w:val="single"/>
              </w:rPr>
              <w:t>(4)</w:t>
              <w:tab/>
            </w:r>
          </w:p>
        </w:tc>
      </w:tr>
      <w:tr>
        <w:trPr>
          <w:trHeight w:val="281" w:hRule="atLeast"/>
        </w:trPr>
        <w:tc>
          <w:tcPr>
            <w:tcW w:w="2932" w:type="dxa"/>
            <w:vMerge/>
            <w:tcBorders>
              <w:top w:val="nil"/>
              <w:bottom w:val="single" w:sz="8" w:space="0" w:color="000000"/>
            </w:tcBorders>
          </w:tcPr>
          <w:p>
            <w:pPr>
              <w:rPr>
                <w:sz w:val="2"/>
                <w:szCs w:val="2"/>
              </w:rPr>
            </w:pPr>
          </w:p>
        </w:tc>
        <w:tc>
          <w:tcPr>
            <w:tcW w:w="1539" w:type="dxa"/>
            <w:tcBorders>
              <w:bottom w:val="single" w:sz="8" w:space="0" w:color="000000"/>
            </w:tcBorders>
          </w:tcPr>
          <w:p>
            <w:pPr>
              <w:pStyle w:val="TableParagraph"/>
              <w:spacing w:line="262" w:lineRule="exact"/>
              <w:ind w:left="315"/>
              <w:rPr>
                <w:b/>
                <w:sz w:val="24"/>
              </w:rPr>
            </w:pPr>
            <w:r>
              <w:rPr>
                <w:b/>
                <w:sz w:val="24"/>
              </w:rPr>
              <w:t>Katsayı</w:t>
            </w:r>
          </w:p>
        </w:tc>
        <w:tc>
          <w:tcPr>
            <w:tcW w:w="1465" w:type="dxa"/>
            <w:tcBorders>
              <w:bottom w:val="single" w:sz="8" w:space="0" w:color="000000"/>
            </w:tcBorders>
          </w:tcPr>
          <w:p>
            <w:pPr>
              <w:pStyle w:val="TableParagraph"/>
              <w:spacing w:line="262" w:lineRule="exact"/>
              <w:ind w:left="0" w:right="407"/>
              <w:jc w:val="right"/>
              <w:rPr>
                <w:b/>
                <w:sz w:val="24"/>
              </w:rPr>
            </w:pPr>
            <w:r>
              <w:rPr>
                <w:b/>
                <w:sz w:val="24"/>
              </w:rPr>
              <w:t>Std. Hata</w:t>
            </w:r>
          </w:p>
        </w:tc>
        <w:tc>
          <w:tcPr>
            <w:tcW w:w="1556" w:type="dxa"/>
            <w:tcBorders>
              <w:bottom w:val="single" w:sz="8" w:space="0" w:color="000000"/>
            </w:tcBorders>
          </w:tcPr>
          <w:p>
            <w:pPr>
              <w:pStyle w:val="TableParagraph"/>
              <w:spacing w:line="262" w:lineRule="exact"/>
              <w:ind w:left="405"/>
              <w:rPr>
                <w:b/>
                <w:sz w:val="24"/>
              </w:rPr>
            </w:pPr>
            <w:r>
              <w:rPr>
                <w:b/>
                <w:sz w:val="24"/>
              </w:rPr>
              <w:t>Katsayı</w:t>
            </w:r>
          </w:p>
        </w:tc>
        <w:tc>
          <w:tcPr>
            <w:tcW w:w="1379" w:type="dxa"/>
            <w:tcBorders>
              <w:bottom w:val="single" w:sz="8" w:space="0" w:color="000000"/>
            </w:tcBorders>
          </w:tcPr>
          <w:p>
            <w:pPr>
              <w:pStyle w:val="TableParagraph"/>
              <w:spacing w:line="262" w:lineRule="exact"/>
              <w:ind w:left="156"/>
              <w:rPr>
                <w:b/>
                <w:sz w:val="24"/>
              </w:rPr>
            </w:pPr>
            <w:r>
              <w:rPr>
                <w:b/>
                <w:sz w:val="24"/>
              </w:rPr>
              <w:t>Std. Hata</w:t>
            </w:r>
          </w:p>
        </w:tc>
      </w:tr>
      <w:tr>
        <w:trPr>
          <w:trHeight w:val="276" w:hRule="atLeast"/>
        </w:trPr>
        <w:tc>
          <w:tcPr>
            <w:tcW w:w="2932" w:type="dxa"/>
            <w:tcBorders>
              <w:top w:val="single" w:sz="8" w:space="0" w:color="000000"/>
            </w:tcBorders>
          </w:tcPr>
          <w:p>
            <w:pPr>
              <w:pStyle w:val="TableParagraph"/>
              <w:spacing w:line="256" w:lineRule="exact"/>
              <w:ind w:left="122"/>
              <w:rPr>
                <w:sz w:val="16"/>
              </w:rPr>
            </w:pPr>
            <w:r>
              <w:rPr>
                <w:position w:val="2"/>
                <w:sz w:val="24"/>
              </w:rPr>
              <w:t>Satış </w:t>
            </w:r>
            <w:r>
              <w:rPr>
                <w:sz w:val="16"/>
              </w:rPr>
              <w:t>t-1</w:t>
            </w:r>
          </w:p>
        </w:tc>
        <w:tc>
          <w:tcPr>
            <w:tcW w:w="1539" w:type="dxa"/>
            <w:tcBorders>
              <w:top w:val="single" w:sz="8" w:space="0" w:color="000000"/>
            </w:tcBorders>
          </w:tcPr>
          <w:p>
            <w:pPr>
              <w:pStyle w:val="TableParagraph"/>
              <w:spacing w:line="256" w:lineRule="exact"/>
              <w:ind w:left="315"/>
              <w:rPr>
                <w:sz w:val="24"/>
              </w:rPr>
            </w:pPr>
            <w:r>
              <w:rPr>
                <w:sz w:val="24"/>
              </w:rPr>
              <w:t>,601***</w:t>
            </w:r>
          </w:p>
        </w:tc>
        <w:tc>
          <w:tcPr>
            <w:tcW w:w="1465" w:type="dxa"/>
            <w:tcBorders>
              <w:top w:val="single" w:sz="8" w:space="0" w:color="000000"/>
            </w:tcBorders>
          </w:tcPr>
          <w:p>
            <w:pPr>
              <w:pStyle w:val="TableParagraph"/>
              <w:spacing w:line="256" w:lineRule="exact"/>
              <w:ind w:left="373"/>
              <w:rPr>
                <w:sz w:val="24"/>
              </w:rPr>
            </w:pPr>
            <w:r>
              <w:rPr>
                <w:sz w:val="24"/>
              </w:rPr>
              <w:t>,0009</w:t>
            </w:r>
          </w:p>
        </w:tc>
        <w:tc>
          <w:tcPr>
            <w:tcW w:w="1556" w:type="dxa"/>
            <w:tcBorders>
              <w:top w:val="single" w:sz="8" w:space="0" w:color="000000"/>
            </w:tcBorders>
          </w:tcPr>
          <w:p>
            <w:pPr>
              <w:pStyle w:val="TableParagraph"/>
              <w:spacing w:line="256" w:lineRule="exact"/>
              <w:ind w:left="0" w:right="238"/>
              <w:jc w:val="right"/>
              <w:rPr>
                <w:sz w:val="24"/>
              </w:rPr>
            </w:pPr>
            <w:r>
              <w:rPr>
                <w:sz w:val="24"/>
              </w:rPr>
              <w:t>,544***</w:t>
            </w:r>
          </w:p>
        </w:tc>
        <w:tc>
          <w:tcPr>
            <w:tcW w:w="1379" w:type="dxa"/>
            <w:tcBorders>
              <w:top w:val="single" w:sz="8" w:space="0" w:color="000000"/>
            </w:tcBorders>
          </w:tcPr>
          <w:p>
            <w:pPr>
              <w:pStyle w:val="TableParagraph"/>
              <w:spacing w:line="256" w:lineRule="exact"/>
              <w:ind w:left="338"/>
              <w:rPr>
                <w:sz w:val="24"/>
              </w:rPr>
            </w:pPr>
            <w:r>
              <w:rPr>
                <w:sz w:val="24"/>
              </w:rPr>
              <w:t>,0014</w:t>
            </w:r>
          </w:p>
        </w:tc>
      </w:tr>
      <w:tr>
        <w:trPr>
          <w:trHeight w:val="276" w:hRule="atLeast"/>
        </w:trPr>
        <w:tc>
          <w:tcPr>
            <w:tcW w:w="2932" w:type="dxa"/>
            <w:shd w:val="clear" w:color="auto" w:fill="F1F1F1"/>
          </w:tcPr>
          <w:p>
            <w:pPr>
              <w:pStyle w:val="TableParagraph"/>
              <w:spacing w:line="256" w:lineRule="exact"/>
              <w:ind w:left="122"/>
              <w:rPr>
                <w:sz w:val="16"/>
              </w:rPr>
            </w:pPr>
            <w:r>
              <w:rPr>
                <w:position w:val="2"/>
                <w:sz w:val="24"/>
              </w:rPr>
              <w:t>Satış </w:t>
            </w:r>
            <w:r>
              <w:rPr>
                <w:sz w:val="16"/>
              </w:rPr>
              <w:t>t-2</w:t>
            </w:r>
          </w:p>
        </w:tc>
        <w:tc>
          <w:tcPr>
            <w:tcW w:w="1539" w:type="dxa"/>
            <w:shd w:val="clear" w:color="auto" w:fill="F1F1F1"/>
          </w:tcPr>
          <w:p>
            <w:pPr>
              <w:pStyle w:val="TableParagraph"/>
              <w:spacing w:line="256" w:lineRule="exact"/>
              <w:ind w:left="315"/>
              <w:rPr>
                <w:sz w:val="24"/>
              </w:rPr>
            </w:pPr>
            <w:r>
              <w:rPr>
                <w:sz w:val="24"/>
              </w:rPr>
              <w:t>,190***</w:t>
            </w:r>
          </w:p>
        </w:tc>
        <w:tc>
          <w:tcPr>
            <w:tcW w:w="1465" w:type="dxa"/>
            <w:shd w:val="clear" w:color="auto" w:fill="F1F1F1"/>
          </w:tcPr>
          <w:p>
            <w:pPr>
              <w:pStyle w:val="TableParagraph"/>
              <w:spacing w:line="256" w:lineRule="exact"/>
              <w:ind w:left="373"/>
              <w:rPr>
                <w:sz w:val="24"/>
              </w:rPr>
            </w:pPr>
            <w:r>
              <w:rPr>
                <w:sz w:val="24"/>
              </w:rPr>
              <w:t>,0005</w:t>
            </w:r>
          </w:p>
        </w:tc>
        <w:tc>
          <w:tcPr>
            <w:tcW w:w="1556" w:type="dxa"/>
            <w:shd w:val="clear" w:color="auto" w:fill="F1F1F1"/>
          </w:tcPr>
          <w:p>
            <w:pPr>
              <w:pStyle w:val="TableParagraph"/>
              <w:spacing w:line="256" w:lineRule="exact"/>
              <w:ind w:left="0" w:right="238"/>
              <w:jc w:val="right"/>
              <w:rPr>
                <w:sz w:val="24"/>
              </w:rPr>
            </w:pPr>
            <w:r>
              <w:rPr>
                <w:sz w:val="24"/>
              </w:rPr>
              <w:t>,176***</w:t>
            </w:r>
          </w:p>
        </w:tc>
        <w:tc>
          <w:tcPr>
            <w:tcW w:w="1379" w:type="dxa"/>
            <w:shd w:val="clear" w:color="auto" w:fill="F1F1F1"/>
          </w:tcPr>
          <w:p>
            <w:pPr>
              <w:pStyle w:val="TableParagraph"/>
              <w:spacing w:line="256" w:lineRule="exact"/>
              <w:ind w:left="338"/>
              <w:rPr>
                <w:sz w:val="24"/>
              </w:rPr>
            </w:pPr>
            <w:r>
              <w:rPr>
                <w:sz w:val="24"/>
              </w:rPr>
              <w:t>,0011</w:t>
            </w:r>
          </w:p>
        </w:tc>
      </w:tr>
      <w:tr>
        <w:trPr>
          <w:trHeight w:val="275" w:hRule="atLeast"/>
        </w:trPr>
        <w:tc>
          <w:tcPr>
            <w:tcW w:w="2932" w:type="dxa"/>
          </w:tcPr>
          <w:p>
            <w:pPr>
              <w:pStyle w:val="TableParagraph"/>
              <w:spacing w:line="256" w:lineRule="exact"/>
              <w:ind w:left="122"/>
              <w:rPr>
                <w:sz w:val="24"/>
              </w:rPr>
            </w:pPr>
            <w:r>
              <w:rPr>
                <w:sz w:val="24"/>
              </w:rPr>
              <w:t>Toplam Yorum</w:t>
            </w:r>
          </w:p>
        </w:tc>
        <w:tc>
          <w:tcPr>
            <w:tcW w:w="1539" w:type="dxa"/>
          </w:tcPr>
          <w:p>
            <w:pPr>
              <w:pStyle w:val="TableParagraph"/>
              <w:spacing w:line="256" w:lineRule="exact"/>
              <w:ind w:left="315"/>
              <w:rPr>
                <w:sz w:val="24"/>
              </w:rPr>
            </w:pPr>
            <w:r>
              <w:rPr>
                <w:sz w:val="24"/>
              </w:rPr>
              <w:t>,152***</w:t>
            </w:r>
          </w:p>
        </w:tc>
        <w:tc>
          <w:tcPr>
            <w:tcW w:w="1465" w:type="dxa"/>
          </w:tcPr>
          <w:p>
            <w:pPr>
              <w:pStyle w:val="TableParagraph"/>
              <w:spacing w:line="256" w:lineRule="exact"/>
              <w:ind w:left="373"/>
              <w:rPr>
                <w:sz w:val="24"/>
              </w:rPr>
            </w:pPr>
            <w:r>
              <w:rPr>
                <w:sz w:val="24"/>
              </w:rPr>
              <w:t>,0005</w:t>
            </w:r>
          </w:p>
        </w:tc>
        <w:tc>
          <w:tcPr>
            <w:tcW w:w="1556" w:type="dxa"/>
          </w:tcPr>
          <w:p>
            <w:pPr>
              <w:pStyle w:val="TableParagraph"/>
              <w:ind w:left="0"/>
              <w:rPr>
                <w:sz w:val="20"/>
              </w:rPr>
            </w:pPr>
          </w:p>
        </w:tc>
        <w:tc>
          <w:tcPr>
            <w:tcW w:w="1379" w:type="dxa"/>
          </w:tcPr>
          <w:p>
            <w:pPr>
              <w:pStyle w:val="TableParagraph"/>
              <w:ind w:left="0"/>
              <w:rPr>
                <w:sz w:val="20"/>
              </w:rPr>
            </w:pPr>
          </w:p>
        </w:tc>
      </w:tr>
      <w:tr>
        <w:trPr>
          <w:trHeight w:val="275" w:hRule="atLeast"/>
        </w:trPr>
        <w:tc>
          <w:tcPr>
            <w:tcW w:w="2932" w:type="dxa"/>
            <w:shd w:val="clear" w:color="auto" w:fill="F1F1F1"/>
          </w:tcPr>
          <w:p>
            <w:pPr>
              <w:pStyle w:val="TableParagraph"/>
              <w:spacing w:line="256" w:lineRule="exact"/>
              <w:ind w:left="122"/>
              <w:rPr>
                <w:sz w:val="24"/>
              </w:rPr>
            </w:pPr>
            <w:r>
              <w:rPr>
                <w:sz w:val="24"/>
              </w:rPr>
              <w:t>Ortalama Yorum Puanı</w:t>
            </w:r>
          </w:p>
        </w:tc>
        <w:tc>
          <w:tcPr>
            <w:tcW w:w="1539" w:type="dxa"/>
            <w:shd w:val="clear" w:color="auto" w:fill="F1F1F1"/>
          </w:tcPr>
          <w:p>
            <w:pPr>
              <w:pStyle w:val="TableParagraph"/>
              <w:spacing w:line="256" w:lineRule="exact"/>
              <w:ind w:left="315"/>
              <w:rPr>
                <w:sz w:val="24"/>
              </w:rPr>
            </w:pPr>
            <w:r>
              <w:rPr>
                <w:sz w:val="24"/>
              </w:rPr>
              <w:t>-,017***</w:t>
            </w:r>
          </w:p>
        </w:tc>
        <w:tc>
          <w:tcPr>
            <w:tcW w:w="1465" w:type="dxa"/>
            <w:shd w:val="clear" w:color="auto" w:fill="F1F1F1"/>
          </w:tcPr>
          <w:p>
            <w:pPr>
              <w:pStyle w:val="TableParagraph"/>
              <w:spacing w:line="256" w:lineRule="exact"/>
              <w:ind w:left="0" w:right="429"/>
              <w:jc w:val="right"/>
              <w:rPr>
                <w:sz w:val="24"/>
              </w:rPr>
            </w:pPr>
            <w:r>
              <w:rPr>
                <w:sz w:val="24"/>
              </w:rPr>
              <w:t>,00004</w:t>
            </w:r>
          </w:p>
        </w:tc>
        <w:tc>
          <w:tcPr>
            <w:tcW w:w="1556" w:type="dxa"/>
            <w:shd w:val="clear" w:color="auto" w:fill="F1F1F1"/>
          </w:tcPr>
          <w:p>
            <w:pPr>
              <w:pStyle w:val="TableParagraph"/>
              <w:spacing w:line="256" w:lineRule="exact"/>
              <w:ind w:left="0" w:right="159"/>
              <w:jc w:val="right"/>
              <w:rPr>
                <w:sz w:val="24"/>
              </w:rPr>
            </w:pPr>
            <w:r>
              <w:rPr>
                <w:sz w:val="24"/>
              </w:rPr>
              <w:t>-,008***</w:t>
            </w:r>
          </w:p>
        </w:tc>
        <w:tc>
          <w:tcPr>
            <w:tcW w:w="1379" w:type="dxa"/>
            <w:shd w:val="clear" w:color="auto" w:fill="F1F1F1"/>
          </w:tcPr>
          <w:p>
            <w:pPr>
              <w:pStyle w:val="TableParagraph"/>
              <w:spacing w:line="256" w:lineRule="exact"/>
              <w:ind w:left="338"/>
              <w:rPr>
                <w:sz w:val="24"/>
              </w:rPr>
            </w:pPr>
            <w:r>
              <w:rPr>
                <w:sz w:val="24"/>
              </w:rPr>
              <w:t>,00006</w:t>
            </w:r>
          </w:p>
        </w:tc>
      </w:tr>
      <w:tr>
        <w:trPr>
          <w:trHeight w:val="275" w:hRule="atLeast"/>
        </w:trPr>
        <w:tc>
          <w:tcPr>
            <w:tcW w:w="2932" w:type="dxa"/>
          </w:tcPr>
          <w:p>
            <w:pPr>
              <w:pStyle w:val="TableParagraph"/>
              <w:spacing w:line="256" w:lineRule="exact"/>
              <w:ind w:left="122"/>
              <w:rPr>
                <w:sz w:val="24"/>
              </w:rPr>
            </w:pPr>
            <w:r>
              <w:rPr>
                <w:sz w:val="24"/>
              </w:rPr>
              <w:t>Olumlu Yorum</w:t>
            </w:r>
          </w:p>
        </w:tc>
        <w:tc>
          <w:tcPr>
            <w:tcW w:w="1539" w:type="dxa"/>
          </w:tcPr>
          <w:p>
            <w:pPr>
              <w:pStyle w:val="TableParagraph"/>
              <w:ind w:left="0"/>
              <w:rPr>
                <w:sz w:val="20"/>
              </w:rPr>
            </w:pPr>
          </w:p>
        </w:tc>
        <w:tc>
          <w:tcPr>
            <w:tcW w:w="1465" w:type="dxa"/>
          </w:tcPr>
          <w:p>
            <w:pPr>
              <w:pStyle w:val="TableParagraph"/>
              <w:spacing w:line="256" w:lineRule="exact"/>
              <w:ind w:left="373"/>
              <w:rPr>
                <w:sz w:val="24"/>
              </w:rPr>
            </w:pPr>
            <w:r>
              <w:rPr>
                <w:sz w:val="24"/>
              </w:rPr>
              <w:t>,0014</w:t>
            </w:r>
          </w:p>
        </w:tc>
        <w:tc>
          <w:tcPr>
            <w:tcW w:w="1556" w:type="dxa"/>
          </w:tcPr>
          <w:p>
            <w:pPr>
              <w:pStyle w:val="TableParagraph"/>
              <w:spacing w:line="256" w:lineRule="exact"/>
              <w:ind w:left="0" w:right="238"/>
              <w:jc w:val="right"/>
              <w:rPr>
                <w:sz w:val="24"/>
              </w:rPr>
            </w:pPr>
            <w:r>
              <w:rPr>
                <w:sz w:val="24"/>
              </w:rPr>
              <w:t>,163***</w:t>
            </w:r>
          </w:p>
        </w:tc>
        <w:tc>
          <w:tcPr>
            <w:tcW w:w="1379" w:type="dxa"/>
          </w:tcPr>
          <w:p>
            <w:pPr>
              <w:pStyle w:val="TableParagraph"/>
              <w:spacing w:line="256" w:lineRule="exact"/>
              <w:ind w:left="338"/>
              <w:rPr>
                <w:sz w:val="24"/>
              </w:rPr>
            </w:pPr>
            <w:r>
              <w:rPr>
                <w:sz w:val="24"/>
              </w:rPr>
              <w:t>,0005</w:t>
            </w:r>
          </w:p>
        </w:tc>
      </w:tr>
      <w:tr>
        <w:trPr>
          <w:trHeight w:val="275" w:hRule="atLeast"/>
        </w:trPr>
        <w:tc>
          <w:tcPr>
            <w:tcW w:w="2932" w:type="dxa"/>
            <w:shd w:val="clear" w:color="auto" w:fill="F1F1F1"/>
          </w:tcPr>
          <w:p>
            <w:pPr>
              <w:pStyle w:val="TableParagraph"/>
              <w:spacing w:line="256" w:lineRule="exact"/>
              <w:ind w:left="122"/>
              <w:rPr>
                <w:sz w:val="24"/>
              </w:rPr>
            </w:pPr>
            <w:r>
              <w:rPr>
                <w:sz w:val="24"/>
              </w:rPr>
              <w:t>Olumsuz Yorum</w:t>
            </w:r>
          </w:p>
        </w:tc>
        <w:tc>
          <w:tcPr>
            <w:tcW w:w="1539" w:type="dxa"/>
            <w:shd w:val="clear" w:color="auto" w:fill="F1F1F1"/>
          </w:tcPr>
          <w:p>
            <w:pPr>
              <w:pStyle w:val="TableParagraph"/>
              <w:ind w:left="0"/>
              <w:rPr>
                <w:sz w:val="20"/>
              </w:rPr>
            </w:pPr>
          </w:p>
        </w:tc>
        <w:tc>
          <w:tcPr>
            <w:tcW w:w="1465" w:type="dxa"/>
            <w:shd w:val="clear" w:color="auto" w:fill="F1F1F1"/>
          </w:tcPr>
          <w:p>
            <w:pPr>
              <w:pStyle w:val="TableParagraph"/>
              <w:spacing w:line="256" w:lineRule="exact"/>
              <w:ind w:left="373"/>
              <w:rPr>
                <w:sz w:val="24"/>
              </w:rPr>
            </w:pPr>
            <w:r>
              <w:rPr>
                <w:sz w:val="24"/>
              </w:rPr>
              <w:t>,0022</w:t>
            </w:r>
          </w:p>
        </w:tc>
        <w:tc>
          <w:tcPr>
            <w:tcW w:w="1556" w:type="dxa"/>
            <w:shd w:val="clear" w:color="auto" w:fill="F1F1F1"/>
          </w:tcPr>
          <w:p>
            <w:pPr>
              <w:pStyle w:val="TableParagraph"/>
              <w:spacing w:line="256" w:lineRule="exact"/>
              <w:ind w:left="0" w:right="238"/>
              <w:jc w:val="right"/>
              <w:rPr>
                <w:sz w:val="24"/>
              </w:rPr>
            </w:pPr>
            <w:r>
              <w:rPr>
                <w:sz w:val="24"/>
              </w:rPr>
              <w:t>,064***</w:t>
            </w:r>
          </w:p>
        </w:tc>
        <w:tc>
          <w:tcPr>
            <w:tcW w:w="1379" w:type="dxa"/>
            <w:shd w:val="clear" w:color="auto" w:fill="F1F1F1"/>
          </w:tcPr>
          <w:p>
            <w:pPr>
              <w:pStyle w:val="TableParagraph"/>
              <w:spacing w:line="256" w:lineRule="exact"/>
              <w:ind w:left="338"/>
              <w:rPr>
                <w:sz w:val="24"/>
              </w:rPr>
            </w:pPr>
            <w:r>
              <w:rPr>
                <w:sz w:val="24"/>
              </w:rPr>
              <w:t>,0019</w:t>
            </w:r>
          </w:p>
        </w:tc>
      </w:tr>
      <w:tr>
        <w:trPr>
          <w:trHeight w:val="276" w:hRule="atLeast"/>
        </w:trPr>
        <w:tc>
          <w:tcPr>
            <w:tcW w:w="2932" w:type="dxa"/>
          </w:tcPr>
          <w:p>
            <w:pPr>
              <w:pStyle w:val="TableParagraph"/>
              <w:spacing w:line="256" w:lineRule="exact"/>
              <w:ind w:left="122"/>
              <w:rPr>
                <w:sz w:val="24"/>
              </w:rPr>
            </w:pPr>
            <w:r>
              <w:rPr>
                <w:sz w:val="24"/>
              </w:rPr>
              <w:t>Nötr Yorum</w:t>
            </w:r>
          </w:p>
        </w:tc>
        <w:tc>
          <w:tcPr>
            <w:tcW w:w="1539" w:type="dxa"/>
          </w:tcPr>
          <w:p>
            <w:pPr>
              <w:pStyle w:val="TableParagraph"/>
              <w:ind w:left="0"/>
              <w:rPr>
                <w:sz w:val="20"/>
              </w:rPr>
            </w:pPr>
          </w:p>
        </w:tc>
        <w:tc>
          <w:tcPr>
            <w:tcW w:w="1465" w:type="dxa"/>
          </w:tcPr>
          <w:p>
            <w:pPr>
              <w:pStyle w:val="TableParagraph"/>
              <w:spacing w:line="256" w:lineRule="exact"/>
              <w:ind w:left="373"/>
              <w:rPr>
                <w:sz w:val="24"/>
              </w:rPr>
            </w:pPr>
            <w:r>
              <w:rPr>
                <w:sz w:val="24"/>
              </w:rPr>
              <w:t>,0023</w:t>
            </w:r>
          </w:p>
        </w:tc>
        <w:tc>
          <w:tcPr>
            <w:tcW w:w="1556" w:type="dxa"/>
          </w:tcPr>
          <w:p>
            <w:pPr>
              <w:pStyle w:val="TableParagraph"/>
              <w:spacing w:line="256" w:lineRule="exact"/>
              <w:ind w:left="0" w:right="238"/>
              <w:jc w:val="right"/>
              <w:rPr>
                <w:sz w:val="24"/>
              </w:rPr>
            </w:pPr>
            <w:r>
              <w:rPr>
                <w:sz w:val="24"/>
              </w:rPr>
              <w:t>,123***</w:t>
            </w:r>
          </w:p>
        </w:tc>
        <w:tc>
          <w:tcPr>
            <w:tcW w:w="1379" w:type="dxa"/>
          </w:tcPr>
          <w:p>
            <w:pPr>
              <w:pStyle w:val="TableParagraph"/>
              <w:spacing w:line="256" w:lineRule="exact"/>
              <w:ind w:left="338"/>
              <w:rPr>
                <w:sz w:val="24"/>
              </w:rPr>
            </w:pPr>
            <w:r>
              <w:rPr>
                <w:sz w:val="24"/>
              </w:rPr>
              <w:t>,0026</w:t>
            </w:r>
          </w:p>
        </w:tc>
      </w:tr>
      <w:tr>
        <w:trPr>
          <w:trHeight w:val="275" w:hRule="atLeast"/>
        </w:trPr>
        <w:tc>
          <w:tcPr>
            <w:tcW w:w="2932" w:type="dxa"/>
            <w:shd w:val="clear" w:color="auto" w:fill="F1F1F1"/>
          </w:tcPr>
          <w:p>
            <w:pPr>
              <w:pStyle w:val="TableParagraph"/>
              <w:spacing w:line="256" w:lineRule="exact"/>
              <w:ind w:left="122"/>
              <w:rPr>
                <w:sz w:val="24"/>
              </w:rPr>
            </w:pPr>
            <w:r>
              <w:rPr>
                <w:sz w:val="24"/>
              </w:rPr>
              <w:t>Favori Sayısı</w:t>
            </w:r>
          </w:p>
        </w:tc>
        <w:tc>
          <w:tcPr>
            <w:tcW w:w="1539" w:type="dxa"/>
            <w:shd w:val="clear" w:color="auto" w:fill="F1F1F1"/>
          </w:tcPr>
          <w:p>
            <w:pPr>
              <w:pStyle w:val="TableParagraph"/>
              <w:spacing w:line="256" w:lineRule="exact"/>
              <w:ind w:left="315"/>
              <w:rPr>
                <w:sz w:val="24"/>
              </w:rPr>
            </w:pPr>
            <w:r>
              <w:rPr>
                <w:sz w:val="24"/>
              </w:rPr>
              <w:t>,037***</w:t>
            </w:r>
          </w:p>
        </w:tc>
        <w:tc>
          <w:tcPr>
            <w:tcW w:w="1465" w:type="dxa"/>
            <w:shd w:val="clear" w:color="auto" w:fill="F1F1F1"/>
          </w:tcPr>
          <w:p>
            <w:pPr>
              <w:pStyle w:val="TableParagraph"/>
              <w:spacing w:line="256" w:lineRule="exact"/>
              <w:ind w:left="373"/>
              <w:rPr>
                <w:sz w:val="24"/>
              </w:rPr>
            </w:pPr>
            <w:r>
              <w:rPr>
                <w:sz w:val="24"/>
              </w:rPr>
              <w:t>,0001</w:t>
            </w:r>
          </w:p>
        </w:tc>
        <w:tc>
          <w:tcPr>
            <w:tcW w:w="1556" w:type="dxa"/>
            <w:shd w:val="clear" w:color="auto" w:fill="F1F1F1"/>
          </w:tcPr>
          <w:p>
            <w:pPr>
              <w:pStyle w:val="TableParagraph"/>
              <w:spacing w:line="256" w:lineRule="exact"/>
              <w:ind w:left="0" w:right="238"/>
              <w:jc w:val="right"/>
              <w:rPr>
                <w:sz w:val="24"/>
              </w:rPr>
            </w:pPr>
            <w:r>
              <w:rPr>
                <w:sz w:val="24"/>
              </w:rPr>
              <w:t>,017***</w:t>
            </w:r>
          </w:p>
        </w:tc>
        <w:tc>
          <w:tcPr>
            <w:tcW w:w="1379" w:type="dxa"/>
            <w:shd w:val="clear" w:color="auto" w:fill="F1F1F1"/>
          </w:tcPr>
          <w:p>
            <w:pPr>
              <w:pStyle w:val="TableParagraph"/>
              <w:spacing w:line="256" w:lineRule="exact"/>
              <w:ind w:left="338"/>
              <w:rPr>
                <w:sz w:val="24"/>
              </w:rPr>
            </w:pPr>
            <w:r>
              <w:rPr>
                <w:sz w:val="24"/>
              </w:rPr>
              <w:t>,0011</w:t>
            </w:r>
          </w:p>
        </w:tc>
      </w:tr>
      <w:tr>
        <w:trPr>
          <w:trHeight w:val="276" w:hRule="atLeast"/>
        </w:trPr>
        <w:tc>
          <w:tcPr>
            <w:tcW w:w="2932" w:type="dxa"/>
          </w:tcPr>
          <w:p>
            <w:pPr>
              <w:pStyle w:val="TableParagraph"/>
              <w:spacing w:line="256" w:lineRule="exact"/>
              <w:ind w:left="122"/>
              <w:rPr>
                <w:sz w:val="24"/>
              </w:rPr>
            </w:pPr>
            <w:r>
              <w:rPr>
                <w:sz w:val="24"/>
              </w:rPr>
              <w:t>Ürün Sayısı</w:t>
            </w:r>
          </w:p>
        </w:tc>
        <w:tc>
          <w:tcPr>
            <w:tcW w:w="1539" w:type="dxa"/>
          </w:tcPr>
          <w:p>
            <w:pPr>
              <w:pStyle w:val="TableParagraph"/>
              <w:spacing w:line="256" w:lineRule="exact"/>
              <w:ind w:left="315"/>
              <w:rPr>
                <w:sz w:val="24"/>
              </w:rPr>
            </w:pPr>
            <w:r>
              <w:rPr>
                <w:sz w:val="24"/>
              </w:rPr>
              <w:t>,015***</w:t>
            </w:r>
          </w:p>
        </w:tc>
        <w:tc>
          <w:tcPr>
            <w:tcW w:w="1465" w:type="dxa"/>
          </w:tcPr>
          <w:p>
            <w:pPr>
              <w:pStyle w:val="TableParagraph"/>
              <w:spacing w:line="256" w:lineRule="exact"/>
              <w:ind w:left="373"/>
              <w:rPr>
                <w:sz w:val="24"/>
              </w:rPr>
            </w:pPr>
            <w:r>
              <w:rPr>
                <w:sz w:val="24"/>
              </w:rPr>
              <w:t>,0008</w:t>
            </w:r>
          </w:p>
        </w:tc>
        <w:tc>
          <w:tcPr>
            <w:tcW w:w="1556" w:type="dxa"/>
          </w:tcPr>
          <w:p>
            <w:pPr>
              <w:pStyle w:val="TableParagraph"/>
              <w:spacing w:line="256" w:lineRule="exact"/>
              <w:ind w:left="0" w:right="238"/>
              <w:jc w:val="right"/>
              <w:rPr>
                <w:sz w:val="24"/>
              </w:rPr>
            </w:pPr>
            <w:r>
              <w:rPr>
                <w:sz w:val="24"/>
              </w:rPr>
              <w:t>,009***</w:t>
            </w:r>
          </w:p>
        </w:tc>
        <w:tc>
          <w:tcPr>
            <w:tcW w:w="1379" w:type="dxa"/>
          </w:tcPr>
          <w:p>
            <w:pPr>
              <w:pStyle w:val="TableParagraph"/>
              <w:spacing w:line="256" w:lineRule="exact"/>
              <w:ind w:left="338"/>
              <w:rPr>
                <w:sz w:val="24"/>
              </w:rPr>
            </w:pPr>
            <w:r>
              <w:rPr>
                <w:sz w:val="24"/>
              </w:rPr>
              <w:t>,001</w:t>
            </w:r>
          </w:p>
        </w:tc>
      </w:tr>
      <w:tr>
        <w:trPr>
          <w:trHeight w:val="271" w:hRule="atLeast"/>
        </w:trPr>
        <w:tc>
          <w:tcPr>
            <w:tcW w:w="2932" w:type="dxa"/>
            <w:tcBorders>
              <w:bottom w:val="single" w:sz="4" w:space="0" w:color="000000"/>
            </w:tcBorders>
            <w:shd w:val="clear" w:color="auto" w:fill="F1F1F1"/>
          </w:tcPr>
          <w:p>
            <w:pPr>
              <w:pStyle w:val="TableParagraph"/>
              <w:spacing w:line="256" w:lineRule="exact"/>
              <w:ind w:left="122"/>
              <w:rPr>
                <w:sz w:val="24"/>
              </w:rPr>
            </w:pPr>
            <w:r>
              <w:rPr>
                <w:sz w:val="24"/>
              </w:rPr>
              <w:t>Sabit</w:t>
            </w:r>
          </w:p>
        </w:tc>
        <w:tc>
          <w:tcPr>
            <w:tcW w:w="1539" w:type="dxa"/>
            <w:tcBorders>
              <w:bottom w:val="single" w:sz="4" w:space="0" w:color="000000"/>
            </w:tcBorders>
            <w:shd w:val="clear" w:color="auto" w:fill="F1F1F1"/>
          </w:tcPr>
          <w:p>
            <w:pPr>
              <w:pStyle w:val="TableParagraph"/>
              <w:spacing w:line="256" w:lineRule="exact"/>
              <w:ind w:left="315"/>
              <w:rPr>
                <w:sz w:val="24"/>
              </w:rPr>
            </w:pPr>
            <w:r>
              <w:rPr>
                <w:sz w:val="24"/>
              </w:rPr>
              <w:t>,342***</w:t>
            </w:r>
          </w:p>
        </w:tc>
        <w:tc>
          <w:tcPr>
            <w:tcW w:w="1465" w:type="dxa"/>
            <w:tcBorders>
              <w:bottom w:val="single" w:sz="4" w:space="0" w:color="000000"/>
            </w:tcBorders>
            <w:shd w:val="clear" w:color="auto" w:fill="F1F1F1"/>
          </w:tcPr>
          <w:p>
            <w:pPr>
              <w:pStyle w:val="TableParagraph"/>
              <w:spacing w:line="256" w:lineRule="exact"/>
              <w:ind w:left="373"/>
              <w:rPr>
                <w:sz w:val="24"/>
              </w:rPr>
            </w:pPr>
            <w:r>
              <w:rPr>
                <w:sz w:val="24"/>
              </w:rPr>
              <w:t>,0034</w:t>
            </w:r>
          </w:p>
        </w:tc>
        <w:tc>
          <w:tcPr>
            <w:tcW w:w="1556" w:type="dxa"/>
            <w:tcBorders>
              <w:bottom w:val="single" w:sz="4" w:space="0" w:color="000000"/>
            </w:tcBorders>
            <w:shd w:val="clear" w:color="auto" w:fill="F1F1F1"/>
          </w:tcPr>
          <w:p>
            <w:pPr>
              <w:pStyle w:val="TableParagraph"/>
              <w:spacing w:line="256" w:lineRule="exact"/>
              <w:ind w:left="0" w:right="238"/>
              <w:jc w:val="right"/>
              <w:rPr>
                <w:sz w:val="24"/>
              </w:rPr>
            </w:pPr>
            <w:r>
              <w:rPr>
                <w:sz w:val="24"/>
              </w:rPr>
              <w:t>,695***</w:t>
            </w:r>
          </w:p>
        </w:tc>
        <w:tc>
          <w:tcPr>
            <w:tcW w:w="1379" w:type="dxa"/>
            <w:tcBorders>
              <w:bottom w:val="single" w:sz="4" w:space="0" w:color="000000"/>
            </w:tcBorders>
            <w:shd w:val="clear" w:color="auto" w:fill="F1F1F1"/>
          </w:tcPr>
          <w:p>
            <w:pPr>
              <w:pStyle w:val="TableParagraph"/>
              <w:spacing w:line="256" w:lineRule="exact"/>
              <w:ind w:left="338"/>
              <w:rPr>
                <w:sz w:val="24"/>
              </w:rPr>
            </w:pPr>
            <w:r>
              <w:rPr>
                <w:sz w:val="24"/>
              </w:rPr>
              <w:t>,006</w:t>
            </w:r>
          </w:p>
        </w:tc>
      </w:tr>
      <w:tr>
        <w:trPr>
          <w:trHeight w:val="282" w:hRule="atLeast"/>
        </w:trPr>
        <w:tc>
          <w:tcPr>
            <w:tcW w:w="2932" w:type="dxa"/>
            <w:tcBorders>
              <w:top w:val="single" w:sz="4" w:space="0" w:color="000000"/>
            </w:tcBorders>
          </w:tcPr>
          <w:p>
            <w:pPr>
              <w:pStyle w:val="TableParagraph"/>
              <w:spacing w:line="257" w:lineRule="exact" w:before="1"/>
              <w:ind w:left="122"/>
              <w:rPr>
                <w:sz w:val="24"/>
              </w:rPr>
            </w:pPr>
            <w:r>
              <w:rPr>
                <w:sz w:val="24"/>
              </w:rPr>
              <w:t>Wald χ</w:t>
            </w:r>
            <w:r>
              <w:rPr>
                <w:sz w:val="24"/>
                <w:vertAlign w:val="superscript"/>
              </w:rPr>
              <w:t>2</w:t>
            </w:r>
          </w:p>
        </w:tc>
        <w:tc>
          <w:tcPr>
            <w:tcW w:w="1539" w:type="dxa"/>
            <w:tcBorders>
              <w:top w:val="single" w:sz="4" w:space="0" w:color="000000"/>
            </w:tcBorders>
          </w:tcPr>
          <w:p>
            <w:pPr>
              <w:pStyle w:val="TableParagraph"/>
              <w:spacing w:line="257" w:lineRule="exact" w:before="1"/>
              <w:ind w:left="315"/>
              <w:rPr>
                <w:sz w:val="24"/>
              </w:rPr>
            </w:pPr>
            <w:r>
              <w:rPr>
                <w:sz w:val="24"/>
              </w:rPr>
              <w:t>4,8e+07***</w:t>
            </w:r>
          </w:p>
        </w:tc>
        <w:tc>
          <w:tcPr>
            <w:tcW w:w="1465" w:type="dxa"/>
            <w:tcBorders>
              <w:top w:val="single" w:sz="4" w:space="0" w:color="000000"/>
            </w:tcBorders>
          </w:tcPr>
          <w:p>
            <w:pPr>
              <w:pStyle w:val="TableParagraph"/>
              <w:ind w:left="0"/>
              <w:rPr>
                <w:sz w:val="20"/>
              </w:rPr>
            </w:pPr>
          </w:p>
        </w:tc>
        <w:tc>
          <w:tcPr>
            <w:tcW w:w="2935" w:type="dxa"/>
            <w:gridSpan w:val="2"/>
            <w:tcBorders>
              <w:top w:val="single" w:sz="4" w:space="0" w:color="000000"/>
            </w:tcBorders>
          </w:tcPr>
          <w:p>
            <w:pPr>
              <w:pStyle w:val="TableParagraph"/>
              <w:spacing w:line="257" w:lineRule="exact" w:before="1"/>
              <w:ind w:left="535"/>
              <w:rPr>
                <w:sz w:val="24"/>
              </w:rPr>
            </w:pPr>
            <w:r>
              <w:rPr>
                <w:sz w:val="24"/>
              </w:rPr>
              <w:t>1,2e+07***</w:t>
            </w:r>
          </w:p>
        </w:tc>
      </w:tr>
      <w:tr>
        <w:trPr>
          <w:trHeight w:val="273" w:hRule="atLeast"/>
        </w:trPr>
        <w:tc>
          <w:tcPr>
            <w:tcW w:w="2932" w:type="dxa"/>
            <w:shd w:val="clear" w:color="auto" w:fill="F1F1F1"/>
          </w:tcPr>
          <w:p>
            <w:pPr>
              <w:pStyle w:val="TableParagraph"/>
              <w:spacing w:line="254" w:lineRule="exact"/>
              <w:ind w:left="122"/>
              <w:rPr>
                <w:sz w:val="24"/>
              </w:rPr>
            </w:pPr>
            <w:r>
              <w:rPr>
                <w:sz w:val="24"/>
              </w:rPr>
              <w:t>AR (1) p değeri</w:t>
            </w:r>
          </w:p>
        </w:tc>
        <w:tc>
          <w:tcPr>
            <w:tcW w:w="1539" w:type="dxa"/>
            <w:shd w:val="clear" w:color="auto" w:fill="F1F1F1"/>
          </w:tcPr>
          <w:p>
            <w:pPr>
              <w:pStyle w:val="TableParagraph"/>
              <w:spacing w:line="254" w:lineRule="exact"/>
              <w:ind w:left="315"/>
              <w:rPr>
                <w:sz w:val="24"/>
              </w:rPr>
            </w:pPr>
            <w:r>
              <w:rPr>
                <w:sz w:val="24"/>
              </w:rPr>
              <w:t>,0078</w:t>
            </w:r>
          </w:p>
        </w:tc>
        <w:tc>
          <w:tcPr>
            <w:tcW w:w="1465" w:type="dxa"/>
            <w:shd w:val="clear" w:color="auto" w:fill="F1F1F1"/>
          </w:tcPr>
          <w:p>
            <w:pPr>
              <w:pStyle w:val="TableParagraph"/>
              <w:ind w:left="0"/>
              <w:rPr>
                <w:sz w:val="20"/>
              </w:rPr>
            </w:pPr>
          </w:p>
        </w:tc>
        <w:tc>
          <w:tcPr>
            <w:tcW w:w="1556" w:type="dxa"/>
            <w:shd w:val="clear" w:color="auto" w:fill="F1F1F1"/>
          </w:tcPr>
          <w:p>
            <w:pPr>
              <w:pStyle w:val="TableParagraph"/>
              <w:spacing w:line="254" w:lineRule="exact"/>
              <w:ind w:left="535"/>
              <w:rPr>
                <w:sz w:val="24"/>
              </w:rPr>
            </w:pPr>
            <w:r>
              <w:rPr>
                <w:sz w:val="24"/>
              </w:rPr>
              <w:t>,0138</w:t>
            </w:r>
          </w:p>
        </w:tc>
        <w:tc>
          <w:tcPr>
            <w:tcW w:w="1379" w:type="dxa"/>
            <w:shd w:val="clear" w:color="auto" w:fill="F1F1F1"/>
          </w:tcPr>
          <w:p>
            <w:pPr>
              <w:pStyle w:val="TableParagraph"/>
              <w:ind w:left="0"/>
              <w:rPr>
                <w:sz w:val="20"/>
              </w:rPr>
            </w:pPr>
          </w:p>
        </w:tc>
      </w:tr>
      <w:tr>
        <w:trPr>
          <w:trHeight w:val="275" w:hRule="atLeast"/>
        </w:trPr>
        <w:tc>
          <w:tcPr>
            <w:tcW w:w="2932" w:type="dxa"/>
          </w:tcPr>
          <w:p>
            <w:pPr>
              <w:pStyle w:val="TableParagraph"/>
              <w:spacing w:line="256" w:lineRule="exact"/>
              <w:ind w:left="122"/>
              <w:rPr>
                <w:sz w:val="24"/>
              </w:rPr>
            </w:pPr>
            <w:r>
              <w:rPr>
                <w:sz w:val="24"/>
              </w:rPr>
              <w:t>AR (2) p değeri</w:t>
            </w:r>
          </w:p>
        </w:tc>
        <w:tc>
          <w:tcPr>
            <w:tcW w:w="1539" w:type="dxa"/>
          </w:tcPr>
          <w:p>
            <w:pPr>
              <w:pStyle w:val="TableParagraph"/>
              <w:spacing w:line="256" w:lineRule="exact"/>
              <w:ind w:left="315"/>
              <w:rPr>
                <w:sz w:val="24"/>
              </w:rPr>
            </w:pPr>
            <w:r>
              <w:rPr>
                <w:sz w:val="24"/>
              </w:rPr>
              <w:t>,2284</w:t>
            </w:r>
          </w:p>
        </w:tc>
        <w:tc>
          <w:tcPr>
            <w:tcW w:w="1465" w:type="dxa"/>
          </w:tcPr>
          <w:p>
            <w:pPr>
              <w:pStyle w:val="TableParagraph"/>
              <w:ind w:left="0"/>
              <w:rPr>
                <w:sz w:val="20"/>
              </w:rPr>
            </w:pPr>
          </w:p>
        </w:tc>
        <w:tc>
          <w:tcPr>
            <w:tcW w:w="1556" w:type="dxa"/>
          </w:tcPr>
          <w:p>
            <w:pPr>
              <w:pStyle w:val="TableParagraph"/>
              <w:spacing w:line="256" w:lineRule="exact"/>
              <w:ind w:left="535"/>
              <w:rPr>
                <w:sz w:val="24"/>
              </w:rPr>
            </w:pPr>
            <w:r>
              <w:rPr>
                <w:sz w:val="24"/>
              </w:rPr>
              <w:t>,1810</w:t>
            </w:r>
          </w:p>
        </w:tc>
        <w:tc>
          <w:tcPr>
            <w:tcW w:w="1379" w:type="dxa"/>
          </w:tcPr>
          <w:p>
            <w:pPr>
              <w:pStyle w:val="TableParagraph"/>
              <w:ind w:left="0"/>
              <w:rPr>
                <w:sz w:val="20"/>
              </w:rPr>
            </w:pPr>
          </w:p>
        </w:tc>
      </w:tr>
      <w:tr>
        <w:trPr>
          <w:trHeight w:val="276" w:hRule="atLeast"/>
        </w:trPr>
        <w:tc>
          <w:tcPr>
            <w:tcW w:w="2932" w:type="dxa"/>
            <w:shd w:val="clear" w:color="auto" w:fill="F1F1F1"/>
          </w:tcPr>
          <w:p>
            <w:pPr>
              <w:pStyle w:val="TableParagraph"/>
              <w:spacing w:line="256" w:lineRule="exact"/>
              <w:ind w:left="122"/>
              <w:rPr>
                <w:sz w:val="24"/>
              </w:rPr>
            </w:pPr>
            <w:r>
              <w:rPr>
                <w:sz w:val="24"/>
              </w:rPr>
              <w:t>Hansen Testi p değeri</w:t>
            </w:r>
          </w:p>
        </w:tc>
        <w:tc>
          <w:tcPr>
            <w:tcW w:w="1539" w:type="dxa"/>
            <w:shd w:val="clear" w:color="auto" w:fill="F1F1F1"/>
          </w:tcPr>
          <w:p>
            <w:pPr>
              <w:pStyle w:val="TableParagraph"/>
              <w:spacing w:line="256" w:lineRule="exact"/>
              <w:ind w:left="315"/>
              <w:rPr>
                <w:sz w:val="24"/>
              </w:rPr>
            </w:pPr>
            <w:r>
              <w:rPr>
                <w:sz w:val="24"/>
              </w:rPr>
              <w:t>,8762</w:t>
            </w:r>
          </w:p>
        </w:tc>
        <w:tc>
          <w:tcPr>
            <w:tcW w:w="1465" w:type="dxa"/>
            <w:shd w:val="clear" w:color="auto" w:fill="F1F1F1"/>
          </w:tcPr>
          <w:p>
            <w:pPr>
              <w:pStyle w:val="TableParagraph"/>
              <w:ind w:left="0"/>
              <w:rPr>
                <w:sz w:val="20"/>
              </w:rPr>
            </w:pPr>
          </w:p>
        </w:tc>
        <w:tc>
          <w:tcPr>
            <w:tcW w:w="1556" w:type="dxa"/>
            <w:shd w:val="clear" w:color="auto" w:fill="F1F1F1"/>
          </w:tcPr>
          <w:p>
            <w:pPr>
              <w:pStyle w:val="TableParagraph"/>
              <w:spacing w:line="256" w:lineRule="exact"/>
              <w:ind w:left="535"/>
              <w:rPr>
                <w:sz w:val="24"/>
              </w:rPr>
            </w:pPr>
            <w:r>
              <w:rPr>
                <w:sz w:val="24"/>
              </w:rPr>
              <w:t>,8858</w:t>
            </w:r>
          </w:p>
        </w:tc>
        <w:tc>
          <w:tcPr>
            <w:tcW w:w="1379" w:type="dxa"/>
            <w:shd w:val="clear" w:color="auto" w:fill="F1F1F1"/>
          </w:tcPr>
          <w:p>
            <w:pPr>
              <w:pStyle w:val="TableParagraph"/>
              <w:ind w:left="0"/>
              <w:rPr>
                <w:sz w:val="20"/>
              </w:rPr>
            </w:pPr>
          </w:p>
        </w:tc>
      </w:tr>
      <w:tr>
        <w:trPr>
          <w:trHeight w:val="276" w:hRule="atLeast"/>
        </w:trPr>
        <w:tc>
          <w:tcPr>
            <w:tcW w:w="2932" w:type="dxa"/>
          </w:tcPr>
          <w:p>
            <w:pPr>
              <w:pStyle w:val="TableParagraph"/>
              <w:spacing w:line="257" w:lineRule="exact"/>
              <w:ind w:left="122"/>
              <w:rPr>
                <w:sz w:val="24"/>
              </w:rPr>
            </w:pPr>
            <w:r>
              <w:rPr>
                <w:sz w:val="24"/>
              </w:rPr>
              <w:t>Gözlem Sayısı</w:t>
            </w:r>
          </w:p>
        </w:tc>
        <w:tc>
          <w:tcPr>
            <w:tcW w:w="1539" w:type="dxa"/>
          </w:tcPr>
          <w:p>
            <w:pPr>
              <w:pStyle w:val="TableParagraph"/>
              <w:spacing w:line="257" w:lineRule="exact"/>
              <w:ind w:left="315"/>
              <w:rPr>
                <w:sz w:val="24"/>
              </w:rPr>
            </w:pPr>
            <w:r>
              <w:rPr>
                <w:sz w:val="24"/>
              </w:rPr>
              <w:t>5254</w:t>
            </w:r>
          </w:p>
        </w:tc>
        <w:tc>
          <w:tcPr>
            <w:tcW w:w="1465" w:type="dxa"/>
          </w:tcPr>
          <w:p>
            <w:pPr>
              <w:pStyle w:val="TableParagraph"/>
              <w:ind w:left="0"/>
              <w:rPr>
                <w:sz w:val="20"/>
              </w:rPr>
            </w:pPr>
          </w:p>
        </w:tc>
        <w:tc>
          <w:tcPr>
            <w:tcW w:w="1556" w:type="dxa"/>
          </w:tcPr>
          <w:p>
            <w:pPr>
              <w:pStyle w:val="TableParagraph"/>
              <w:spacing w:line="257" w:lineRule="exact"/>
              <w:ind w:left="516" w:right="519"/>
              <w:jc w:val="center"/>
              <w:rPr>
                <w:sz w:val="24"/>
              </w:rPr>
            </w:pPr>
            <w:r>
              <w:rPr>
                <w:sz w:val="24"/>
              </w:rPr>
              <w:t>5254</w:t>
            </w:r>
          </w:p>
        </w:tc>
        <w:tc>
          <w:tcPr>
            <w:tcW w:w="1379" w:type="dxa"/>
          </w:tcPr>
          <w:p>
            <w:pPr>
              <w:pStyle w:val="TableParagraph"/>
              <w:ind w:left="0"/>
              <w:rPr>
                <w:sz w:val="20"/>
              </w:rPr>
            </w:pPr>
          </w:p>
        </w:tc>
      </w:tr>
      <w:tr>
        <w:trPr>
          <w:trHeight w:val="275" w:hRule="atLeast"/>
        </w:trPr>
        <w:tc>
          <w:tcPr>
            <w:tcW w:w="2932" w:type="dxa"/>
            <w:tcBorders>
              <w:bottom w:val="single" w:sz="8" w:space="0" w:color="000000"/>
            </w:tcBorders>
            <w:shd w:val="clear" w:color="auto" w:fill="F1F1F1"/>
          </w:tcPr>
          <w:p>
            <w:pPr>
              <w:pStyle w:val="TableParagraph"/>
              <w:spacing w:line="256" w:lineRule="exact"/>
              <w:ind w:left="122"/>
              <w:rPr>
                <w:sz w:val="24"/>
              </w:rPr>
            </w:pPr>
            <w:r>
              <w:rPr>
                <w:sz w:val="24"/>
              </w:rPr>
              <w:t>Grup Sayısı</w:t>
            </w:r>
          </w:p>
        </w:tc>
        <w:tc>
          <w:tcPr>
            <w:tcW w:w="1539" w:type="dxa"/>
            <w:tcBorders>
              <w:bottom w:val="single" w:sz="8" w:space="0" w:color="000000"/>
            </w:tcBorders>
            <w:shd w:val="clear" w:color="auto" w:fill="F1F1F1"/>
          </w:tcPr>
          <w:p>
            <w:pPr>
              <w:pStyle w:val="TableParagraph"/>
              <w:spacing w:line="256" w:lineRule="exact"/>
              <w:ind w:left="315"/>
              <w:rPr>
                <w:sz w:val="24"/>
              </w:rPr>
            </w:pPr>
            <w:r>
              <w:rPr>
                <w:sz w:val="24"/>
              </w:rPr>
              <w:t>142</w:t>
            </w:r>
          </w:p>
        </w:tc>
        <w:tc>
          <w:tcPr>
            <w:tcW w:w="1465" w:type="dxa"/>
            <w:tcBorders>
              <w:bottom w:val="single" w:sz="8" w:space="0" w:color="000000"/>
            </w:tcBorders>
            <w:shd w:val="clear" w:color="auto" w:fill="F1F1F1"/>
          </w:tcPr>
          <w:p>
            <w:pPr>
              <w:pStyle w:val="TableParagraph"/>
              <w:ind w:left="0"/>
              <w:rPr>
                <w:sz w:val="20"/>
              </w:rPr>
            </w:pPr>
          </w:p>
        </w:tc>
        <w:tc>
          <w:tcPr>
            <w:tcW w:w="1556" w:type="dxa"/>
            <w:tcBorders>
              <w:bottom w:val="single" w:sz="8" w:space="0" w:color="000000"/>
            </w:tcBorders>
            <w:shd w:val="clear" w:color="auto" w:fill="F1F1F1"/>
          </w:tcPr>
          <w:p>
            <w:pPr>
              <w:pStyle w:val="TableParagraph"/>
              <w:spacing w:line="256" w:lineRule="exact"/>
              <w:ind w:left="396" w:right="519"/>
              <w:jc w:val="center"/>
              <w:rPr>
                <w:sz w:val="24"/>
              </w:rPr>
            </w:pPr>
            <w:r>
              <w:rPr>
                <w:sz w:val="24"/>
              </w:rPr>
              <w:t>142</w:t>
            </w:r>
          </w:p>
        </w:tc>
        <w:tc>
          <w:tcPr>
            <w:tcW w:w="1379" w:type="dxa"/>
            <w:tcBorders>
              <w:bottom w:val="single" w:sz="8" w:space="0" w:color="000000"/>
            </w:tcBorders>
            <w:shd w:val="clear" w:color="auto" w:fill="F1F1F1"/>
          </w:tcPr>
          <w:p>
            <w:pPr>
              <w:pStyle w:val="TableParagraph"/>
              <w:ind w:left="0"/>
              <w:rPr>
                <w:sz w:val="20"/>
              </w:rPr>
            </w:pPr>
          </w:p>
        </w:tc>
      </w:tr>
      <w:tr>
        <w:trPr>
          <w:trHeight w:val="829" w:hRule="atLeast"/>
        </w:trPr>
        <w:tc>
          <w:tcPr>
            <w:tcW w:w="2932" w:type="dxa"/>
            <w:tcBorders>
              <w:top w:val="single" w:sz="8" w:space="0" w:color="000000"/>
              <w:bottom w:val="single" w:sz="8" w:space="0" w:color="000000"/>
            </w:tcBorders>
          </w:tcPr>
          <w:p>
            <w:pPr>
              <w:pStyle w:val="TableParagraph"/>
              <w:spacing w:before="1"/>
              <w:ind w:left="122"/>
              <w:rPr>
                <w:sz w:val="24"/>
              </w:rPr>
            </w:pPr>
            <w:r>
              <w:rPr>
                <w:sz w:val="24"/>
              </w:rPr>
              <w:t>*** p&lt; ,01</w:t>
            </w:r>
          </w:p>
          <w:p>
            <w:pPr>
              <w:pStyle w:val="TableParagraph"/>
              <w:ind w:left="122"/>
              <w:rPr>
                <w:sz w:val="24"/>
              </w:rPr>
            </w:pPr>
            <w:r>
              <w:rPr>
                <w:sz w:val="24"/>
              </w:rPr>
              <w:t>**p&lt;,05</w:t>
            </w:r>
          </w:p>
          <w:p>
            <w:pPr>
              <w:pStyle w:val="TableParagraph"/>
              <w:spacing w:line="256" w:lineRule="exact"/>
              <w:ind w:left="122"/>
              <w:rPr>
                <w:sz w:val="24"/>
              </w:rPr>
            </w:pPr>
            <w:r>
              <w:rPr>
                <w:sz w:val="24"/>
              </w:rPr>
              <w:t>*p&lt;,10</w:t>
            </w:r>
          </w:p>
        </w:tc>
        <w:tc>
          <w:tcPr>
            <w:tcW w:w="1539" w:type="dxa"/>
            <w:tcBorders>
              <w:top w:val="single" w:sz="8" w:space="0" w:color="000000"/>
              <w:bottom w:val="single" w:sz="8" w:space="0" w:color="000000"/>
            </w:tcBorders>
          </w:tcPr>
          <w:p>
            <w:pPr>
              <w:pStyle w:val="TableParagraph"/>
              <w:ind w:left="0"/>
              <w:rPr>
                <w:sz w:val="22"/>
              </w:rPr>
            </w:pPr>
          </w:p>
        </w:tc>
        <w:tc>
          <w:tcPr>
            <w:tcW w:w="1465" w:type="dxa"/>
            <w:tcBorders>
              <w:top w:val="single" w:sz="8" w:space="0" w:color="000000"/>
              <w:bottom w:val="single" w:sz="8" w:space="0" w:color="000000"/>
            </w:tcBorders>
          </w:tcPr>
          <w:p>
            <w:pPr>
              <w:pStyle w:val="TableParagraph"/>
              <w:ind w:left="0"/>
              <w:rPr>
                <w:sz w:val="22"/>
              </w:rPr>
            </w:pPr>
          </w:p>
        </w:tc>
        <w:tc>
          <w:tcPr>
            <w:tcW w:w="1556" w:type="dxa"/>
            <w:tcBorders>
              <w:top w:val="single" w:sz="8" w:space="0" w:color="000000"/>
              <w:bottom w:val="single" w:sz="8" w:space="0" w:color="000000"/>
            </w:tcBorders>
          </w:tcPr>
          <w:p>
            <w:pPr>
              <w:pStyle w:val="TableParagraph"/>
              <w:ind w:left="0"/>
              <w:rPr>
                <w:sz w:val="22"/>
              </w:rPr>
            </w:pPr>
          </w:p>
        </w:tc>
        <w:tc>
          <w:tcPr>
            <w:tcW w:w="1379" w:type="dxa"/>
            <w:tcBorders>
              <w:top w:val="single" w:sz="8" w:space="0" w:color="000000"/>
              <w:bottom w:val="single" w:sz="8" w:space="0" w:color="000000"/>
            </w:tcBorders>
          </w:tcPr>
          <w:p>
            <w:pPr>
              <w:pStyle w:val="TableParagraph"/>
              <w:ind w:left="0"/>
              <w:rPr>
                <w:sz w:val="22"/>
              </w:rPr>
            </w:pPr>
          </w:p>
        </w:tc>
      </w:tr>
    </w:tbl>
    <w:p>
      <w:pPr>
        <w:spacing w:after="0"/>
        <w:rPr>
          <w:sz w:val="22"/>
        </w:rPr>
        <w:sectPr>
          <w:pgSz w:w="12240" w:h="15840"/>
          <w:pgMar w:header="718" w:footer="0" w:top="1300" w:bottom="280" w:left="1720" w:right="820"/>
        </w:sectPr>
      </w:pPr>
    </w:p>
    <w:p>
      <w:pPr>
        <w:pStyle w:val="BodyText"/>
        <w:spacing w:line="360" w:lineRule="auto" w:before="100"/>
        <w:ind w:right="311" w:firstLine="708"/>
      </w:pPr>
      <w:r>
        <w:rPr/>
        <w:t>Toplam yorum sayısının katsayısı pozitif ve istatistiksel olarak anlamlıdır. Bu</w:t>
      </w:r>
      <w:r>
        <w:rPr>
          <w:spacing w:val="-30"/>
        </w:rPr>
        <w:t> </w:t>
      </w:r>
      <w:r>
        <w:rPr/>
        <w:t>sonuç, hacim değişkeni olan toplam yorum sayısı ile satışlar arasında pozitif ilişki olduğunu ortaya </w:t>
      </w:r>
      <w:r>
        <w:rPr>
          <w:position w:val="2"/>
        </w:rPr>
        <w:t>koymakta ve H</w:t>
      </w:r>
      <w:r>
        <w:rPr>
          <w:sz w:val="16"/>
        </w:rPr>
        <w:t>1 </w:t>
      </w:r>
      <w:r>
        <w:rPr>
          <w:position w:val="2"/>
        </w:rPr>
        <w:t>hipotezini</w:t>
      </w:r>
      <w:r>
        <w:rPr>
          <w:spacing w:val="-1"/>
          <w:position w:val="2"/>
        </w:rPr>
        <w:t> </w:t>
      </w:r>
      <w:r>
        <w:rPr>
          <w:position w:val="2"/>
        </w:rPr>
        <w:t>desteklemektedir.</w:t>
      </w:r>
    </w:p>
    <w:p>
      <w:pPr>
        <w:pStyle w:val="BodyText"/>
        <w:spacing w:line="360" w:lineRule="auto"/>
        <w:ind w:right="309" w:firstLine="708"/>
      </w:pPr>
      <w:r>
        <w:rPr/>
        <w:pict>
          <v:group style="position:absolute;margin-left:117.686501pt;margin-top:273.43692pt;width:342.75pt;height:184.9pt;mso-position-horizontal-relative:page;mso-position-vertical-relative:paragraph;z-index:15754752" coordorigin="2354,5469" coordsize="6855,3698">
            <v:rect style="position:absolute;left:2353;top:5468;width:6855;height:3698" filled="true" fillcolor="#eaf1f3" stroked="false">
              <v:fill type="solid"/>
            </v:rect>
            <v:rect style="position:absolute;left:3222;top:5709;width:5746;height:2746" filled="true" fillcolor="#ffffff" stroked="false">
              <v:fill type="solid"/>
            </v:rect>
            <v:shape style="position:absolute;left:3222;top:5846;width:5746;height:2472" coordorigin="3222,5846" coordsize="5746,2472" path="m8968,8295l3222,8295,3222,8318,8968,8318,8968,8295xm8968,7683l3222,7683,3222,7706,8968,7706,8968,7683xm8968,7071l3222,7071,3222,7094,8968,7094,8968,7071xm8968,6458l3222,6458,3222,6481,8968,6481,8968,6458xm8968,5846l3222,5846,3222,5869,8968,5869,8968,5846xe" filled="true" fillcolor="#eaf1f3" stroked="false">
              <v:path arrowok="t"/>
              <v:fill type="solid"/>
            </v:shape>
            <v:shape style="position:absolute;left:3508;top:5955;width:5311;height:149" coordorigin="3509,5955" coordsize="5311,149" path="m3509,5955l3646,5978,3783,5984,3915,6018,4052,6007,4189,6041,4326,6024,4463,6029,4595,6024,4732,6012,4869,6007,5006,6018,5144,6007,5280,6001,5412,6041,5549,6064,5686,6069,5823,6058,5961,6058,6093,6058,6230,6052,6367,6041,6504,6058,6641,6064,6773,6069,6910,6064,7047,6087,7184,6081,7321,6087,7459,6087,7590,6081,7727,6081,7864,6104,8002,6104,8139,6104,8270,6104,8408,6098,8545,6098,8682,6092,8820,6092e" filled="false" stroked="true" strokeweight="1.143678pt" strokecolor="#1a466e">
              <v:path arrowok="t"/>
              <v:stroke dashstyle="solid"/>
            </v:shape>
            <v:shape style="position:absolute;left:3508;top:5857;width:5311;height:2421" coordorigin="3509,5858" coordsize="5311,2421" path="m3509,5858l3509,5858,5006,5858,5144,6624,5280,6538,5412,6779,5549,6974,5686,6802,5823,6802,5961,6802,6093,6802,6230,6802,6367,6802,6504,6802,6641,7608,6773,7608,6910,7488,7047,7385,7184,7477,7321,8066,7459,7951,7590,7843,7727,7843,7864,8221,8002,8221,8139,8221,8270,8117,8408,8117,8545,8278,8682,8278,8820,8278e" filled="false" stroked="true" strokeweight="1.143575pt" strokecolor="#90353a">
              <v:path arrowok="t"/>
              <v:stroke dashstyle="solid"/>
            </v:shape>
            <v:shape style="position:absolute;left:3508;top:6006;width:5311;height:63" coordorigin="3509,6007" coordsize="5311,63" path="m3509,6069l3646,6035,3783,6029,3915,6029,4052,6029,4189,6029,4326,6024,4463,6024,5686,6024,5823,6018,5961,6018,6093,6018,6230,6018,6367,6018,6504,6024,6641,6024,6773,6024,6910,6024,7047,6018,7184,6018,7321,6012,7459,6012,8408,6012,8545,6007,8682,6007,8820,6007e" filled="false" stroked="true" strokeweight="1.143678pt" strokecolor="#54752e">
              <v:path arrowok="t"/>
              <v:stroke dashstyle="solid"/>
            </v:shape>
            <v:shape style="position:absolute;left:6641;top:5857;width:2179;height:2" coordorigin="6641,5858" coordsize="2179,0" path="m6641,5858l6641,5858,8682,5858,8820,5858e" filled="false" stroked="true" strokeweight="1.143678pt" strokecolor="#e27d00">
              <v:path arrowok="t"/>
              <v:stroke dashstyle="solid"/>
            </v:shape>
            <v:line style="position:absolute" from="3497,6115" to="8831,6115" stroked="true" strokeweight=".571881pt" strokecolor="#c10434">
              <v:stroke dashstyle="solid"/>
            </v:line>
            <v:shape style="position:absolute;left:3508;top:5857;width:5311;height:2" coordorigin="3509,5858" coordsize="5311,0" path="m3509,5858l3509,5858,8682,5858,8820,5858e" filled="false" stroked="true" strokeweight="1.143678pt" strokecolor="#928dd2">
              <v:path arrowok="t"/>
              <v:stroke dashstyle="solid"/>
            </v:shape>
            <v:shape style="position:absolute;left:3508;top:6321;width:5311;height:98" coordorigin="3509,6321" coordsize="5311,98" path="m3509,6418l3646,6418,3783,6418,3915,6413,4052,6407,4189,6395,4326,6390,4463,6384,4595,6378,4732,6378,4869,6378,5006,6378,5144,6373,5280,6361,5412,6361,5549,6350,5686,6350,5823,6344,5961,6338,6093,6338,6230,6338,6367,6338,6504,6333,6641,6350,6773,6350,6910,6355,7047,6355,7184,6344,7321,6355,7459,6350,7590,6350,7727,6338,7864,6338,8002,6327,8139,6321,8270,6333,8408,6338,8545,6333,8682,6350,8820,6344e" filled="false" stroked="true" strokeweight="1.143678pt" strokecolor="#c9c27d">
              <v:path arrowok="t"/>
              <v:stroke dashstyle="solid"/>
            </v:shape>
            <v:shape style="position:absolute;left:3508;top:6361;width:5311;height:206" coordorigin="3509,6361" coordsize="5311,206" path="m3509,6498l3646,6481,3783,6481,3915,6453,4052,6441,4189,6424,4326,6384,4463,6390,4595,6430,4732,6413,4869,6401,5006,6430,5144,6413,5280,6401,5412,6401,5549,6390,5686,6378,5823,6384,5961,6384,6093,6390,6230,6384,6367,6378,6504,6361,6641,6401,6773,6395,6910,6390,7047,6378,7184,6395,7321,6481,7459,6516,7590,6510,7727,6544,7864,6521,8002,6556,8139,6550,8270,6544,8408,6567,8545,6561,8682,6556,8820,6550e" filled="false" stroked="true" strokeweight="1.143677pt" strokecolor="#9f522c">
              <v:path arrowok="t"/>
              <v:stroke dashstyle="solid"/>
            </v:shape>
            <v:shape style="position:absolute;left:3508;top:5995;width:5311;height:189" coordorigin="3509,5995" coordsize="5311,189" path="m3509,6184l3646,6167,3783,6127,3915,6127,4052,6115,4189,6104,4326,6069,4463,6058,4595,6047,4732,6035,4869,6029,5006,6029,5144,6029,5280,6024,5412,6024,5549,6024,5686,6018,5823,6012,5961,6007,6093,6007,6230,6007,6367,6001,6504,5995,6641,6178,6773,6172,6910,6167,7047,6150,7184,6132,7321,6121,7459,6109,7590,6092,7727,6127,7864,6115,8002,6109,8139,6109,8270,6104,8408,6098,8545,6098,8682,6092,8820,6092e" filled="false" stroked="true" strokeweight="1.143677pt" strokecolor="#7a92a8">
              <v:path arrowok="t"/>
              <v:stroke dashstyle="solid"/>
            </v:shape>
            <v:rect style="position:absolute;left:3497;top:6046;width:5334;height:63" filled="true" fillcolor="#2c6c66" stroked="false">
              <v:fill type="solid"/>
            </v:rect>
            <v:shape style="position:absolute;left:3508;top:5857;width:5311;height:612" coordorigin="3509,5858" coordsize="5311,612" path="m3509,5858l3509,5858,5412,5858,5549,6470,8682,6470,8820,6470e" filled="false" stroked="true" strokeweight="1.14367pt" strokecolor="#9c8746">
              <v:path arrowok="t"/>
              <v:stroke dashstyle="solid"/>
            </v:shape>
            <v:shape style="position:absolute;left:3508;top:5857;width:5311;height:52" coordorigin="3509,5858" coordsize="5311,52" path="m3509,5858l3509,5858,6773,5858,6910,5909,7047,5904,7184,5904,7321,5904,8139,5904,8270,5898,8408,5898,8545,5898,8682,5898,8820,5898e" filled="false" stroked="true" strokeweight="1.143678pt" strokecolor="#bea09c">
              <v:path arrowok="t"/>
              <v:stroke dashstyle="solid"/>
            </v:shape>
            <v:shape style="position:absolute;left:3508;top:5857;width:5311;height:2" coordorigin="3509,5858" coordsize="5311,0" path="m3509,5858l3509,5858,8682,5858,8820,5858e" filled="false" stroked="true" strokeweight="1.143678pt" strokecolor="#ffd200">
              <v:path arrowok="t"/>
              <v:stroke dashstyle="solid"/>
            </v:shape>
            <v:rect style="position:absolute;left:3497;top:6029;width:5334;height:46" filled="true" fillcolor="#1a466e" stroked="false">
              <v:fill type="solid"/>
            </v:rect>
            <v:rect style="position:absolute;left:3497;top:5995;width:5334;height:75" filled="true" fillcolor="#90353a" stroked="false">
              <v:fill type="solid"/>
            </v:rect>
            <v:shape style="position:absolute;left:3508;top:6000;width:5311;height:109" coordorigin="3509,6001" coordsize="5311,109" path="m3509,6001l3646,6007,3783,6001,3915,6001,4732,6001,4869,6029,5549,6029,5686,6047,5823,6047,5961,6047,6093,6047,6230,6041,6367,6041,6504,6041,6641,6041,6773,6035,6910,6098,7047,6092,7184,6092,7321,6087,7459,6081,7590,6087,7727,6087,7864,6087,8002,6081,8139,6104,8270,6104,8408,6109,8545,6104,8682,6104,8820,6104e" filled="false" stroked="true" strokeweight="1.143678pt" strokecolor="#54752e">
              <v:path arrowok="t"/>
              <v:stroke dashstyle="solid"/>
            </v:shape>
            <v:shape style="position:absolute;left:3508;top:6052;width:5311;height:98" coordorigin="3509,6052" coordsize="5311,98" path="m3509,6150l3646,6132,3783,6127,3915,6121,4052,6121,4189,6104,4326,6104,4463,6098,4595,6087,4732,6087,4869,6087,5006,6081,5144,6075,6367,6075,6504,6069,6641,6069,6773,6064,6910,6064,7047,6064,7184,6058,7321,6058,7459,6058,7590,6058,7727,6052,8408,6052,8545,6075,8682,6069,8820,6064e" filled="false" stroked="true" strokeweight="1.143678pt" strokecolor="#e27d00">
              <v:path arrowok="t"/>
              <v:stroke dashstyle="solid"/>
            </v:shape>
            <v:shape style="position:absolute;left:3508;top:6292;width:5311;height:103" coordorigin="3509,6292" coordsize="5311,103" path="m3509,6395l3646,6390,3783,6390,3915,6384,4052,6373,4189,6367,4326,6367,4463,6367,4595,6361,4732,6361,4869,6361,5006,6361,5144,6355,5280,6355,5412,6355,5549,6355,5686,6355,5823,6355,5961,6350,6093,6344,6230,6344,6367,6344,6504,6361,6641,6355,6773,6350,6910,6350,7047,6344,7184,6338,7321,6327,7459,6310,7590,6304,7727,6304,7864,6304,8002,6304,8139,6298,8270,6292,8408,6298,8545,6321,8682,6310,8820,6327e" filled="false" stroked="true" strokeweight="1.143678pt" strokecolor="#6d8e84">
              <v:path arrowok="t"/>
              <v:stroke dashstyle="solid"/>
            </v:shape>
            <v:line style="position:absolute" from="3497,7786" to="8831,7786" stroked="true" strokeweight="3.431201pt" strokecolor="#c10434">
              <v:stroke dashstyle="solid"/>
            </v:line>
            <v:shape style="position:absolute;left:3508;top:5857;width:5311;height:98" coordorigin="3509,5858" coordsize="5311,98" path="m3509,5858l3509,5858,8545,5858,8682,5955,8820,5955e" filled="false" stroked="true" strokeweight="1.143678pt" strokecolor="#928dd2">
              <v:path arrowok="t"/>
              <v:stroke dashstyle="solid"/>
            </v:shape>
            <v:shape style="position:absolute;left:3508;top:5857;width:5311;height:2" coordorigin="3509,5858" coordsize="5311,0" path="m3509,5858l3509,5858,8682,5858,8820,5858e" filled="false" stroked="true" strokeweight="1.143678pt" strokecolor="#c9c27d">
              <v:path arrowok="t"/>
              <v:stroke dashstyle="solid"/>
            </v:shape>
            <v:shape style="position:absolute;left:3508;top:6566;width:5311;height:92" coordorigin="3509,6567" coordsize="5311,92" path="m3509,6590l3646,6584,3783,6584,3915,6578,4052,6578,4189,6578,4326,6573,4463,6567,4595,6584,4732,6584,4869,6590,5006,6584,5144,6578,5280,6573,5412,6584,5549,6578,5686,6578,5823,6573,5961,6573,6093,6573,6230,6567,6367,6573,6504,6567,6641,6567,6773,6573,6910,6573,7047,6573,7184,6567,7321,6578,7459,6590,7590,6584,7727,6596,7864,6613,8002,6641,8139,6641,8270,6647,8408,6641,8545,6647,8682,6641,8820,6658e" filled="false" stroked="true" strokeweight="1.143678pt" strokecolor="#9f522c">
              <v:path arrowok="t"/>
              <v:stroke dashstyle="solid"/>
            </v:shape>
            <v:rect style="position:absolute;left:3497;top:6120;width:5334;height:81" filled="true" fillcolor="#7a92a8" stroked="false">
              <v:fill type="solid"/>
            </v:rect>
            <v:line style="position:absolute" from="3497,6350" to="8831,6350" stroked="true" strokeweight="2.287523pt" strokecolor="#2c6c66">
              <v:stroke dashstyle="solid"/>
            </v:line>
            <v:shape style="position:absolute;left:3508;top:6406;width:5311;height:58" coordorigin="3509,6407" coordsize="5311,58" path="m3509,6435l3646,6435,3783,6435,3915,6435,4052,6424,5412,6424,5549,6418,5686,6424,5823,6424,5961,6424,6093,6418,6230,6418,6367,6418,6504,6413,6641,6413,6773,6413,6910,6413,7047,6413,7184,6407,7321,6407,7459,6407,7590,6407,7727,6418,7864,6413,8002,6407,8139,6464,8270,6458,8408,6458,8545,6458,8682,6458,8820,6458e" filled="false" stroked="true" strokeweight="1.143678pt" strokecolor="#9c8746">
              <v:path arrowok="t"/>
              <v:stroke dashstyle="solid"/>
            </v:shape>
            <v:line style="position:absolute" from="3497,6561" to="8831,6561" stroked="true" strokeweight="2.28744pt" strokecolor="#bea09c">
              <v:stroke dashstyle="solid"/>
            </v:line>
            <v:shape style="position:absolute;left:3508;top:5983;width:5311;height:2" coordorigin="3509,5984" coordsize="5311,0" path="m3509,5984l3509,5984,8682,5984,8820,5984e" filled="false" stroked="true" strokeweight="1.143678pt" strokecolor="#ffd200">
              <v:path arrowok="t"/>
              <v:stroke dashstyle="solid"/>
            </v:shape>
            <v:rect style="position:absolute;left:3497;top:6040;width:5334;height:35" filled="true" fillcolor="#d9e6eb" stroked="false">
              <v:fill type="solid"/>
            </v:rect>
            <v:rect style="position:absolute;left:3497;top:6195;width:5334;height:35" filled="true" fillcolor="#1a466e" stroked="false">
              <v:fill type="solid"/>
            </v:rect>
            <v:shape style="position:absolute;left:3508;top:6223;width:5311;height:103" coordorigin="3509,6224" coordsize="5311,103" path="m3509,6281l3646,6275,3783,6258,3915,6252,4052,6252,4189,6247,4326,6235,4463,6235,4595,6230,4732,6224,4869,6224,5006,6264,5144,6270,5280,6270,5412,6264,5549,6270,5686,6281,5823,6315,5961,6304,6093,6310,6230,6298,6367,6292,6504,6287,6641,6281,6773,6281,6910,6287,7047,6281,7184,6264,7321,6258,7459,6252,7590,6258,7727,6281,7864,6327,8002,6321,8139,6327,8270,6315,8408,6310,8545,6310,8682,6304,8820,6304e" filled="false" stroked="true" strokeweight="1.143678pt" strokecolor="#90353a">
              <v:path arrowok="t"/>
              <v:stroke dashstyle="solid"/>
            </v:shape>
            <v:rect style="position:absolute;left:3497;top:6040;width:5334;height:58" filled="true" fillcolor="#54752e" stroked="false">
              <v:fill type="solid"/>
            </v:rect>
            <v:shape style="position:absolute;left:3508;top:5949;width:5311;height:52" coordorigin="3509,5949" coordsize="5311,52" path="m3509,6001l3646,6001,3783,6001,3915,6001,4052,5995,4189,5989,4326,5989,4463,5978,4595,5972,4732,5967,4869,5967,5006,5967,6910,5967,7047,5961,7184,5955,7321,5955,7459,5949,8682,5949,8820,5949e" filled="false" stroked="true" strokeweight="1.143678pt" strokecolor="#e27d00">
              <v:path arrowok="t"/>
              <v:stroke dashstyle="solid"/>
            </v:shape>
            <v:shape style="position:absolute;left:3508;top:6549;width:5311;height:241" coordorigin="3509,6550" coordsize="5311,241" path="m3509,6791l3646,6773,3783,6768,3915,6733,4052,6733,4189,6733,4326,6733,4463,6710,4595,6710,4732,6710,4869,6693,5006,6693,5144,6693,5280,6670,5412,6670,5549,6653,5686,6647,5823,6647,5961,6641,6093,6630,6230,6624,6367,6618,6504,6601,6641,6596,7459,6596,7590,6590,7727,6590,7864,6584,8002,6573,8139,6561,8270,6561,8408,6556,8545,6550,8682,6550,8820,6550e" filled="false" stroked="true" strokeweight="1.143677pt" strokecolor="#6d8e84">
              <v:path arrowok="t"/>
              <v:stroke dashstyle="solid"/>
            </v:shape>
            <v:rect style="position:absolute;left:3497;top:6218;width:5334;height:29" filled="true" fillcolor="#c10434" stroked="false">
              <v:fill type="solid"/>
            </v:rect>
            <v:shape style="position:absolute;left:3508;top:6281;width:5311;height:183" coordorigin="3509,6281" coordsize="5311,183" path="m3509,6464l3646,6447,3783,6435,3915,6424,4052,6413,4189,6401,4326,6395,4463,6395,4595,6390,4732,6384,4869,6384,5006,6395,5144,6395,5280,6395,5412,6395,5549,6384,5686,6378,5823,6373,5961,6367,6093,6361,6230,6355,6367,6355,6504,6350,6641,6338,6773,6355,6910,6338,7047,6333,7184,6315,7321,6298,7459,6304,7590,6304,7727,6292,7864,6287,8002,6287,8139,6304,8270,6298,8408,6292,8545,6287,8682,6281,8820,6281e" filled="false" stroked="true" strokeweight="1.143677pt" strokecolor="#928dd2">
              <v:path arrowok="t"/>
              <v:stroke dashstyle="solid"/>
            </v:shape>
            <v:shape style="position:absolute;left:3508;top:6549;width:5311;height:178" coordorigin="3509,6550" coordsize="5311,178" path="m3509,6710l3646,6722,3783,6728,3915,6722,4052,6710,4189,6699,4326,6693,4463,6687,4595,6676,4732,6664,4869,6647,5006,6636,5144,6630,5280,6624,5412,6618,5549,6618,5686,6607,5823,6607,5961,6596,6093,6590,6230,6596,6367,6590,6504,6590,6641,6578,6773,6573,6910,6567,7047,6561,7184,6556,7321,6550,7459,6573,7590,6567,7727,6567,7864,6596,8002,6607,8139,6630,8270,6630,8408,6624,8545,6641,8682,6630,8820,6624e" filled="false" stroked="true" strokeweight="1.143677pt" strokecolor="#c9c27d">
              <v:path arrowok="t"/>
              <v:stroke dashstyle="solid"/>
            </v:shape>
            <v:shape style="position:absolute;left:3508;top:6790;width:5311;height:75" coordorigin="3509,6791" coordsize="5311,75" path="m3509,6865l3646,6859,3783,6853,3915,6859,4052,6853,4189,6848,4326,6842,4463,6842,4595,6842,4732,6836,4869,6836,5006,6831,5144,6831,5280,6831,5412,6825,5549,6825,5686,6825,5823,6819,5961,6819,6093,6819,6230,6825,6367,6819,6504,6808,6641,6808,6773,6796,6910,6802,7047,6796,7184,6791,7321,6791,7459,6796,7590,6796,7727,6808,7864,6808,8002,6808,8139,6808,8270,6808,8408,6808,8545,6802,8682,6802,8820,6802e" filled="false" stroked="true" strokeweight="1.143678pt" strokecolor="#9f522c">
              <v:path arrowok="t"/>
              <v:stroke dashstyle="solid"/>
            </v:shape>
            <v:shape style="position:absolute;left:3508;top:6080;width:5311;height:52" coordorigin="3509,6081" coordsize="5311,52" path="m3509,6132l3646,6132,3783,6132,3915,6127,4052,6121,4189,6121,4326,6121,5961,6121,6093,6115,6230,6115,6367,6115,6504,6109,6641,6109,6773,6109,6910,6109,7047,6104,7184,6098,7321,6098,7459,6098,7590,6098,7727,6098,7864,6087,8002,6087,8139,6087,8270,6081,8408,6081,8545,6081,8682,6081,8820,6081e" filled="false" stroked="true" strokeweight="1.143678pt" strokecolor="#7a92a8">
              <v:path arrowok="t"/>
              <v:stroke dashstyle="solid"/>
            </v:shape>
            <v:shape style="position:absolute;left:3508;top:6075;width:5311;height:92" coordorigin="3509,6075" coordsize="5311,92" path="m3509,6081l3646,6081,3783,6081,3915,6081,4052,6081,4189,6075,4326,6075,4463,6092,4595,6092,5412,6092,5549,6087,5686,6087,5823,6087,5961,6081,6093,6081,6230,6092,6367,6092,6504,6092,6641,6092,6773,6087,6910,6087,7047,6087,7184,6081,7864,6081,8002,6087,8682,6087,8820,6167e" filled="false" stroked="true" strokeweight="1.143678pt" strokecolor="#2c6c66">
              <v:path arrowok="t"/>
              <v:stroke dashstyle="solid"/>
            </v:shape>
            <v:shape style="position:absolute;left:3508;top:6332;width:5311;height:229" coordorigin="3509,6333" coordsize="5311,229" path="m3509,6367l3646,6355,3783,6367,3915,6355,4052,6355,4189,6378,4326,6361,4463,6355,4595,6373,4732,6384,4869,6378,5006,6395,5144,6384,5280,6367,5412,6355,5549,6344,5686,6338,5823,6333,5961,6373,6093,6390,6230,6390,6367,6378,6504,6401,6641,6390,6773,6401,6910,6395,7047,6395,7184,6395,7321,6401,7459,6441,7590,6498,7727,6487,7864,6487,8002,6487,8139,6527,8270,6544,8408,6521,8545,6521,8682,6521,8820,6561e" filled="false" stroked="true" strokeweight="1.143677pt" strokecolor="#9c8746">
              <v:path arrowok="t"/>
              <v:stroke dashstyle="solid"/>
            </v:shape>
            <v:shape style="position:absolute;left:3508;top:5932;width:5311;height:69" coordorigin="3509,5932" coordsize="5311,69" path="m3509,6001l3646,5995,3783,5989,3915,5989,4869,5989,5006,5984,5144,5984,5280,5978,5412,5978,5549,5978,5686,5978,5823,5978,5961,5978,6093,5967,6230,5961,6367,5961,6504,5961,6641,5961,6773,5961,6910,5955,7047,5955,7184,5949,7321,5949,7459,5944,7590,5944,7727,5944,7864,5938,8002,5938,8139,5938,8270,5938,8408,5938,8545,5932,8682,5932,8820,5932e" filled="false" stroked="true" strokeweight="1.143678pt" strokecolor="#bea09c">
              <v:path arrowok="t"/>
              <v:stroke dashstyle="solid"/>
            </v:shape>
            <v:rect style="position:absolute;left:3497;top:5983;width:5334;height:41" filled="true" fillcolor="#ffd200" stroked="false">
              <v:fill type="solid"/>
            </v:rect>
            <v:rect style="position:absolute;left:3497;top:5972;width:5334;height:35" filled="true" fillcolor="#d9e6eb" stroked="false">
              <v:fill type="solid"/>
            </v:rect>
            <v:shape style="position:absolute;left:3508;top:6246;width:5311;height:41" coordorigin="3509,6247" coordsize="5311,41" path="m3509,6287l3646,6287,3783,6281,3915,6281,4052,6281,4189,6275,4326,6270,4463,6264,4595,6275,4732,6270,4869,6258,5006,6252,5144,6252,5280,6258,5412,6270,5549,6264,5686,6258,5823,6258,5961,6252,6093,6252,6230,6247,6367,6247,6504,6287,6641,6287,6773,6287,6910,6287,7047,6281,7184,6275,7321,6275,7459,6275,7590,6275,7727,6275,7864,6270,8002,6270,8139,6270,8270,6270,8408,6264,8545,6258,8682,6258,8820,6252e" filled="false" stroked="true" strokeweight="1.143678pt" strokecolor="#1a466e">
              <v:path arrowok="t"/>
              <v:stroke dashstyle="solid"/>
            </v:shape>
            <v:shape style="position:absolute;left:3508;top:7350;width:5311;height:246" coordorigin="3509,7351" coordsize="5311,246" path="m3509,7597l3646,7597,3783,7591,3915,7591,4052,7580,4189,7580,4326,7563,4463,7563,4595,7557,4732,7545,4869,7545,5006,7545,5144,7545,5280,7568,5412,7568,5549,7568,5686,7563,5823,7563,5961,7563,6093,7563,6230,7563,6367,7545,6504,7545,6641,7545,6773,7545,6910,7517,7047,7500,7184,7477,7321,7454,7459,7448,7590,7437,7727,7391,7864,7391,8002,7385,8139,7362,8270,7362,8408,7357,8545,7351,8682,7351,8820,7351e" filled="false" stroked="true" strokeweight="1.143677pt" strokecolor="#90353a">
              <v:path arrowok="t"/>
              <v:stroke dashstyle="solid"/>
            </v:shape>
            <v:rect style="position:absolute;left:3497;top:6023;width:5334;height:63" filled="true" fillcolor="#54752e" stroked="false">
              <v:fill type="solid"/>
            </v:rect>
            <v:shape style="position:absolute;left:3508;top:6469;width:5311;height:2" coordorigin="3509,6470" coordsize="5311,0" path="m3509,6470l3509,6470,8682,6470,8820,6470e" filled="false" stroked="true" strokeweight="1.143678pt" strokecolor="#e27d00">
              <v:path arrowok="t"/>
              <v:stroke dashstyle="solid"/>
            </v:shape>
            <v:shape style="position:absolute;left:3508;top:6252;width:5311;height:109" coordorigin="3509,6252" coordsize="5311,109" path="m3509,6315l3509,6315,4189,6315,4326,6298,6093,6298,6230,6287,6367,6344,6504,6344,6641,6344,6773,6344,6910,6344,7047,6333,7184,6333,7321,6327,7459,6315,7590,6315,7727,6361,7864,6338,8002,6338,8139,6304,8270,6304,8408,6252,8545,6252,8682,6252,8820,6252e" filled="false" stroked="true" strokeweight="1.143678pt" strokecolor="#6d8e84">
              <v:path arrowok="t"/>
              <v:stroke dashstyle="solid"/>
            </v:shape>
            <v:shape style="position:absolute;left:3508;top:6052;width:5311;height:121" coordorigin="3509,6052" coordsize="5311,121" path="m3509,6064l3509,6064,4189,6064,4326,6058,5280,6058,5412,6052,5549,6052,5686,6052,5823,6121,5961,6172,6093,6167,6230,6167,6367,6167,6504,6161,6641,6161,6773,6161,6910,6161,7047,6161,7184,6155,7321,6155,7459,6150,7590,6150,7727,6150,7864,6161,8002,6138,8139,6132,8270,6132,8408,6132,8545,6132,8682,6132,8820,6127e" filled="false" stroked="true" strokeweight="1.143678pt" strokecolor="#c10434">
              <v:path arrowok="t"/>
              <v:stroke dashstyle="solid"/>
            </v:shape>
            <v:shape style="position:absolute;left:3508;top:6269;width:5311;height:121" coordorigin="3509,6270" coordsize="5311,121" path="m3509,6390l3646,6384,3783,6373,3915,6367,4052,6361,4189,6355,4326,6355,4463,6344,4595,6344,4732,6344,4869,6338,5006,6333,5144,6327,5280,6338,5412,6338,5549,6344,5686,6333,5823,6338,5961,6338,6093,6333,6230,6333,6367,6327,6504,6321,6641,6310,6773,6310,6910,6298,7047,6298,7184,6287,7321,6281,7459,6281,7590,6281,7727,6275,7864,6275,8002,6275,8139,6281,8270,6281,8408,6275,8545,6270,8682,6270,8820,6270e" filled="false" stroked="true" strokeweight="1.143678pt" strokecolor="#928dd2">
              <v:path arrowok="t"/>
              <v:stroke dashstyle="solid"/>
            </v:shape>
            <v:rect style="position:absolute;left:3497;top:5926;width:5334;height:35" filled="true" fillcolor="#c9c27d" stroked="false">
              <v:fill type="solid"/>
            </v:rect>
            <v:shape style="position:absolute;left:3508;top:5977;width:5311;height:183" coordorigin="3509,5978" coordsize="5311,183" path="m3509,6069l3646,6058,3783,6041,3915,6041,4052,6035,4189,6035,4326,6024,4463,6018,4595,6018,4732,6018,4869,6018,5006,6012,5144,6001,5280,5995,5412,5984,5549,5978,5686,6138,5823,6138,5961,6132,6093,6127,6230,6121,6367,6109,6504,6132,6641,6115,6773,6115,6910,6109,7047,6161,7184,6150,7321,6144,7459,6138,7590,6132,7727,6132,7864,6150,8002,6144,8139,6138,8270,6132,8408,6132,8545,6121,8682,6115,8820,6115e" filled="false" stroked="true" strokeweight="1.143677pt" strokecolor="#9f522c">
              <v:path arrowok="t"/>
              <v:stroke dashstyle="solid"/>
            </v:shape>
            <v:shape style="position:absolute;left:3508;top:6172;width:5311;height:258" coordorigin="3509,6172" coordsize="5311,258" path="m3509,6275l3646,6275,3783,6264,3915,6264,4052,6264,4189,6264,4326,6252,4463,6252,4595,6252,4732,6241,4869,6241,5006,6241,5144,6241,5280,6235,5412,6224,5549,6224,5686,6212,5823,6212,5961,6212,6093,6212,6230,6212,6367,6207,6504,6207,6641,6207,6773,6172,6910,6212,7047,6201,7184,6201,7321,6201,7459,6201,7590,6378,7727,6430,7864,6424,8002,6413,8139,6407,8270,6407,8408,6407,8545,6401,8682,6401,8820,6401e" filled="false" stroked="true" strokeweight="1.143677pt" strokecolor="#7a92a8">
              <v:path arrowok="t"/>
              <v:stroke dashstyle="solid"/>
            </v:shape>
            <v:shape style="position:absolute;left:3508;top:5857;width:5311;height:2" coordorigin="3509,5858" coordsize="5311,0" path="m3509,5858l3509,5858,8682,5858,8820,5858e" filled="false" stroked="true" strokeweight="1.143678pt" strokecolor="#2c6c66">
              <v:path arrowok="t"/>
              <v:stroke dashstyle="solid"/>
            </v:shape>
            <v:shape style="position:absolute;left:3508;top:6120;width:5311;height:98" coordorigin="3509,6121" coordsize="5311,98" path="m3509,6218l3646,6218,3783,6207,3915,6207,4052,6201,4189,6195,4326,6195,4463,6178,4595,6178,4732,6172,4869,6167,5006,6161,5144,6161,5280,6161,5412,6155,6504,6155,6641,6150,6773,6144,6910,6144,7047,6138,7184,6132,7321,6132,7459,6132,7590,6127,7727,6127,7864,6121,8002,6121,8139,6161,8270,6161,8408,6161,8545,6161,8682,6155,8820,6155e" filled="false" stroked="true" strokeweight="1.143678pt" strokecolor="#9c8746">
              <v:path arrowok="t"/>
              <v:stroke dashstyle="solid"/>
            </v:shape>
            <v:shape style="position:absolute;left:3508;top:5983;width:5311;height:86" coordorigin="3509,5984" coordsize="5311,86" path="m3509,5989l3509,5989,4326,5989,4463,5984,4595,5984,4732,5984,4869,5984,5006,6058,5686,6058,5823,6052,6910,6052,7047,6047,7184,6047,7321,6047,7459,6047,7590,6047,7727,6041,7864,6041,8002,6041,8139,6041,8270,6069,8408,6069,8545,6069,8682,6069,8820,6069e" filled="false" stroked="true" strokeweight="1.143678pt" strokecolor="#bea09c">
              <v:path arrowok="t"/>
              <v:stroke dashstyle="solid"/>
            </v:shape>
            <v:shape style="position:absolute;left:3508;top:5857;width:5311;height:2" coordorigin="3509,5858" coordsize="5311,0" path="m3509,5858l3509,5858,8682,5858,8820,5858e" filled="false" stroked="true" strokeweight="1.143678pt" strokecolor="#ffd200">
              <v:path arrowok="t"/>
              <v:stroke dashstyle="solid"/>
            </v:shape>
            <v:rect style="position:absolute;left:3497;top:5863;width:5334;height:29" filled="true" fillcolor="#d9e6eb" stroked="false">
              <v:fill type="solid"/>
            </v:rect>
            <v:shape style="position:absolute;left:3508;top:6429;width:5311;height:58" coordorigin="3509,6430" coordsize="5311,58" path="m3509,6487l3646,6481,3783,6481,3915,6481,4052,6481,4189,6475,4326,6475,4463,6470,4595,6464,4732,6464,4869,6464,5006,6464,5144,6464,5280,6458,5961,6458,6093,6470,6230,6475,6367,6475,6504,6475,6641,6475,6773,6470,6910,6470,7047,6470,7184,6464,7321,6458,7459,6453,7590,6447,7727,6435,7864,6430,8002,6430,8139,6430,8270,6430,8408,6441,8545,6435,8682,6435,8820,6435e" filled="false" stroked="true" strokeweight="1.143678pt" strokecolor="#1a466e">
              <v:path arrowok="t"/>
              <v:stroke dashstyle="solid"/>
            </v:shape>
            <v:shape style="position:absolute;left:3508;top:6538;width:5311;height:247" coordorigin="3509,6538" coordsize="5311,247" path="m3509,6596l3646,6596,3783,6590,3915,6590,4052,6584,4189,6584,4326,6578,4463,6618,4595,6601,4732,6601,4869,6584,5006,6584,5144,6578,5280,6561,5412,6561,5549,6561,5686,6556,5823,6556,5961,6556,6093,6550,6230,6538,6367,6538,6504,6573,6641,6590,6773,6664,6910,6664,7047,6664,7184,6653,7321,6664,7459,6658,7590,6693,7727,6693,7864,6693,8002,6670,8139,6670,8270,6681,8408,6676,8545,6785,8682,6785,8820,6785e" filled="false" stroked="true" strokeweight="1.143677pt" strokecolor="#90353a">
              <v:path arrowok="t"/>
              <v:stroke dashstyle="solid"/>
            </v:shape>
            <v:shape style="position:absolute;left:3508;top:5857;width:5311;height:2" coordorigin="3509,5858" coordsize="5311,0" path="m3509,5858l3509,5858,8682,5858,8820,5858e" filled="false" stroked="true" strokeweight="1.143678pt" strokecolor="#54752e">
              <v:path arrowok="t"/>
              <v:stroke dashstyle="solid"/>
            </v:shape>
            <v:shape style="position:absolute;left:3508;top:7053;width:5311;height:103" coordorigin="3509,7054" coordsize="5311,103" path="m3509,7122l3646,7116,3783,7116,3915,7116,4052,7111,4189,7111,4326,7111,4463,7105,4595,7105,4732,7094,4869,7116,5006,7157,5144,7139,5280,7122,5412,7111,5549,7105,5686,7128,5823,7116,5961,7111,6093,7105,6230,7105,6367,7105,6504,7099,6641,7088,6773,7088,6910,7088,7047,7076,7184,7071,7321,7071,7459,7054,7590,7054,7727,7088,7864,7082,8002,7076,8139,7071,8270,7071,8408,7099,8545,7111,8682,7105,8820,7105e" filled="false" stroked="true" strokeweight="1.143678pt" strokecolor="#e27d00">
              <v:path arrowok="t"/>
              <v:stroke dashstyle="solid"/>
            </v:shape>
            <v:shape style="position:absolute;left:5411;top:5857;width:3408;height:2" coordorigin="5412,5858" coordsize="3408,0" path="m5412,5858l5412,5858,8682,5858,8820,5858e" filled="false" stroked="true" strokeweight="1.143678pt" strokecolor="#6d8e84">
              <v:path arrowok="t"/>
              <v:stroke dashstyle="solid"/>
            </v:shape>
            <v:shape style="position:absolute;left:3508;top:5857;width:5311;height:166" coordorigin="3509,5858" coordsize="5311,166" path="m3509,5858l3646,5858,3783,5858,3915,6001,4052,6018,4189,6012,4326,5984,4463,6001,4595,6024,4732,6007,4869,5995,5006,5984,5144,5978,5280,5972,5412,5967,5549,5961,5686,5955,5823,5949,5961,5961,6093,5955,6230,5949,6367,5944,6504,5961,6641,5961,6773,5955,6910,5972,7047,5972,7184,5967,7321,5967,7459,5967,7590,5961,7727,5961,7864,5955,8002,5955,8139,5955,8270,5961,8408,5961,8545,5961,8682,5955,8820,5978e" filled="false" stroked="true" strokeweight="1.143678pt" strokecolor="#c10434">
              <v:path arrowok="t"/>
              <v:stroke dashstyle="solid"/>
            </v:shape>
            <v:shape style="position:absolute;left:3508;top:5857;width:5311;height:2" coordorigin="3509,5858" coordsize="5311,0" path="m3509,5858l3509,5858,8682,5858,8820,5858e" filled="false" stroked="true" strokeweight="1.143678pt" strokecolor="#928dd2">
              <v:path arrowok="t"/>
              <v:stroke dashstyle="solid"/>
            </v:shape>
            <v:rect style="position:absolute;left:3497;top:5892;width:5334;height:35" filled="true" fillcolor="#c9c27d" stroked="false">
              <v:fill type="solid"/>
            </v:rect>
            <v:shape style="position:absolute;left:3508;top:5857;width:5311;height:2" coordorigin="3509,5858" coordsize="5311,0" path="m3509,5858l3509,5858,8682,5858,8820,5858e" filled="false" stroked="true" strokeweight="1.143678pt" strokecolor="#9f522c">
              <v:path arrowok="t"/>
              <v:stroke dashstyle="solid"/>
            </v:shape>
            <v:shape style="position:absolute;left:3508;top:6098;width:5311;height:143" coordorigin="3509,6098" coordsize="5311,143" path="m3509,6201l3646,6184,3783,6184,3915,6184,4052,6241,4189,6224,4326,6207,4463,6190,4595,6190,4732,6190,4869,6184,5006,6184,5144,6184,5280,6184,5412,6184,5549,6184,5686,6184,5823,6172,5961,6172,6093,6167,6230,6167,7047,6167,7184,6138,7321,6132,7459,6127,7590,6109,7727,6104,7864,6104,8002,6104,8139,6104,8270,6104,8408,6104,8545,6098,8682,6098,8820,6098e" filled="false" stroked="true" strokeweight="1.143678pt" strokecolor="#7a92a8">
              <v:path arrowok="t"/>
              <v:stroke dashstyle="solid"/>
            </v:shape>
            <v:shape style="position:absolute;left:3508;top:6029;width:5311;height:75" coordorigin="3509,6029" coordsize="5311,75" path="m3509,6047l3646,6047,3783,6047,3915,6047,4052,6041,4189,6041,4326,6041,4463,6035,6093,6035,6230,6029,6367,6058,6504,6052,6641,6052,6773,6052,6910,6075,7047,6075,7184,6075,7321,6075,7459,6075,7590,6069,7727,6069,7864,6069,8002,6069,8139,6069,8270,6064,8408,6064,8545,6064,8682,6064,8820,6104e" filled="false" stroked="true" strokeweight="1.143678pt" strokecolor="#2c6c66">
              <v:path arrowok="t"/>
              <v:stroke dashstyle="solid"/>
            </v:shape>
            <v:rect style="position:absolute;left:3497;top:5915;width:5334;height:29" filled="true" fillcolor="#9c8746" stroked="false">
              <v:fill type="solid"/>
            </v:rect>
            <v:shape style="position:absolute;left:3508;top:6075;width:5311;height:52" coordorigin="3509,6075" coordsize="5311,52" path="m3509,6127l3646,6127,3783,6115,3915,6121,4052,6115,4189,6115,4326,6109,4463,6109,4595,6104,4732,6098,4869,6104,5006,6098,5144,6098,5280,6092,5412,6092,5549,6098,5686,6092,5823,6092,5961,6087,6093,6087,6773,6087,6910,6092,7047,6087,7184,6081,7321,6081,7459,6075,7590,6075,7727,6075,7864,6081,8002,6081,8139,6081,8270,6081,8408,6075,8545,6075,8682,6081,8820,6081e" filled="false" stroked="true" strokeweight="1.143678pt" strokecolor="#bea09c">
              <v:path arrowok="t"/>
              <v:stroke dashstyle="solid"/>
            </v:shape>
            <v:rect style="position:absolute;left:3497;top:6160;width:5334;height:46" filled="true" fillcolor="#ffd200" stroked="false">
              <v:fill type="solid"/>
            </v:rect>
            <v:shape style="position:absolute;left:3508;top:6922;width:5311;height:155" coordorigin="3509,6922" coordsize="5311,155" path="m3509,6985l3646,6985,3783,6985,3915,6968,4052,6968,4189,6951,4326,6951,5549,6951,5686,6933,5823,6933,5961,6922,6093,6922,7727,6922,7864,7076,8002,7076,8139,7059,8270,7059,8408,7059,8545,7059,8682,7059,8820,7059e" filled="false" stroked="true" strokeweight="1.143678pt" strokecolor="#d9e6eb">
              <v:path arrowok="t"/>
              <v:stroke dashstyle="solid"/>
            </v:shape>
            <v:rect style="position:absolute;left:3497;top:6183;width:5334;height:58" filled="true" fillcolor="#1a466e" stroked="false">
              <v:fill type="solid"/>
            </v:rect>
            <v:shape style="position:absolute;left:3508;top:6252;width:5311;height:52" coordorigin="3509,6252" coordsize="5311,52" path="m3509,6287l3646,6287,3783,6287,3915,6281,4052,6281,4189,6281,4326,6275,4463,6275,4595,6270,4732,6264,4869,6264,5006,6258,5144,6258,5280,6258,5412,6258,5549,6258,5686,6252,5823,6252,5961,6304,6093,6304,6230,6304,6367,6298,6504,6298,6641,6287,6773,6287,6910,6287,7047,6287,7184,6281,7321,6281,7459,6281,7590,6281,7727,6281,7864,6275,8002,6275,8139,6275,8270,6270,8408,6270,8545,6270,8682,6275,8820,6270e" filled="false" stroked="true" strokeweight="1.143678pt" strokecolor="#90353a">
              <v:path arrowok="t"/>
              <v:stroke dashstyle="solid"/>
            </v:shape>
            <v:line style="position:absolute" from="3497,6304" to="8831,6304" stroked="true" strokeweight="3.431201pt" strokecolor="#54752e">
              <v:stroke dashstyle="solid"/>
            </v:line>
            <v:rect style="position:absolute;left:3497;top:6069;width:5334;height:46" filled="true" fillcolor="#e27d00" stroked="false">
              <v:fill type="solid"/>
            </v:rect>
            <v:shape style="position:absolute;left:3508;top:7665;width:5311;height:52" coordorigin="3509,7665" coordsize="5311,52" path="m3509,7683l3646,7683,3783,7677,3915,7677,4732,7677,4869,7665,5006,7717,5144,7717,5280,7717,5412,7706,5549,7700,5686,7700,5823,7700,5961,7700,6093,7700,6230,7717,6367,7717,6504,7700,6641,7694,6773,7694,6910,7694,7047,7711,7184,7711,7321,7694,7459,7694,7590,7694,7727,7688,7864,7688,8002,7677,8139,7717,8270,7711,8408,7700,8545,7700,8682,7711,8820,7711e" filled="false" stroked="true" strokeweight="1.143678pt" strokecolor="#6d8e84">
              <v:path arrowok="t"/>
              <v:stroke dashstyle="solid"/>
            </v:shape>
            <v:rect style="position:absolute;left:3497;top:5903;width:5334;height:46" filled="true" fillcolor="#c10434" stroked="false">
              <v:fill type="solid"/>
            </v:rect>
            <v:shape style="position:absolute;left:3508;top:5966;width:5311;height:63" coordorigin="3509,5967" coordsize="5311,63" path="m3509,5995l3646,5989,3783,5989,3915,5984,4052,5984,4189,5984,4326,5984,4463,5978,5144,5978,5280,5972,5412,5972,5549,5972,5686,5972,5823,5972,5961,5967,6093,6018,6230,6018,6367,6018,6504,6007,6641,6007,6773,6029,6910,6029,7727,6029,7864,6024,8002,6024,8139,6024,8270,6018,8408,6018,8545,6012,8682,6012,8820,6012e" filled="false" stroked="true" strokeweight="1.143678pt" strokecolor="#928dd2">
              <v:path arrowok="t"/>
              <v:stroke dashstyle="solid"/>
            </v:shape>
            <v:rect style="position:absolute;left:3497;top:5926;width:5334;height:52" filled="true" fillcolor="#c9c27d" stroked="false">
              <v:fill type="solid"/>
            </v:rect>
            <v:shape style="position:absolute;left:3508;top:5857;width:5311;height:2" coordorigin="3509,5858" coordsize="5311,0" path="m3509,5858l3509,5858,8682,5858,8820,5858e" filled="false" stroked="true" strokeweight="1.143678pt" strokecolor="#9f522c">
              <v:path arrowok="t"/>
              <v:stroke dashstyle="solid"/>
            </v:shape>
            <v:rect style="position:absolute;left:3497;top:6080;width:5334;height:58" filled="true" fillcolor="#7a92a8" stroked="false">
              <v:fill type="solid"/>
            </v:rect>
            <v:shape style="position:absolute;left:3508;top:6126;width:5311;height:86" coordorigin="3509,6127" coordsize="5311,86" path="m3509,6144l3646,6127,3783,6150,3915,6138,4052,6138,4189,6132,4326,6132,4463,6167,4595,6167,4732,6161,4869,6155,5006,6155,5144,6155,5280,6167,5412,6172,5549,6172,5686,6178,5823,6178,5961,6167,6093,6167,6230,6167,6367,6172,6504,6161,6641,6155,6773,6150,6910,6144,7047,6144,7184,6138,7321,6132,7459,6127,7590,6127,7727,6144,7864,6138,8002,6161,8139,6178,8270,6190,8408,6184,8545,6184,8682,6201,8820,6212e" filled="false" stroked="true" strokeweight="1.143678pt" strokecolor="#2c6c66">
              <v:path arrowok="t"/>
              <v:stroke dashstyle="solid"/>
            </v:shape>
            <v:rect style="position:absolute;left:3497;top:6160;width:5334;height:58" filled="true" fillcolor="#9c8746" stroked="false">
              <v:fill type="solid"/>
            </v:rect>
            <v:rect style="position:absolute;left:3497;top:5846;width:5334;height:46" filled="true" fillcolor="#bea09c" stroked="false">
              <v:fill type="solid"/>
            </v:rect>
            <v:shape style="position:absolute;left:3508;top:6607;width:5311;height:356" coordorigin="3509,6607" coordsize="5311,356" path="m3509,6962l3646,6876,3783,6762,3915,6728,4052,6670,4189,6681,4326,6699,4463,6762,4595,6842,4732,6836,4869,6773,5006,6768,5144,6773,5280,6762,5412,6745,5549,6710,5686,6681,5823,6636,5961,6664,6093,6636,6230,6658,6367,6658,6504,6630,6641,6641,6773,6613,6910,6624,7047,6607,7184,6613,7321,6653,7459,6647,7590,6664,7727,6704,7864,6710,8002,6710,8139,6676,8270,6653,8408,6670,8545,6704,8682,6687,8820,6722e" filled="false" stroked="true" strokeweight="1.143675pt" strokecolor="#ffd200">
              <v:path arrowok="t"/>
              <v:stroke dashstyle="solid"/>
            </v:shape>
            <v:rect style="position:absolute;left:3497;top:6160;width:5334;height:69" filled="true" fillcolor="#d9e6eb" stroked="false">
              <v:fill type="solid"/>
            </v:rect>
            <v:shape style="position:absolute;left:3508;top:7270;width:5311;height:401" coordorigin="3509,7271" coordsize="5311,401" path="m3509,7420l3646,7420,3783,7420,3915,7420,4052,7271,6641,7271,6773,7671,8682,7671,8820,7671e" filled="false" stroked="true" strokeweight="1.143675pt" strokecolor="#1a466e">
              <v:path arrowok="t"/>
              <v:stroke dashstyle="solid"/>
            </v:shape>
            <v:shape style="position:absolute;left:3508;top:6149;width:5311;height:69" coordorigin="3509,6150" coordsize="5311,69" path="m3509,6218l3509,6218,4595,6218,4732,6212,4869,6212,5006,6212,5144,6212,5280,6207,5412,6207,5549,6207,5686,6207,5823,6201,5961,6201,6093,6195,6230,6195,6367,6190,6504,6201,6641,6201,6773,6190,6910,6190,7047,6190,7184,6184,7321,6184,7459,6178,7590,6172,7727,6172,7864,6172,8002,6172,8139,6172,8270,6167,8408,6167,8545,6161,8682,6155,8820,6150e" filled="false" stroked="true" strokeweight="1.143678pt" strokecolor="#90353a">
              <v:path arrowok="t"/>
              <v:stroke dashstyle="solid"/>
            </v:shape>
            <v:shape style="position:absolute;left:3508;top:5857;width:5311;height:384" coordorigin="3509,5858" coordsize="5311,384" path="m3509,5858l3646,6081,3783,6069,3915,6064,4052,6241,4189,6207,4326,6155,4463,6144,4595,6127,4732,6104,4869,6104,5006,6098,5144,6081,5280,6069,5412,6064,5549,6064,5686,6058,5823,6047,5961,6069,6093,6058,6230,6047,6367,6041,6504,6024,6641,6018,6773,6018,6910,6012,7047,6007,7184,6041,7321,6069,7459,6064,7590,6058,7727,6052,7864,6052,8002,6047,8139,6035,8270,6047,8408,6052,8545,6058,8682,6064,8820,6064e" filled="false" stroked="true" strokeweight="1.143675pt" strokecolor="#54752e">
              <v:path arrowok="t"/>
              <v:stroke dashstyle="solid"/>
            </v:shape>
            <v:shape style="position:absolute;left:3508;top:6332;width:5311;height:109" coordorigin="3509,6333" coordsize="5311,109" path="m3509,6441l3509,6441,4732,6441,4869,6413,6367,6413,6504,6390,7321,6390,7459,6367,8270,6367,8408,6333,8545,6333,8682,6333,8820,6333e" filled="false" stroked="true" strokeweight="1.143678pt" strokecolor="#e27d00">
              <v:path arrowok="t"/>
              <v:stroke dashstyle="solid"/>
            </v:shape>
            <v:rect style="position:absolute;left:3497;top:5966;width:5334;height:46" filled="true" fillcolor="#6d8e84" stroked="false">
              <v:fill type="solid"/>
            </v:rect>
            <v:shape style="position:absolute;left:3508;top:6012;width:5311;height:52" coordorigin="3509,6012" coordsize="5311,52" path="m3509,6064l3509,6064,4595,6064,4732,6058,5686,6058,5823,6047,5961,6035,6093,6035,6230,6035,6367,6035,6504,6035,6641,6035,6773,6029,6910,6029,7047,6024,7184,6024,7321,6029,7459,6029,7590,6024,7727,6018,8408,6018,8545,6012,8682,6012,8820,6012e" filled="false" stroked="true" strokeweight="1.143678pt" strokecolor="#c10434">
              <v:path arrowok="t"/>
              <v:stroke dashstyle="solid"/>
            </v:shape>
            <v:shape style="position:absolute;left:3508;top:5857;width:5311;height:143" coordorigin="3509,5858" coordsize="5311,143" path="m3509,5858l3509,5858,7727,5858,7864,6001,8002,5995,8139,5995,8270,5989,8408,5978,8545,5978,8682,5978,8820,5978e" filled="false" stroked="true" strokeweight="1.143678pt" strokecolor="#928dd2">
              <v:path arrowok="t"/>
              <v:stroke dashstyle="solid"/>
            </v:shape>
            <v:shape style="position:absolute;left:3508;top:6069;width:5311;height:195" coordorigin="3509,6069" coordsize="5311,195" path="m3509,6138l3646,6127,3783,6109,3915,6127,4052,6115,4189,6109,4326,6104,4463,6104,4595,6104,4732,6092,4869,6087,5006,6081,5144,6081,5280,6075,5412,6069,5549,6069,5686,6109,5823,6264,5961,6247,6093,6258,6230,6241,6367,6235,6504,6218,6641,6224,6773,6218,6910,6224,7047,6195,7184,6190,7321,6224,7459,6230,7590,6230,7727,6230,7864,6235,8002,6235,8139,6230,8270,6230,8408,6224,8545,6235,8682,6218,8820,6218e" filled="false" stroked="true" strokeweight="1.143677pt" strokecolor="#c9c27d">
              <v:path arrowok="t"/>
              <v:stroke dashstyle="solid"/>
            </v:shape>
            <v:shape style="position:absolute;left:3508;top:5857;width:5311;height:115" coordorigin="3509,5858" coordsize="5311,115" path="m3509,5858l3509,5858,4595,5858,4732,5886,4869,5967,5006,5961,5144,5955,5280,5955,5412,5955,5549,5972,5686,5967,5823,5967,5961,5967,6093,5961,6230,5955,6367,5972,6504,5972,6641,5972,6773,5967,6910,5967,7047,5961,7184,5961,7321,5961,7459,5961,7590,5961,7727,5961,7864,5961,8002,5955,8139,5955,8270,5955,8408,5955,8545,5949,8682,5949,8820,5949e" filled="false" stroked="true" strokeweight="1.143678pt" strokecolor="#9f522c">
              <v:path arrowok="t"/>
              <v:stroke dashstyle="solid"/>
            </v:shape>
            <v:rect style="position:absolute;left:3497;top:6372;width:5334;height:86" filled="true" fillcolor="#7a92a8" stroked="false">
              <v:fill type="solid"/>
            </v:rect>
            <v:shape style="position:absolute;left:3508;top:6040;width:5311;height:63" coordorigin="3509,6041" coordsize="5311,63" path="m3509,6104l3646,6104,3783,6098,3915,6098,4052,6098,4189,6092,4326,6092,4463,6092,4595,6092,4732,6087,4869,6081,5006,6081,5144,6081,5280,6081,5412,6075,5549,6075,5686,6075,5823,6069,5961,6069,6093,6069,6230,6064,6367,6081,6504,6081,6641,6075,6773,6075,6910,6069,7047,6069,7184,6064,7321,6064,7459,6064,7590,6064,7727,6058,7864,6058,8002,6058,8139,6052,8270,6052,8408,6052,8545,6047,8682,6047,8820,6041e" filled="false" stroked="true" strokeweight="1.143678pt" strokecolor="#2c6c66">
              <v:path arrowok="t"/>
              <v:stroke dashstyle="solid"/>
            </v:shape>
            <v:shape style="position:absolute;left:3508;top:5857;width:5311;height:2" coordorigin="3509,5858" coordsize="5311,0" path="m3509,5858l3509,5858,8682,5858,8820,5858e" filled="false" stroked="true" strokeweight="1.143678pt" strokecolor="#9c8746">
              <v:path arrowok="t"/>
              <v:stroke dashstyle="solid"/>
            </v:shape>
            <v:shape style="position:absolute;left:3508;top:6229;width:5311;height:435" coordorigin="3509,6230" coordsize="5311,435" path="m3509,6235l3646,6230,3783,6230,3915,6355,4052,6350,4189,6395,4326,6390,4463,6390,4595,6384,4732,6384,4869,6384,5006,6373,5144,6367,5280,6361,5412,6361,5549,6355,5686,6355,5823,6344,5961,6338,6093,6333,6230,6430,6367,6516,6504,6504,6641,6504,6773,6498,6910,6493,7047,6607,7184,6590,7321,6596,7459,6584,7590,6573,7727,6567,7864,6544,8002,6573,8139,6664,8270,6658,8408,6653,8545,6653,8682,6653,8820,6653e" filled="false" stroked="true" strokeweight="1.143674pt" strokecolor="#bea09c">
              <v:path arrowok="t"/>
              <v:stroke dashstyle="solid"/>
            </v:shape>
            <v:shape style="position:absolute;left:4188;top:5857;width:4631;height:2" coordorigin="4189,5858" coordsize="4631,0" path="m4189,5858l4189,5858,8682,5858,8820,5858e" filled="false" stroked="true" strokeweight="1.143678pt" strokecolor="#ffd200">
              <v:path arrowok="t"/>
              <v:stroke dashstyle="solid"/>
            </v:shape>
            <v:shape style="position:absolute;left:3508;top:6298;width:5311;height:75" coordorigin="3509,6298" coordsize="5311,75" path="m3509,6315l3646,6298,3783,6333,3915,6327,4052,6333,4189,6321,4326,6338,4463,6333,4595,6327,4732,6333,4869,6338,5006,6333,5144,6333,5280,6327,5412,6333,5549,6338,5686,6333,5823,6344,5961,6333,6093,6373,6230,6367,6367,6367,6504,6361,6641,6361,6773,6355,6910,6344,7047,6361,7184,6367,7321,6367,7459,6361,7590,6355,7727,6350,7864,6350,8002,6350,8139,6350,8270,6344,8408,6344,8545,6344,8682,6344,8820,6338e" filled="false" stroked="true" strokeweight="1.143678pt" strokecolor="#d9e6eb">
              <v:path arrowok="t"/>
              <v:stroke dashstyle="solid"/>
            </v:shape>
            <v:shape style="position:absolute;left:3508;top:5966;width:5311;height:2" coordorigin="3509,5967" coordsize="5311,0" path="m3509,5967l3509,5967,8682,5967,8820,5967e" filled="false" stroked="true" strokeweight="1.143678pt" strokecolor="#1a466e">
              <v:path arrowok="t"/>
              <v:stroke dashstyle="solid"/>
            </v:shape>
            <v:shape style="position:absolute;left:3508;top:6429;width:5311;height:361" coordorigin="3509,6430" coordsize="5311,361" path="m3509,6624l3646,6733,3783,6791,3915,6791,4052,6681,4189,6653,4326,6624,4463,6624,4595,6596,4732,6596,4869,6596,5006,6573,5144,6573,5280,6527,5412,6527,5549,6527,5686,6527,5823,6527,5961,6527,6093,6510,6910,6510,7047,6487,7184,6470,7321,6435,7459,6533,7590,6516,7727,6516,7864,6516,8002,6516,8139,6498,8270,6498,8408,6487,8545,6458,8682,6447,8820,6430e" filled="false" stroked="true" strokeweight="1.143675pt" strokecolor="#90353a">
              <v:path arrowok="t"/>
              <v:stroke dashstyle="solid"/>
            </v:shape>
            <v:shape style="position:absolute;left:3508;top:6195;width:5311;height:103" coordorigin="3509,6195" coordsize="5311,103" path="m3509,6195l3646,6207,3783,6207,3915,6207,4052,6201,4189,6201,4326,6207,4463,6207,4595,6207,4732,6212,4869,6212,5549,6212,5686,6207,5823,6207,5961,6207,6093,6212,6230,6212,6367,6207,6504,6207,6641,6207,6773,6207,6910,6207,7047,6212,7184,6212,7321,6212,7459,6212,7590,6230,7727,6230,7864,6235,8002,6235,8139,6235,8270,6235,8408,6235,8545,6247,8682,6298,8820,6292e" filled="false" stroked="true" strokeweight="1.143678pt" strokecolor="#54752e">
              <v:path arrowok="t"/>
              <v:stroke dashstyle="solid"/>
            </v:shape>
            <v:shape style="position:absolute;left:3508;top:5857;width:5311;height:2" coordorigin="3509,5858" coordsize="5311,0" path="m3509,5858l3509,5858,8682,5858,8820,5858e" filled="false" stroked="true" strokeweight="1.143678pt" strokecolor="#e27d00">
              <v:path arrowok="t"/>
              <v:stroke dashstyle="solid"/>
            </v:shape>
            <v:shape style="position:absolute;left:4326;top:5857;width:4494;height:2" coordorigin="4326,5858" coordsize="4494,0" path="m4326,5858l4326,5858,8682,5858,8820,5858e" filled="false" stroked="true" strokeweight="1.143678pt" strokecolor="#6d8e84">
              <v:path arrowok="t"/>
              <v:stroke dashstyle="solid"/>
            </v:shape>
            <v:shape style="position:absolute;left:3508;top:5857;width:5311;height:235" coordorigin="3509,5858" coordsize="5311,235" path="m3509,5858l3509,5858,8139,5858,8270,5961,8408,5955,8545,5944,8682,5938,8820,6092e" filled="false" stroked="true" strokeweight="1.143677pt" strokecolor="#c10434">
              <v:path arrowok="t"/>
              <v:stroke dashstyle="solid"/>
            </v:shape>
            <v:shape style="position:absolute;left:3508;top:7722;width:5311;height:63" coordorigin="3509,7723" coordsize="5311,63" path="m3509,7786l3646,7780,3783,7768,3915,7768,4052,7768,4189,7768,4326,7768,4463,7768,4595,7757,4732,7757,4869,7757,5006,7757,5144,7757,5280,7780,5412,7768,5549,7763,5686,7751,5823,7751,5961,7740,6093,7740,7184,7740,7321,7728,7459,7728,7590,7723,7727,7774,7864,7774,8002,7774,8139,7763,8270,7763,8408,7757,8545,7746,8682,7746,8820,7746e" filled="false" stroked="true" strokeweight="1.143678pt" strokecolor="#928dd2">
              <v:path arrowok="t"/>
              <v:stroke dashstyle="solid"/>
            </v:shape>
            <v:shape style="position:absolute;left:3508;top:5857;width:5311;height:1019" coordorigin="3509,5858" coordsize="5311,1019" path="m3509,5858l3509,5858,6504,5858,6641,6876,6773,6876,6910,6876,7047,6624,7184,6367,7321,6367,7459,6367,8682,6367,8820,6367e" filled="false" stroked="true" strokeweight="1.143657pt" strokecolor="#c9c27d">
              <v:path arrowok="t"/>
              <v:stroke dashstyle="solid"/>
            </v:shape>
            <v:shape style="position:absolute;left:3508;top:6109;width:5311;height:81" coordorigin="3509,6109" coordsize="5311,81" path="m3509,6109l3646,6109,3783,6109,3915,6121,4052,6121,4189,6127,4326,6127,4463,6121,4595,6132,4732,6132,4869,6127,5006,6127,5144,6127,5280,6190,5412,6184,5549,6184,5686,6184,5823,6178,5961,6178,6093,6172,6230,6167,6367,6167,6504,6161,6641,6161,6773,6155,6910,6155,7047,6155,7184,6150,7321,6150,7459,6150,7590,6150,7727,6150,7864,6144,8002,6144,8139,6144,8270,6144,8408,6138,8545,6138,8682,6138,8820,6138e" filled="false" stroked="true" strokeweight="1.143678pt" strokecolor="#9f522c">
              <v:path arrowok="t"/>
              <v:stroke dashstyle="solid"/>
            </v:shape>
            <v:shape style="position:absolute;left:3508;top:6332;width:5311;height:201" coordorigin="3509,6333" coordsize="5311,201" path="m3509,6338l3646,6333,3783,6361,3915,6373,4052,6373,4189,6355,4326,6367,4463,6367,4595,6367,4732,6355,4869,6361,5006,6361,5144,6355,5280,6338,5412,6338,5549,6338,5686,6333,5823,6355,5961,6361,6093,6350,6230,6384,6367,6384,6504,6378,6641,6373,6773,6413,6910,6413,7047,6424,7184,6424,7321,6424,7459,6430,7590,6424,7727,6424,7864,6418,8002,6424,8139,6424,8270,6510,8408,6510,8545,6504,8682,6533,8820,6527e" filled="false" stroked="true" strokeweight="1.143677pt" strokecolor="#7a92a8">
              <v:path arrowok="t"/>
              <v:stroke dashstyle="solid"/>
            </v:shape>
            <v:rect style="position:absolute;left:3497;top:6063;width:5334;height:69" filled="true" fillcolor="#2c6c66" stroked="false">
              <v:fill type="solid"/>
            </v:rect>
            <v:shape style="position:absolute;left:3508;top:5892;width:5311;height:2" coordorigin="3509,5892" coordsize="5311,0" path="m3509,5892l3509,5892,8682,5892,8820,5892e" filled="false" stroked="true" strokeweight="1.143678pt" strokecolor="#9c8746">
              <v:path arrowok="t"/>
              <v:stroke dashstyle="solid"/>
            </v:shape>
            <v:shape style="position:absolute;left:3508;top:5960;width:5311;height:52" coordorigin="3509,5961" coordsize="5311,52" path="m3509,6012l3646,6007,3783,6007,3915,6007,4052,6007,4189,6001,4326,6001,4463,6001,4595,5995,4732,5995,4869,5995,5006,5989,5144,5989,5280,5989,5412,5989,5549,5989,5686,5984,6910,5984,7047,5978,7184,5978,7321,5978,7459,5978,7590,5978,7727,5972,7864,5972,8002,5972,8139,5972,8270,5972,8408,5967,8545,5967,8682,5967,8820,5961e" filled="false" stroked="true" strokeweight="1.143678pt" strokecolor="#bea09c">
              <v:path arrowok="t"/>
              <v:stroke dashstyle="solid"/>
            </v:shape>
            <v:rect style="position:absolute;left:3497;top:6303;width:5334;height:41" filled="true" fillcolor="#ffd200" stroked="false">
              <v:fill type="solid"/>
            </v:rect>
            <v:shape style="position:absolute;left:3508;top:5949;width:5311;height:69" coordorigin="3509,5949" coordsize="5311,69" path="m3509,5955l3646,5955,3783,5955,3915,5955,4052,5949,4189,5949,4326,5949,4463,5949,4595,5955,5280,5955,5412,5949,6367,5949,6504,5955,6641,5955,6773,5984,6910,5995,7047,5989,7184,5989,7321,6007,7459,6007,7590,6007,7727,6001,7864,6018,8002,6018,8139,6018,8270,6018,8408,6018,8545,6012,8682,6012,8820,6012e" filled="false" stroked="true" strokeweight="1.143678pt" strokecolor="#d9e6eb">
              <v:path arrowok="t"/>
              <v:stroke dashstyle="solid"/>
            </v:shape>
            <v:shape style="position:absolute;left:3508;top:6269;width:5311;height:92" coordorigin="3509,6270" coordsize="5311,92" path="m3509,6270l3646,6270,3783,6281,3915,6310,4052,6333,4189,6344,4326,6344,4463,6344,4595,6361,4732,6361,4869,6355,5006,6355,5144,6355,5280,6350,5412,6350,5549,6350,5686,6350,5823,6344,6504,6344,6641,6338,6773,6338,6910,6344,7047,6344,8545,6344,8682,6338,8820,6338e" filled="false" stroked="true" strokeweight="1.143678pt" strokecolor="#1a466e">
              <v:path arrowok="t"/>
              <v:stroke dashstyle="solid"/>
            </v:shape>
            <v:shape style="position:absolute;left:3508;top:5857;width:5311;height:2" coordorigin="3509,5858" coordsize="5311,0" path="m3509,5858l3509,5858,8682,5858,8820,5858e" filled="false" stroked="true" strokeweight="1.143678pt" strokecolor="#90353a">
              <v:path arrowok="t"/>
              <v:stroke dashstyle="solid"/>
            </v:shape>
            <v:rect style="position:absolute;left:3497;top:6023;width:5334;height:41" filled="true" fillcolor="#54752e" stroked="false">
              <v:fill type="solid"/>
            </v:rect>
            <v:rect style="position:absolute;left:3497;top:6103;width:5334;height:52" filled="true" fillcolor="#e27d00" stroked="false">
              <v:fill type="solid"/>
            </v:rect>
            <v:shape style="position:absolute;left:3508;top:5857;width:5311;height:2" coordorigin="3509,5858" coordsize="5311,0" path="m3509,5858l3509,5858,8682,5858,8820,5858e" filled="false" stroked="true" strokeweight="1.143678pt" strokecolor="#6d8e84">
              <v:path arrowok="t"/>
              <v:stroke dashstyle="solid"/>
            </v:shape>
            <v:shape style="position:absolute;left:3508;top:5857;width:5311;height:2" coordorigin="3509,5858" coordsize="5311,0" path="m3509,5858l3509,5858,8682,5858,8820,5858e" filled="false" stroked="true" strokeweight="1.143678pt" strokecolor="#c10434">
              <v:path arrowok="t"/>
              <v:stroke dashstyle="solid"/>
            </v:shape>
            <v:rect style="position:absolute;left:3497;top:6098;width:5334;height:29" filled="true" fillcolor="#928dd2" stroked="false">
              <v:fill type="solid"/>
            </v:rect>
            <v:shape style="position:absolute;left:3508;top:5857;width:5311;height:2" coordorigin="3509,5858" coordsize="5311,0" path="m3509,5858l3509,5858,8682,5858,8820,5858e" filled="false" stroked="true" strokeweight="1.143678pt" strokecolor="#c9c27d">
              <v:path arrowok="t"/>
              <v:stroke dashstyle="solid"/>
            </v:shape>
            <v:rect style="position:absolute;left:3497;top:6435;width:5334;height:69" filled="true" fillcolor="#9f522c" stroked="false">
              <v:fill type="solid"/>
            </v:rect>
            <v:shape style="position:absolute;left:3508;top:6103;width:5311;height:103" coordorigin="3509,6104" coordsize="5311,103" path="m3509,6207l3646,6207,3783,6207,3915,6207,4052,6190,4189,6190,4326,6190,4463,6184,4595,6184,4732,6184,4869,6178,5006,6178,5144,6167,5280,6190,5412,6172,5549,6172,5686,6172,6367,6172,6504,6150,6641,6150,6773,6150,6910,6150,7047,6144,7184,6127,7321,6109,7459,6109,8545,6109,8682,6104,8820,6104e" filled="false" stroked="true" strokeweight="1.143678pt" strokecolor="#7a92a8">
              <v:path arrowok="t"/>
              <v:stroke dashstyle="solid"/>
            </v:shape>
            <v:shape style="position:absolute;left:3508;top:5857;width:5311;height:2" coordorigin="3509,5858" coordsize="5311,0" path="m3509,5858l3509,5858,8682,5858,8820,5858e" filled="false" stroked="true" strokeweight="1.143678pt" strokecolor="#2c6c66">
              <v:path arrowok="t"/>
              <v:stroke dashstyle="solid"/>
            </v:shape>
            <v:shape style="position:absolute;left:3508;top:5857;width:5311;height:2" coordorigin="3509,5858" coordsize="5311,0" path="m3509,5858l3509,5858,8682,5858,8820,5858e" filled="false" stroked="true" strokeweight="1.143678pt" strokecolor="#9c8746">
              <v:path arrowok="t"/>
              <v:stroke dashstyle="solid"/>
            </v:shape>
            <v:rect style="position:absolute;left:3497;top:6281;width:5334;height:46" filled="true" fillcolor="#bea09c" stroked="false">
              <v:fill type="solid"/>
            </v:rect>
            <v:rect style="position:absolute;left:3497;top:5926;width:5334;height:35" filled="true" fillcolor="#ffd200" stroked="false">
              <v:fill type="solid"/>
            </v:rect>
            <v:shape style="position:absolute;left:3508;top:7013;width:5311;height:1030" coordorigin="3509,7014" coordsize="5311,1030" path="m3509,7082l3509,7082,4189,7082,4326,7048,5549,7048,5686,7014,6641,7014,6773,7305,6910,7305,7047,7305,7184,7305,7321,7797,7459,8043,7590,8043,7727,8043,8682,8043,8820,8043e" filled="false" stroked="true" strokeweight="1.143656pt" strokecolor="#d9e6eb">
              <v:path arrowok="t"/>
              <v:stroke dashstyle="solid"/>
            </v:shape>
            <v:rect style="position:absolute;left:3497;top:6235;width:5334;height:52" filled="true" fillcolor="#1a466e" stroked="false">
              <v:fill type="solid"/>
            </v:rect>
            <v:rect style="position:absolute;left:3497;top:6012;width:5334;height:35" filled="true" fillcolor="#90353a" stroked="false">
              <v:fill type="solid"/>
            </v:rect>
            <v:shape style="position:absolute;left:3508;top:6092;width:5311;height:201" coordorigin="3509,6092" coordsize="5311,201" path="m3509,6144l3646,6144,3783,6132,3915,6132,4052,6132,4189,6132,4326,6127,5686,6127,5823,6121,5961,6115,6093,6115,6230,6109,6367,6109,6504,6104,6641,6098,6773,6098,6910,6092,7047,6092,7184,6092,7321,6092,7459,6121,7590,6150,7727,6144,7864,6144,8002,6144,8139,6132,8270,6224,8408,6241,8545,6241,8682,6292,8820,6292e" filled="false" stroked="true" strokeweight="1.143677pt" strokecolor="#54752e">
              <v:path arrowok="t"/>
              <v:stroke dashstyle="solid"/>
            </v:shape>
            <v:rect style="position:absolute;left:3497;top:5949;width:5334;height:46" filled="true" fillcolor="#e27d00" stroked="false">
              <v:fill type="solid"/>
            </v:rect>
            <v:shape style="position:absolute;left:3508;top:6223;width:5311;height:607" coordorigin="3509,6224" coordsize="5311,607" path="m3509,6831l3646,6831,3783,6831,3915,6831,4052,6791,4189,6791,4326,6791,4463,6791,4595,6791,4732,6750,4869,6716,5006,6716,5144,6716,5280,6716,5412,6716,5549,6716,5686,6573,5823,6573,5961,6435,6093,6435,6230,6435,6367,6407,6504,6407,6641,6407,6773,6407,6910,6367,7047,6367,7184,6355,7321,6344,7459,6344,7590,6327,7727,6304,7864,6287,8002,6287,8139,6247,8270,6247,8408,6235,8545,6235,8682,6235,8820,6224e" filled="false" stroked="true" strokeweight="1.14367pt" strokecolor="#6d8e84">
              <v:path arrowok="t"/>
              <v:stroke dashstyle="solid"/>
            </v:shape>
            <v:line style="position:absolute" from="3497,6693" to="8831,6693" stroked="true" strokeweight="4.02691pt" strokecolor="#c10434">
              <v:stroke dashstyle="solid"/>
            </v:line>
            <v:shape style="position:absolute;left:3508;top:6155;width:5311;height:109" coordorigin="3509,6155" coordsize="5311,109" path="m3509,6252l3646,6235,3783,6235,3915,6235,4052,6235,4189,6235,4326,6235,4463,6235,4595,6218,4732,6218,4869,6264,5006,6258,5144,6258,5280,6241,5412,6235,5549,6235,5686,6235,5823,6230,5961,6207,6093,6207,6230,6195,6367,6190,6504,6184,6641,6178,6773,6172,6910,6172,7047,6161,7184,6161,7321,6195,7459,6190,7590,6184,7727,6172,7864,6172,8002,6172,8139,6172,8270,6167,8408,6161,8545,6155,8682,6155,8820,6155e" filled="false" stroked="true" strokeweight="1.143678pt" strokecolor="#928dd2">
              <v:path arrowok="t"/>
              <v:stroke dashstyle="solid"/>
            </v:shape>
            <v:shape style="position:absolute;left:3125;top:5709;width:5843;height:2844" coordorigin="3125,5709" coordsize="5843,2844" path="m3222,8455l3222,5709m3222,8307l3125,8307m3222,7694l3125,7694m3222,7082l3125,7082m3222,6470l3125,6470m3222,5858l3125,5858m3222,8455l8968,8455m3371,8455l3371,8552m4732,8455l4732,8552m6093,8455l6093,8552m7459,8455l7459,8552m8820,8455l8820,8552e" filled="false" stroked="true" strokeweight=".571683pt" strokecolor="#000000">
              <v:path arrowok="t"/>
              <v:stroke dashstyle="solid"/>
            </v:shape>
            <v:shape style="position:absolute;left:3308;top:8598;width:154;height:269" type="#_x0000_t202" filled="false" stroked="false">
              <v:textbox inset="0,0,0,0">
                <w:txbxContent>
                  <w:p>
                    <w:pPr>
                      <w:spacing w:line="268" w:lineRule="exact" w:before="0"/>
                      <w:ind w:left="0" w:right="0" w:firstLine="0"/>
                      <w:jc w:val="left"/>
                      <w:rPr>
                        <w:rFonts w:ascii="Arial"/>
                        <w:sz w:val="24"/>
                      </w:rPr>
                    </w:pPr>
                    <w:r>
                      <w:rPr>
                        <w:rFonts w:ascii="Arial"/>
                        <w:w w:val="99"/>
                        <w:sz w:val="24"/>
                      </w:rPr>
                      <w:t>0</w:t>
                    </w:r>
                  </w:p>
                </w:txbxContent>
              </v:textbox>
              <w10:wrap type="none"/>
            </v:shape>
            <v:shape style="position:absolute;left:4600;top:8598;width:295;height:269" type="#_x0000_t202" filled="false" stroked="false">
              <v:textbox inset="0,0,0,0">
                <w:txbxContent>
                  <w:p>
                    <w:pPr>
                      <w:spacing w:line="268" w:lineRule="exact" w:before="0"/>
                      <w:ind w:left="0" w:right="0" w:firstLine="0"/>
                      <w:jc w:val="left"/>
                      <w:rPr>
                        <w:rFonts w:ascii="Arial"/>
                        <w:sz w:val="24"/>
                      </w:rPr>
                    </w:pPr>
                    <w:r>
                      <w:rPr>
                        <w:rFonts w:ascii="Arial"/>
                        <w:sz w:val="24"/>
                      </w:rPr>
                      <w:t>10</w:t>
                    </w:r>
                  </w:p>
                </w:txbxContent>
              </v:textbox>
              <w10:wrap type="none"/>
            </v:shape>
            <v:shape style="position:absolute;left:5806;top:8598;width:599;height:498" type="#_x0000_t202" filled="false" stroked="false">
              <v:textbox inset="0,0,0,0">
                <w:txbxContent>
                  <w:p>
                    <w:pPr>
                      <w:spacing w:line="245" w:lineRule="exact" w:before="0"/>
                      <w:ind w:left="0" w:right="12" w:firstLine="0"/>
                      <w:jc w:val="center"/>
                      <w:rPr>
                        <w:rFonts w:ascii="Arial"/>
                        <w:sz w:val="24"/>
                      </w:rPr>
                    </w:pPr>
                    <w:r>
                      <w:rPr>
                        <w:rFonts w:ascii="Arial"/>
                        <w:sz w:val="24"/>
                      </w:rPr>
                      <w:t>20</w:t>
                    </w:r>
                  </w:p>
                  <w:p>
                    <w:pPr>
                      <w:spacing w:line="252" w:lineRule="exact" w:before="0"/>
                      <w:ind w:left="0" w:right="18" w:firstLine="0"/>
                      <w:jc w:val="center"/>
                      <w:rPr>
                        <w:rFonts w:ascii="Arial"/>
                        <w:sz w:val="24"/>
                      </w:rPr>
                    </w:pPr>
                    <w:r>
                      <w:rPr>
                        <w:rFonts w:ascii="Arial"/>
                        <w:sz w:val="24"/>
                      </w:rPr>
                      <w:t>Hafta</w:t>
                    </w:r>
                  </w:p>
                </w:txbxContent>
              </v:textbox>
              <w10:wrap type="none"/>
            </v:shape>
            <v:shape style="position:absolute;left:7327;top:8598;width:295;height:269" type="#_x0000_t202" filled="false" stroked="false">
              <v:textbox inset="0,0,0,0">
                <w:txbxContent>
                  <w:p>
                    <w:pPr>
                      <w:spacing w:line="268" w:lineRule="exact" w:before="0"/>
                      <w:ind w:left="0" w:right="0" w:firstLine="0"/>
                      <w:jc w:val="left"/>
                      <w:rPr>
                        <w:rFonts w:ascii="Arial"/>
                        <w:sz w:val="24"/>
                      </w:rPr>
                    </w:pPr>
                    <w:r>
                      <w:rPr>
                        <w:rFonts w:ascii="Arial"/>
                        <w:sz w:val="24"/>
                      </w:rPr>
                      <w:t>30</w:t>
                    </w:r>
                  </w:p>
                </w:txbxContent>
              </v:textbox>
              <w10:wrap type="none"/>
            </v:shape>
            <v:shape style="position:absolute;left:8688;top:8598;width:295;height:269" type="#_x0000_t202" filled="false" stroked="false">
              <v:textbox inset="0,0,0,0">
                <w:txbxContent>
                  <w:p>
                    <w:pPr>
                      <w:spacing w:line="268" w:lineRule="exact" w:before="0"/>
                      <w:ind w:left="0" w:right="0" w:firstLine="0"/>
                      <w:jc w:val="left"/>
                      <w:rPr>
                        <w:rFonts w:ascii="Arial"/>
                        <w:sz w:val="24"/>
                      </w:rPr>
                    </w:pPr>
                    <w:r>
                      <w:rPr>
                        <w:rFonts w:ascii="Arial"/>
                        <w:sz w:val="24"/>
                      </w:rPr>
                      <w:t>40</w:t>
                    </w:r>
                  </w:p>
                </w:txbxContent>
              </v:textbox>
              <w10:wrap type="none"/>
            </v:shape>
            <w10:wrap type="none"/>
          </v:group>
        </w:pict>
      </w:r>
      <w:r>
        <w:rPr/>
        <w:pict>
          <v:shape style="position:absolute;margin-left:126.967865pt;margin-top:344.732574pt;width:15.45pt;height:18.7pt;mso-position-horizontal-relative:page;mso-position-vertical-relative:paragraph;z-index:15756288" type="#_x0000_t202" filled="false" stroked="false">
            <v:textbox inset="0,0,0,0" style="layout-flow:vertical;mso-layout-flow-alt:bottom-to-top">
              <w:txbxContent>
                <w:p>
                  <w:pPr>
                    <w:pStyle w:val="BodyText"/>
                    <w:spacing w:before="12"/>
                    <w:ind w:left="20"/>
                    <w:jc w:val="left"/>
                    <w:rPr>
                      <w:rFonts w:ascii="Arial"/>
                    </w:rPr>
                  </w:pPr>
                  <w:r>
                    <w:rPr>
                      <w:rFonts w:ascii="Arial"/>
                    </w:rPr>
                    <w:t>4.6</w:t>
                  </w:r>
                </w:p>
              </w:txbxContent>
            </v:textbox>
            <w10:wrap type="none"/>
          </v:shape>
        </w:pict>
      </w:r>
      <w:r>
        <w:rPr/>
        <w:pict>
          <v:shape style="position:absolute;margin-left:126.967865pt;margin-top:314.113129pt;width:15.45pt;height:18.7pt;mso-position-horizontal-relative:page;mso-position-vertical-relative:paragraph;z-index:15756800" type="#_x0000_t202" filled="false" stroked="false">
            <v:textbox inset="0,0,0,0" style="layout-flow:vertical;mso-layout-flow-alt:bottom-to-top">
              <w:txbxContent>
                <w:p>
                  <w:pPr>
                    <w:pStyle w:val="BodyText"/>
                    <w:spacing w:before="12"/>
                    <w:ind w:left="20"/>
                    <w:jc w:val="left"/>
                    <w:rPr>
                      <w:rFonts w:ascii="Arial"/>
                    </w:rPr>
                  </w:pPr>
                  <w:r>
                    <w:rPr>
                      <w:rFonts w:ascii="Arial"/>
                    </w:rPr>
                    <w:t>4.8</w:t>
                  </w:r>
                </w:p>
              </w:txbxContent>
            </v:textbox>
            <w10:wrap type="none"/>
          </v:shape>
        </w:pict>
      </w:r>
      <w:r>
        <w:rPr/>
        <w:pict>
          <v:shape style="position:absolute;margin-left:139.542633pt;margin-top:288.361511pt;width:15.45pt;height:8.7pt;mso-position-horizontal-relative:page;mso-position-vertical-relative:paragraph;z-index:15757312" type="#_x0000_t202" filled="false" stroked="false">
            <v:textbox inset="0,0,0,0" style="layout-flow:vertical;mso-layout-flow-alt:bottom-to-top">
              <w:txbxContent>
                <w:p>
                  <w:pPr>
                    <w:pStyle w:val="BodyText"/>
                    <w:spacing w:before="12"/>
                    <w:ind w:left="20"/>
                    <w:jc w:val="left"/>
                    <w:rPr>
                      <w:rFonts w:ascii="Arial"/>
                    </w:rPr>
                  </w:pPr>
                  <w:r>
                    <w:rPr>
                      <w:rFonts w:ascii="Arial"/>
                      <w:w w:val="100"/>
                    </w:rPr>
                    <w:t>5</w:t>
                  </w:r>
                </w:p>
              </w:txbxContent>
            </v:textbox>
            <w10:wrap type="none"/>
          </v:shape>
        </w:pict>
      </w:r>
      <w:r>
        <w:rPr/>
        <w:t>Değerlik değişkeni olan ortalama yorum puanının katsayısı negatif ve istatistiksel olarak anlamlıdır. Bu sonuç, ortalama yorum puanındaki artışın satışları artırdığı </w:t>
      </w:r>
      <w:r>
        <w:rPr>
          <w:position w:val="2"/>
        </w:rPr>
        <w:t>varsayımının tam aksini göstermekte ve H</w:t>
      </w:r>
      <w:r>
        <w:rPr>
          <w:sz w:val="16"/>
        </w:rPr>
        <w:t>2 </w:t>
      </w:r>
      <w:r>
        <w:rPr>
          <w:position w:val="2"/>
        </w:rPr>
        <w:t>hipotezini desteklememektedir. Şekil 15’te </w:t>
      </w:r>
      <w:r>
        <w:rPr/>
        <w:t>görüldüğü gibi, veri toplama süreci başlangıcında, hali hazırda en az bir tane yorum almış olan satıcıların büyük bir çoğunluğunun ortalama yorum puanı 4,8 ile 5 arasındadır. Bu durumun</w:t>
      </w:r>
      <w:r>
        <w:rPr>
          <w:spacing w:val="-17"/>
        </w:rPr>
        <w:t> </w:t>
      </w:r>
      <w:r>
        <w:rPr/>
        <w:t>doğal</w:t>
      </w:r>
      <w:r>
        <w:rPr>
          <w:spacing w:val="-15"/>
        </w:rPr>
        <w:t> </w:t>
      </w:r>
      <w:r>
        <w:rPr/>
        <w:t>sonucu</w:t>
      </w:r>
      <w:r>
        <w:rPr>
          <w:spacing w:val="-16"/>
        </w:rPr>
        <w:t> </w:t>
      </w:r>
      <w:r>
        <w:rPr/>
        <w:t>olarak</w:t>
      </w:r>
      <w:r>
        <w:rPr>
          <w:spacing w:val="-16"/>
        </w:rPr>
        <w:t> </w:t>
      </w:r>
      <w:r>
        <w:rPr/>
        <w:t>ortalama</w:t>
      </w:r>
      <w:r>
        <w:rPr>
          <w:spacing w:val="-17"/>
        </w:rPr>
        <w:t> </w:t>
      </w:r>
      <w:r>
        <w:rPr/>
        <w:t>puan</w:t>
      </w:r>
      <w:r>
        <w:rPr>
          <w:spacing w:val="-13"/>
        </w:rPr>
        <w:t> </w:t>
      </w:r>
      <w:r>
        <w:rPr/>
        <w:t>artışı</w:t>
      </w:r>
      <w:r>
        <w:rPr>
          <w:spacing w:val="-15"/>
        </w:rPr>
        <w:t> </w:t>
      </w:r>
      <w:r>
        <w:rPr/>
        <w:t>bağlamında</w:t>
      </w:r>
      <w:r>
        <w:rPr>
          <w:spacing w:val="-16"/>
        </w:rPr>
        <w:t> </w:t>
      </w:r>
      <w:r>
        <w:rPr/>
        <w:t>çoğu</w:t>
      </w:r>
      <w:r>
        <w:rPr>
          <w:spacing w:val="-16"/>
        </w:rPr>
        <w:t> </w:t>
      </w:r>
      <w:r>
        <w:rPr/>
        <w:t>satıcı</w:t>
      </w:r>
      <w:r>
        <w:rPr>
          <w:spacing w:val="-16"/>
        </w:rPr>
        <w:t> </w:t>
      </w:r>
      <w:r>
        <w:rPr/>
        <w:t>için</w:t>
      </w:r>
      <w:r>
        <w:rPr>
          <w:spacing w:val="-12"/>
        </w:rPr>
        <w:t> </w:t>
      </w:r>
      <w:r>
        <w:rPr/>
        <w:t>en</w:t>
      </w:r>
      <w:r>
        <w:rPr>
          <w:spacing w:val="-16"/>
        </w:rPr>
        <w:t> </w:t>
      </w:r>
      <w:r>
        <w:rPr/>
        <w:t>fazla</w:t>
      </w:r>
      <w:r>
        <w:rPr>
          <w:spacing w:val="-17"/>
        </w:rPr>
        <w:t> </w:t>
      </w:r>
      <w:r>
        <w:rPr/>
        <w:t>0,2’lik bir marj bulunmaktadır. Aynı zamanda, ortalama puanların çoğunluğu zaman içerisinde çok değişmemekte ve doğrusal ilerlemektedir (bk. Şekil 15). İncelenen dönem boyunca sadece birkaç satıcının ortalama yorum puanında nispeten büyük oranda düşüşler meydana gelmiştir. Kısaca, Şekil 15’te de görüldüğü üzere, başlangıçta 4,8-5 arasında yoğunlaşan ortalama puanların çoğunluğunun süreçte çok fazla değişmemesine ve birkaç satıcının ortalama puanının nispeten büyük oranda düşmesine bağlı olarak satış miktarı ve ortalama yorum puanı arasında negatif bir ilişki ortaya çıktığı</w:t>
      </w:r>
      <w:r>
        <w:rPr>
          <w:spacing w:val="-5"/>
        </w:rPr>
        <w:t> </w:t>
      </w:r>
      <w:r>
        <w:rPr/>
        <w:t>düşünülmektedir.</w:t>
      </w: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spacing w:before="191"/>
        <w:jc w:val="left"/>
      </w:pPr>
      <w:r>
        <w:rPr/>
        <w:pict>
          <v:shape style="position:absolute;margin-left:126.967865pt;margin-top:-42.828758pt;width:15.45pt;height:18.7pt;mso-position-horizontal-relative:page;mso-position-vertical-relative:paragraph;z-index:15755264" type="#_x0000_t202" filled="false" stroked="false">
            <v:textbox inset="0,0,0,0" style="layout-flow:vertical;mso-layout-flow-alt:bottom-to-top">
              <w:txbxContent>
                <w:p>
                  <w:pPr>
                    <w:pStyle w:val="BodyText"/>
                    <w:spacing w:before="12"/>
                    <w:ind w:left="20"/>
                    <w:jc w:val="left"/>
                    <w:rPr>
                      <w:rFonts w:ascii="Arial"/>
                    </w:rPr>
                  </w:pPr>
                  <w:r>
                    <w:rPr>
                      <w:rFonts w:ascii="Arial"/>
                    </w:rPr>
                    <w:t>4.2</w:t>
                  </w:r>
                </w:p>
              </w:txbxContent>
            </v:textbox>
            <w10:wrap type="none"/>
          </v:shape>
        </w:pict>
      </w:r>
      <w:r>
        <w:rPr/>
        <w:pict>
          <v:shape style="position:absolute;margin-left:126.967865pt;margin-top:-73.452972pt;width:15.45pt;height:18.7pt;mso-position-horizontal-relative:page;mso-position-vertical-relative:paragraph;z-index:15755776" type="#_x0000_t202" filled="false" stroked="false">
            <v:textbox inset="0,0,0,0" style="layout-flow:vertical;mso-layout-flow-alt:bottom-to-top">
              <w:txbxContent>
                <w:p>
                  <w:pPr>
                    <w:pStyle w:val="BodyText"/>
                    <w:spacing w:before="12"/>
                    <w:ind w:left="20"/>
                    <w:jc w:val="left"/>
                    <w:rPr>
                      <w:rFonts w:ascii="Arial"/>
                    </w:rPr>
                  </w:pPr>
                  <w:r>
                    <w:rPr>
                      <w:rFonts w:ascii="Arial"/>
                    </w:rPr>
                    <w:t>4.4</w:t>
                  </w:r>
                </w:p>
              </w:txbxContent>
            </v:textbox>
            <w10:wrap type="none"/>
          </v:shape>
        </w:pict>
      </w:r>
      <w:r>
        <w:rPr>
          <w:b/>
        </w:rPr>
        <w:t>Şekil 15: </w:t>
      </w:r>
      <w:r>
        <w:rPr/>
        <w:t>Etsy.com ortalama yorum puanlarının veri toplama sürecindeki değişimi</w:t>
      </w:r>
      <w:r>
        <w:rPr>
          <w:vertAlign w:val="superscript"/>
        </w:rPr>
        <w:t>6</w:t>
      </w:r>
    </w:p>
    <w:p>
      <w:pPr>
        <w:pStyle w:val="BodyText"/>
        <w:spacing w:before="11"/>
        <w:ind w:left="0"/>
        <w:jc w:val="left"/>
        <w:rPr>
          <w:sz w:val="25"/>
        </w:rPr>
      </w:pPr>
    </w:p>
    <w:p>
      <w:pPr>
        <w:pStyle w:val="BodyText"/>
        <w:spacing w:line="360" w:lineRule="auto"/>
        <w:ind w:right="312" w:firstLine="708"/>
      </w:pPr>
      <w:r>
        <w:rPr/>
        <w:t>Olumlu, nötr ve olumsuz yorum değişkenlerinin katsayılarına bakıldığında, üçünün de pozitif ve istatistiksel olarak anlamlı olduğu görülmektedir (bk. Tablo 17). Bu sonuçlar, </w:t>
      </w:r>
      <w:r>
        <w:rPr>
          <w:position w:val="2"/>
        </w:rPr>
        <w:t>H</w:t>
      </w:r>
      <w:r>
        <w:rPr>
          <w:sz w:val="16"/>
        </w:rPr>
        <w:t>3 </w:t>
      </w:r>
      <w:r>
        <w:rPr>
          <w:position w:val="2"/>
        </w:rPr>
        <w:t>ve H</w:t>
      </w:r>
      <w:r>
        <w:rPr>
          <w:sz w:val="16"/>
        </w:rPr>
        <w:t>5 </w:t>
      </w:r>
      <w:r>
        <w:rPr>
          <w:position w:val="2"/>
        </w:rPr>
        <w:t>hipotezlerini desteklerken, olumsuz yorumlar ve satışlar arasında negatif ilişki</w:t>
      </w:r>
    </w:p>
    <w:p>
      <w:pPr>
        <w:pStyle w:val="BodyText"/>
        <w:ind w:left="0"/>
        <w:jc w:val="left"/>
        <w:rPr>
          <w:sz w:val="20"/>
        </w:rPr>
      </w:pPr>
    </w:p>
    <w:p>
      <w:pPr>
        <w:pStyle w:val="BodyText"/>
        <w:spacing w:before="4"/>
        <w:ind w:left="0"/>
        <w:jc w:val="left"/>
        <w:rPr>
          <w:sz w:val="14"/>
        </w:rPr>
      </w:pPr>
      <w:r>
        <w:rPr/>
        <w:pict>
          <v:rect style="position:absolute;margin-left:113.419998pt;margin-top:10.213226pt;width:144.020pt;height:.72003pt;mso-position-horizontal-relative:page;mso-position-vertical-relative:paragraph;z-index:-15705600;mso-wrap-distance-left:0;mso-wrap-distance-right:0" filled="true" fillcolor="#000000" stroked="false">
            <v:fill type="solid"/>
            <w10:wrap type="topAndBottom"/>
          </v:rect>
        </w:pict>
      </w:r>
    </w:p>
    <w:p>
      <w:pPr>
        <w:spacing w:before="72"/>
        <w:ind w:left="548" w:right="0" w:firstLine="0"/>
        <w:jc w:val="left"/>
        <w:rPr>
          <w:sz w:val="20"/>
        </w:rPr>
      </w:pPr>
      <w:r>
        <w:rPr>
          <w:sz w:val="20"/>
          <w:vertAlign w:val="superscript"/>
        </w:rPr>
        <w:t>6</w:t>
      </w:r>
      <w:r>
        <w:rPr>
          <w:sz w:val="20"/>
          <w:vertAlign w:val="baseline"/>
        </w:rPr>
        <w:t> Veri toplama süreci başlangıcında hiç yorumu olmayan dört satıcı şekilde yer almamaktadır.</w:t>
      </w:r>
    </w:p>
    <w:p>
      <w:pPr>
        <w:spacing w:after="0"/>
        <w:jc w:val="left"/>
        <w:rPr>
          <w:sz w:val="20"/>
        </w:rPr>
        <w:sectPr>
          <w:pgSz w:w="12240" w:h="15840"/>
          <w:pgMar w:header="718" w:footer="0" w:top="1300" w:bottom="280" w:left="1720" w:right="820"/>
        </w:sectPr>
      </w:pPr>
    </w:p>
    <w:p>
      <w:pPr>
        <w:pStyle w:val="BodyText"/>
        <w:spacing w:line="360" w:lineRule="auto" w:before="99"/>
        <w:ind w:right="311"/>
      </w:pPr>
      <w:r>
        <w:rPr>
          <w:position w:val="2"/>
        </w:rPr>
        <w:t>olduğunu varsayan H</w:t>
      </w:r>
      <w:r>
        <w:rPr>
          <w:sz w:val="16"/>
        </w:rPr>
        <w:t>4 </w:t>
      </w:r>
      <w:r>
        <w:rPr>
          <w:position w:val="2"/>
        </w:rPr>
        <w:t>hipotezini desteklememektedir. Satıcılara genellikle olumlu yorum </w:t>
      </w:r>
      <w:r>
        <w:rPr/>
        <w:t>yapılmakta ve ara sıra yapılan olumsuz yorumlar olumlu yorumlar arasında dikkatlerden kaçabilmektedir.</w:t>
      </w:r>
      <w:r>
        <w:rPr>
          <w:spacing w:val="-13"/>
        </w:rPr>
        <w:t> </w:t>
      </w:r>
      <w:r>
        <w:rPr/>
        <w:t>Aynı</w:t>
      </w:r>
      <w:r>
        <w:rPr>
          <w:spacing w:val="-14"/>
        </w:rPr>
        <w:t> </w:t>
      </w:r>
      <w:r>
        <w:rPr/>
        <w:t>zamanda,</w:t>
      </w:r>
      <w:r>
        <w:rPr>
          <w:spacing w:val="-13"/>
        </w:rPr>
        <w:t> </w:t>
      </w:r>
      <w:r>
        <w:rPr/>
        <w:t>Etsy,</w:t>
      </w:r>
      <w:r>
        <w:rPr>
          <w:spacing w:val="-13"/>
        </w:rPr>
        <w:t> </w:t>
      </w:r>
      <w:r>
        <w:rPr/>
        <w:t>yorumların</w:t>
      </w:r>
      <w:r>
        <w:rPr>
          <w:spacing w:val="-11"/>
        </w:rPr>
        <w:t> </w:t>
      </w:r>
      <w:r>
        <w:rPr/>
        <w:t>ortalamasına</w:t>
      </w:r>
      <w:r>
        <w:rPr>
          <w:spacing w:val="-14"/>
        </w:rPr>
        <w:t> </w:t>
      </w:r>
      <w:r>
        <w:rPr/>
        <w:t>ve</w:t>
      </w:r>
      <w:r>
        <w:rPr>
          <w:spacing w:val="-15"/>
        </w:rPr>
        <w:t> </w:t>
      </w:r>
      <w:r>
        <w:rPr/>
        <w:t>yıldız</w:t>
      </w:r>
      <w:r>
        <w:rPr>
          <w:spacing w:val="-14"/>
        </w:rPr>
        <w:t> </w:t>
      </w:r>
      <w:r>
        <w:rPr/>
        <w:t>dağılımına</w:t>
      </w:r>
      <w:r>
        <w:rPr>
          <w:spacing w:val="-14"/>
        </w:rPr>
        <w:t> </w:t>
      </w:r>
      <w:r>
        <w:rPr/>
        <w:t>dair</w:t>
      </w:r>
      <w:r>
        <w:rPr>
          <w:spacing w:val="-14"/>
        </w:rPr>
        <w:t> </w:t>
      </w:r>
      <w:r>
        <w:rPr/>
        <w:t>özet bilgiler sunmamaktadır. Bu nedenle olumsuz yorumları ayrıştırmak zor olmaktadır. Dolayısıyla, yorumları detaylıca incelemeyen alıcılar için olumsuz yorumların, olumlu yorumlar</w:t>
      </w:r>
      <w:r>
        <w:rPr>
          <w:spacing w:val="-5"/>
        </w:rPr>
        <w:t> </w:t>
      </w:r>
      <w:r>
        <w:rPr/>
        <w:t>gibi,</w:t>
      </w:r>
      <w:r>
        <w:rPr>
          <w:spacing w:val="-4"/>
        </w:rPr>
        <w:t> </w:t>
      </w:r>
      <w:r>
        <w:rPr/>
        <w:t>sadece</w:t>
      </w:r>
      <w:r>
        <w:rPr>
          <w:spacing w:val="-5"/>
        </w:rPr>
        <w:t> </w:t>
      </w:r>
      <w:r>
        <w:rPr/>
        <w:t>toplam</w:t>
      </w:r>
      <w:r>
        <w:rPr>
          <w:spacing w:val="-4"/>
        </w:rPr>
        <w:t> </w:t>
      </w:r>
      <w:r>
        <w:rPr/>
        <w:t>yorum</w:t>
      </w:r>
      <w:r>
        <w:rPr>
          <w:spacing w:val="-4"/>
        </w:rPr>
        <w:t> </w:t>
      </w:r>
      <w:r>
        <w:rPr/>
        <w:t>sayısını</w:t>
      </w:r>
      <w:r>
        <w:rPr>
          <w:spacing w:val="-2"/>
        </w:rPr>
        <w:t> </w:t>
      </w:r>
      <w:r>
        <w:rPr/>
        <w:t>artırıcı</w:t>
      </w:r>
      <w:r>
        <w:rPr>
          <w:spacing w:val="-3"/>
        </w:rPr>
        <w:t> </w:t>
      </w:r>
      <w:r>
        <w:rPr/>
        <w:t>bir</w:t>
      </w:r>
      <w:r>
        <w:rPr>
          <w:spacing w:val="-4"/>
        </w:rPr>
        <w:t> </w:t>
      </w:r>
      <w:r>
        <w:rPr/>
        <w:t>unsurdan</w:t>
      </w:r>
      <w:r>
        <w:rPr>
          <w:spacing w:val="-4"/>
        </w:rPr>
        <w:t> </w:t>
      </w:r>
      <w:r>
        <w:rPr/>
        <w:t>öteye</w:t>
      </w:r>
      <w:r>
        <w:rPr>
          <w:spacing w:val="-5"/>
        </w:rPr>
        <w:t> </w:t>
      </w:r>
      <w:r>
        <w:rPr/>
        <w:t>gitmediği</w:t>
      </w:r>
      <w:r>
        <w:rPr>
          <w:spacing w:val="-2"/>
        </w:rPr>
        <w:t> </w:t>
      </w:r>
      <w:r>
        <w:rPr/>
        <w:t>ve</w:t>
      </w:r>
      <w:r>
        <w:rPr>
          <w:spacing w:val="-5"/>
        </w:rPr>
        <w:t> </w:t>
      </w:r>
      <w:r>
        <w:rPr/>
        <w:t>alıcının satın alma kararında negatif bir etki oluşturmadığı</w:t>
      </w:r>
      <w:r>
        <w:rPr>
          <w:spacing w:val="-3"/>
        </w:rPr>
        <w:t> </w:t>
      </w:r>
      <w:r>
        <w:rPr/>
        <w:t>düşünülmektedir.</w:t>
      </w:r>
    </w:p>
    <w:p>
      <w:pPr>
        <w:pStyle w:val="BodyText"/>
        <w:spacing w:line="360" w:lineRule="auto"/>
        <w:ind w:right="310" w:firstLine="708"/>
      </w:pPr>
      <w:r>
        <w:rPr/>
        <w:t>Kontrol değişkenleri olan favoriye eklenme sayısının ve satıştaki ürün sayısının katsayıları pozitif ve istatistiksel olarak anlamlı bulunmuştur. Bu sonuç, favoriye eklenme sayısı ve satıştaki ürün sayısı ile satış miktarı arasında pozitif yönlü ilişki olduğunu göstermektedir.</w:t>
      </w:r>
    </w:p>
    <w:p>
      <w:pPr>
        <w:pStyle w:val="BodyText"/>
        <w:spacing w:line="360" w:lineRule="auto"/>
        <w:ind w:right="310" w:firstLine="708"/>
      </w:pPr>
      <w:r>
        <w:rPr/>
        <w:t>Etsy.com uygulaması için geliştirilen tüm hipotezlerin sonuçları Tablo 18’de sunulmuştur.</w:t>
      </w:r>
    </w:p>
    <w:p>
      <w:pPr>
        <w:spacing w:before="159"/>
        <w:ind w:left="548" w:right="0" w:firstLine="0"/>
        <w:jc w:val="both"/>
        <w:rPr>
          <w:sz w:val="24"/>
        </w:rPr>
      </w:pPr>
      <w:r>
        <w:rPr>
          <w:b/>
          <w:sz w:val="24"/>
        </w:rPr>
        <w:t>Tablo 18</w:t>
      </w:r>
      <w:r>
        <w:rPr>
          <w:sz w:val="24"/>
        </w:rPr>
        <w:t>: Hipotez testleri sonuçları</w:t>
      </w:r>
    </w:p>
    <w:tbl>
      <w:tblPr>
        <w:tblW w:w="0" w:type="auto"/>
        <w:jc w:val="left"/>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54"/>
        <w:gridCol w:w="1093"/>
      </w:tblGrid>
      <w:tr>
        <w:trPr>
          <w:trHeight w:val="275" w:hRule="atLeast"/>
        </w:trPr>
        <w:tc>
          <w:tcPr>
            <w:tcW w:w="7854" w:type="dxa"/>
            <w:tcBorders>
              <w:top w:val="single" w:sz="8" w:space="0" w:color="000000"/>
              <w:bottom w:val="single" w:sz="4" w:space="0" w:color="000000"/>
            </w:tcBorders>
          </w:tcPr>
          <w:p>
            <w:pPr>
              <w:pStyle w:val="TableParagraph"/>
              <w:spacing w:line="255" w:lineRule="exact"/>
              <w:ind w:left="122"/>
              <w:rPr>
                <w:b/>
                <w:sz w:val="24"/>
              </w:rPr>
            </w:pPr>
            <w:r>
              <w:rPr>
                <w:b/>
                <w:sz w:val="24"/>
              </w:rPr>
              <w:t>Hipotez</w:t>
            </w:r>
          </w:p>
        </w:tc>
        <w:tc>
          <w:tcPr>
            <w:tcW w:w="1093" w:type="dxa"/>
            <w:tcBorders>
              <w:top w:val="single" w:sz="8" w:space="0" w:color="000000"/>
              <w:bottom w:val="single" w:sz="4" w:space="0" w:color="000000"/>
            </w:tcBorders>
          </w:tcPr>
          <w:p>
            <w:pPr>
              <w:pStyle w:val="TableParagraph"/>
              <w:spacing w:line="255" w:lineRule="exact"/>
              <w:ind w:left="133" w:right="172"/>
              <w:jc w:val="center"/>
              <w:rPr>
                <w:b/>
                <w:sz w:val="24"/>
              </w:rPr>
            </w:pPr>
            <w:r>
              <w:rPr>
                <w:b/>
                <w:sz w:val="24"/>
              </w:rPr>
              <w:t>Sonuç*</w:t>
            </w:r>
          </w:p>
        </w:tc>
      </w:tr>
      <w:tr>
        <w:trPr>
          <w:trHeight w:val="551" w:hRule="atLeast"/>
        </w:trPr>
        <w:tc>
          <w:tcPr>
            <w:tcW w:w="7854" w:type="dxa"/>
            <w:tcBorders>
              <w:top w:val="single" w:sz="4" w:space="0" w:color="000000"/>
              <w:bottom w:val="single" w:sz="4" w:space="0" w:color="000000"/>
            </w:tcBorders>
          </w:tcPr>
          <w:p>
            <w:pPr>
              <w:pStyle w:val="TableParagraph"/>
              <w:spacing w:line="266" w:lineRule="exact" w:before="20"/>
              <w:ind w:left="122"/>
              <w:rPr>
                <w:sz w:val="24"/>
              </w:rPr>
            </w:pPr>
            <w:r>
              <w:rPr>
                <w:b/>
                <w:position w:val="1"/>
                <w:sz w:val="24"/>
              </w:rPr>
              <w:t>H</w:t>
            </w:r>
            <w:r>
              <w:rPr>
                <w:b/>
                <w:sz w:val="16"/>
              </w:rPr>
              <w:t>1</w:t>
            </w:r>
            <w:r>
              <w:rPr>
                <w:b/>
                <w:position w:val="1"/>
                <w:sz w:val="24"/>
              </w:rPr>
              <w:t>: </w:t>
            </w:r>
            <w:r>
              <w:rPr>
                <w:position w:val="1"/>
                <w:sz w:val="24"/>
              </w:rPr>
              <w:t>Satıcılara yapılan yorum sayısı ile satış miktarı arasında pozitif ilişki </w:t>
            </w:r>
            <w:r>
              <w:rPr>
                <w:sz w:val="24"/>
              </w:rPr>
              <w:t>bulunmaktadır.</w:t>
            </w:r>
          </w:p>
        </w:tc>
        <w:tc>
          <w:tcPr>
            <w:tcW w:w="1093" w:type="dxa"/>
            <w:tcBorders>
              <w:top w:val="single" w:sz="4" w:space="0" w:color="000000"/>
              <w:bottom w:val="single" w:sz="4" w:space="0" w:color="000000"/>
            </w:tcBorders>
          </w:tcPr>
          <w:p>
            <w:pPr>
              <w:pStyle w:val="TableParagraph"/>
              <w:spacing w:before="138"/>
              <w:ind w:left="129" w:right="172"/>
              <w:jc w:val="center"/>
              <w:rPr>
                <w:sz w:val="24"/>
              </w:rPr>
            </w:pPr>
            <w:r>
              <w:rPr>
                <w:sz w:val="24"/>
              </w:rPr>
              <w:t>(+)</w:t>
            </w:r>
          </w:p>
        </w:tc>
      </w:tr>
      <w:tr>
        <w:trPr>
          <w:trHeight w:val="551" w:hRule="atLeast"/>
        </w:trPr>
        <w:tc>
          <w:tcPr>
            <w:tcW w:w="7854" w:type="dxa"/>
            <w:tcBorders>
              <w:top w:val="single" w:sz="4" w:space="0" w:color="000000"/>
              <w:bottom w:val="single" w:sz="4" w:space="0" w:color="000000"/>
            </w:tcBorders>
          </w:tcPr>
          <w:p>
            <w:pPr>
              <w:pStyle w:val="TableParagraph"/>
              <w:spacing w:line="266" w:lineRule="exact" w:before="19"/>
              <w:ind w:left="122"/>
              <w:rPr>
                <w:sz w:val="24"/>
              </w:rPr>
            </w:pPr>
            <w:r>
              <w:rPr>
                <w:b/>
                <w:position w:val="1"/>
                <w:sz w:val="24"/>
              </w:rPr>
              <w:t>H</w:t>
            </w:r>
            <w:r>
              <w:rPr>
                <w:b/>
                <w:sz w:val="16"/>
              </w:rPr>
              <w:t>2</w:t>
            </w:r>
            <w:r>
              <w:rPr>
                <w:b/>
                <w:position w:val="1"/>
                <w:sz w:val="24"/>
              </w:rPr>
              <w:t>:</w:t>
            </w:r>
            <w:r>
              <w:rPr>
                <w:b/>
                <w:spacing w:val="-14"/>
                <w:position w:val="1"/>
                <w:sz w:val="24"/>
              </w:rPr>
              <w:t> </w:t>
            </w:r>
            <w:r>
              <w:rPr>
                <w:position w:val="1"/>
                <w:sz w:val="24"/>
              </w:rPr>
              <w:t>Satıcıya</w:t>
            </w:r>
            <w:r>
              <w:rPr>
                <w:spacing w:val="-12"/>
                <w:position w:val="1"/>
                <w:sz w:val="24"/>
              </w:rPr>
              <w:t> </w:t>
            </w:r>
            <w:r>
              <w:rPr>
                <w:position w:val="1"/>
                <w:sz w:val="24"/>
              </w:rPr>
              <w:t>dair</w:t>
            </w:r>
            <w:r>
              <w:rPr>
                <w:spacing w:val="-12"/>
                <w:position w:val="1"/>
                <w:sz w:val="24"/>
              </w:rPr>
              <w:t> </w:t>
            </w:r>
            <w:r>
              <w:rPr>
                <w:position w:val="1"/>
                <w:sz w:val="24"/>
              </w:rPr>
              <w:t>değerlendirme</w:t>
            </w:r>
            <w:r>
              <w:rPr>
                <w:spacing w:val="-13"/>
                <w:position w:val="1"/>
                <w:sz w:val="24"/>
              </w:rPr>
              <w:t> </w:t>
            </w:r>
            <w:r>
              <w:rPr>
                <w:position w:val="1"/>
                <w:sz w:val="24"/>
              </w:rPr>
              <w:t>puanlarının</w:t>
            </w:r>
            <w:r>
              <w:rPr>
                <w:spacing w:val="-12"/>
                <w:position w:val="1"/>
                <w:sz w:val="24"/>
              </w:rPr>
              <w:t> </w:t>
            </w:r>
            <w:r>
              <w:rPr>
                <w:position w:val="1"/>
                <w:sz w:val="24"/>
              </w:rPr>
              <w:t>ortalaması</w:t>
            </w:r>
            <w:r>
              <w:rPr>
                <w:spacing w:val="-12"/>
                <w:position w:val="1"/>
                <w:sz w:val="24"/>
              </w:rPr>
              <w:t> </w:t>
            </w:r>
            <w:r>
              <w:rPr>
                <w:position w:val="1"/>
                <w:sz w:val="24"/>
              </w:rPr>
              <w:t>ile</w:t>
            </w:r>
            <w:r>
              <w:rPr>
                <w:spacing w:val="-13"/>
                <w:position w:val="1"/>
                <w:sz w:val="24"/>
              </w:rPr>
              <w:t> </w:t>
            </w:r>
            <w:r>
              <w:rPr>
                <w:position w:val="1"/>
                <w:sz w:val="24"/>
              </w:rPr>
              <w:t>satış</w:t>
            </w:r>
            <w:r>
              <w:rPr>
                <w:spacing w:val="-12"/>
                <w:position w:val="1"/>
                <w:sz w:val="24"/>
              </w:rPr>
              <w:t> </w:t>
            </w:r>
            <w:r>
              <w:rPr>
                <w:position w:val="1"/>
                <w:sz w:val="24"/>
              </w:rPr>
              <w:t>miktarı</w:t>
            </w:r>
            <w:r>
              <w:rPr>
                <w:spacing w:val="-12"/>
                <w:position w:val="1"/>
                <w:sz w:val="24"/>
              </w:rPr>
              <w:t> </w:t>
            </w:r>
            <w:r>
              <w:rPr>
                <w:position w:val="1"/>
                <w:sz w:val="24"/>
              </w:rPr>
              <w:t>arasında </w:t>
            </w:r>
            <w:r>
              <w:rPr>
                <w:sz w:val="24"/>
              </w:rPr>
              <w:t>pozitif ilişki bulunmaktadır.</w:t>
            </w:r>
          </w:p>
        </w:tc>
        <w:tc>
          <w:tcPr>
            <w:tcW w:w="1093" w:type="dxa"/>
            <w:tcBorders>
              <w:top w:val="single" w:sz="4" w:space="0" w:color="000000"/>
              <w:bottom w:val="single" w:sz="4" w:space="0" w:color="000000"/>
            </w:tcBorders>
          </w:tcPr>
          <w:p>
            <w:pPr>
              <w:pStyle w:val="TableParagraph"/>
              <w:spacing w:before="137"/>
              <w:ind w:left="132" w:right="172"/>
              <w:jc w:val="center"/>
              <w:rPr>
                <w:sz w:val="24"/>
              </w:rPr>
            </w:pPr>
            <w:r>
              <w:rPr>
                <w:sz w:val="24"/>
              </w:rPr>
              <w:t>(-)</w:t>
            </w:r>
          </w:p>
        </w:tc>
      </w:tr>
      <w:tr>
        <w:trPr>
          <w:trHeight w:val="554" w:hRule="atLeast"/>
        </w:trPr>
        <w:tc>
          <w:tcPr>
            <w:tcW w:w="7854" w:type="dxa"/>
            <w:tcBorders>
              <w:top w:val="single" w:sz="4" w:space="0" w:color="000000"/>
              <w:bottom w:val="single" w:sz="4" w:space="0" w:color="000000"/>
            </w:tcBorders>
          </w:tcPr>
          <w:p>
            <w:pPr>
              <w:pStyle w:val="TableParagraph"/>
              <w:spacing w:line="270" w:lineRule="atLeast" w:before="1"/>
              <w:ind w:left="122"/>
              <w:rPr>
                <w:sz w:val="24"/>
              </w:rPr>
            </w:pPr>
            <w:r>
              <w:rPr>
                <w:b/>
                <w:position w:val="1"/>
                <w:sz w:val="24"/>
              </w:rPr>
              <w:t>H</w:t>
            </w:r>
            <w:r>
              <w:rPr>
                <w:b/>
                <w:sz w:val="16"/>
              </w:rPr>
              <w:t>3</w:t>
            </w:r>
            <w:r>
              <w:rPr>
                <w:b/>
                <w:position w:val="1"/>
                <w:sz w:val="24"/>
              </w:rPr>
              <w:t>: </w:t>
            </w:r>
            <w:r>
              <w:rPr>
                <w:position w:val="1"/>
                <w:sz w:val="24"/>
              </w:rPr>
              <w:t>Satıcıya dair olumlu yorumlar ile satış miktarı arasında pozitif ilişki </w:t>
            </w:r>
            <w:r>
              <w:rPr>
                <w:sz w:val="24"/>
              </w:rPr>
              <w:t>bulunmaktadır.</w:t>
            </w:r>
          </w:p>
        </w:tc>
        <w:tc>
          <w:tcPr>
            <w:tcW w:w="1093" w:type="dxa"/>
            <w:tcBorders>
              <w:top w:val="single" w:sz="4" w:space="0" w:color="000000"/>
              <w:bottom w:val="single" w:sz="4" w:space="0" w:color="000000"/>
            </w:tcBorders>
          </w:tcPr>
          <w:p>
            <w:pPr>
              <w:pStyle w:val="TableParagraph"/>
              <w:spacing w:before="138"/>
              <w:ind w:left="129" w:right="172"/>
              <w:jc w:val="center"/>
              <w:rPr>
                <w:sz w:val="24"/>
              </w:rPr>
            </w:pPr>
            <w:r>
              <w:rPr>
                <w:sz w:val="24"/>
              </w:rPr>
              <w:t>(+)</w:t>
            </w:r>
          </w:p>
        </w:tc>
      </w:tr>
      <w:tr>
        <w:trPr>
          <w:trHeight w:val="551" w:hRule="atLeast"/>
        </w:trPr>
        <w:tc>
          <w:tcPr>
            <w:tcW w:w="7854" w:type="dxa"/>
            <w:tcBorders>
              <w:top w:val="single" w:sz="4" w:space="0" w:color="000000"/>
              <w:bottom w:val="single" w:sz="4" w:space="0" w:color="000000"/>
            </w:tcBorders>
          </w:tcPr>
          <w:p>
            <w:pPr>
              <w:pStyle w:val="TableParagraph"/>
              <w:spacing w:line="266" w:lineRule="exact" w:before="19"/>
              <w:ind w:left="122"/>
              <w:rPr>
                <w:sz w:val="24"/>
              </w:rPr>
            </w:pPr>
            <w:r>
              <w:rPr>
                <w:b/>
                <w:position w:val="1"/>
                <w:sz w:val="24"/>
              </w:rPr>
              <w:t>H</w:t>
            </w:r>
            <w:r>
              <w:rPr>
                <w:b/>
                <w:sz w:val="16"/>
              </w:rPr>
              <w:t>4</w:t>
            </w:r>
            <w:r>
              <w:rPr>
                <w:b/>
                <w:position w:val="1"/>
                <w:sz w:val="24"/>
              </w:rPr>
              <w:t>: </w:t>
            </w:r>
            <w:r>
              <w:rPr>
                <w:position w:val="1"/>
                <w:sz w:val="24"/>
              </w:rPr>
              <w:t>Satıcıya dair olumsuz yorumlar ile satış miktarı arasında negatif ilişki </w:t>
            </w:r>
            <w:r>
              <w:rPr>
                <w:sz w:val="24"/>
              </w:rPr>
              <w:t>bulunmaktadır.</w:t>
            </w:r>
          </w:p>
        </w:tc>
        <w:tc>
          <w:tcPr>
            <w:tcW w:w="1093" w:type="dxa"/>
            <w:tcBorders>
              <w:top w:val="single" w:sz="4" w:space="0" w:color="000000"/>
              <w:bottom w:val="single" w:sz="4" w:space="0" w:color="000000"/>
            </w:tcBorders>
          </w:tcPr>
          <w:p>
            <w:pPr>
              <w:pStyle w:val="TableParagraph"/>
              <w:spacing w:before="135"/>
              <w:ind w:left="132" w:right="172"/>
              <w:jc w:val="center"/>
              <w:rPr>
                <w:sz w:val="24"/>
              </w:rPr>
            </w:pPr>
            <w:r>
              <w:rPr>
                <w:sz w:val="24"/>
              </w:rPr>
              <w:t>(-)</w:t>
            </w:r>
          </w:p>
        </w:tc>
      </w:tr>
      <w:tr>
        <w:trPr>
          <w:trHeight w:val="551" w:hRule="atLeast"/>
        </w:trPr>
        <w:tc>
          <w:tcPr>
            <w:tcW w:w="7854" w:type="dxa"/>
            <w:tcBorders>
              <w:top w:val="single" w:sz="4" w:space="0" w:color="000000"/>
              <w:bottom w:val="single" w:sz="4" w:space="0" w:color="000000"/>
            </w:tcBorders>
          </w:tcPr>
          <w:p>
            <w:pPr>
              <w:pStyle w:val="TableParagraph"/>
              <w:spacing w:line="266" w:lineRule="exact" w:before="20"/>
              <w:ind w:left="122"/>
              <w:rPr>
                <w:sz w:val="24"/>
              </w:rPr>
            </w:pPr>
            <w:r>
              <w:rPr>
                <w:b/>
                <w:position w:val="1"/>
                <w:sz w:val="24"/>
              </w:rPr>
              <w:t>H</w:t>
            </w:r>
            <w:r>
              <w:rPr>
                <w:b/>
                <w:sz w:val="16"/>
              </w:rPr>
              <w:t>5</w:t>
            </w:r>
            <w:r>
              <w:rPr>
                <w:b/>
                <w:position w:val="1"/>
                <w:sz w:val="24"/>
              </w:rPr>
              <w:t>: </w:t>
            </w:r>
            <w:r>
              <w:rPr>
                <w:position w:val="1"/>
                <w:sz w:val="24"/>
              </w:rPr>
              <w:t>Satıcılara dair nötr yorumlar ile satış miktarı arasında arasında ilişki </w:t>
            </w:r>
            <w:r>
              <w:rPr>
                <w:sz w:val="24"/>
              </w:rPr>
              <w:t>bulunmaktadır.</w:t>
            </w:r>
          </w:p>
        </w:tc>
        <w:tc>
          <w:tcPr>
            <w:tcW w:w="1093" w:type="dxa"/>
            <w:tcBorders>
              <w:top w:val="single" w:sz="4" w:space="0" w:color="000000"/>
              <w:bottom w:val="single" w:sz="4" w:space="0" w:color="000000"/>
            </w:tcBorders>
          </w:tcPr>
          <w:p>
            <w:pPr>
              <w:pStyle w:val="TableParagraph"/>
              <w:spacing w:before="135"/>
              <w:ind w:left="129" w:right="172"/>
              <w:jc w:val="center"/>
              <w:rPr>
                <w:sz w:val="24"/>
              </w:rPr>
            </w:pPr>
            <w:r>
              <w:rPr>
                <w:sz w:val="24"/>
              </w:rPr>
              <w:t>(+)</w:t>
            </w:r>
          </w:p>
        </w:tc>
      </w:tr>
      <w:tr>
        <w:trPr>
          <w:trHeight w:val="551" w:hRule="atLeast"/>
        </w:trPr>
        <w:tc>
          <w:tcPr>
            <w:tcW w:w="7854" w:type="dxa"/>
            <w:tcBorders>
              <w:top w:val="single" w:sz="4" w:space="0" w:color="000000"/>
              <w:bottom w:val="single" w:sz="8" w:space="0" w:color="000000"/>
            </w:tcBorders>
          </w:tcPr>
          <w:p>
            <w:pPr>
              <w:pStyle w:val="TableParagraph"/>
              <w:spacing w:line="275" w:lineRule="exact"/>
              <w:ind w:left="122"/>
              <w:rPr>
                <w:sz w:val="24"/>
              </w:rPr>
            </w:pPr>
            <w:r>
              <w:rPr>
                <w:sz w:val="24"/>
              </w:rPr>
              <w:t>* (+): sonuçlar hipotezi desteklemektedir.</w:t>
            </w:r>
          </w:p>
          <w:p>
            <w:pPr>
              <w:pStyle w:val="TableParagraph"/>
              <w:spacing w:line="256" w:lineRule="exact"/>
              <w:ind w:left="302"/>
              <w:rPr>
                <w:sz w:val="24"/>
              </w:rPr>
            </w:pPr>
            <w:r>
              <w:rPr>
                <w:sz w:val="24"/>
              </w:rPr>
              <w:t>(-): sonuçlar hipotezi desteklememektedir.</w:t>
            </w:r>
          </w:p>
        </w:tc>
        <w:tc>
          <w:tcPr>
            <w:tcW w:w="1093" w:type="dxa"/>
            <w:tcBorders>
              <w:top w:val="single" w:sz="4" w:space="0" w:color="000000"/>
              <w:bottom w:val="single" w:sz="8" w:space="0" w:color="000000"/>
            </w:tcBorders>
          </w:tcPr>
          <w:p>
            <w:pPr>
              <w:pStyle w:val="TableParagraph"/>
              <w:ind w:left="0"/>
              <w:rPr>
                <w:sz w:val="22"/>
              </w:rPr>
            </w:pPr>
          </w:p>
        </w:tc>
      </w:tr>
    </w:tbl>
    <w:p>
      <w:pPr>
        <w:pStyle w:val="BodyText"/>
        <w:ind w:left="0"/>
        <w:jc w:val="left"/>
        <w:rPr>
          <w:sz w:val="36"/>
        </w:rPr>
      </w:pPr>
    </w:p>
    <w:p>
      <w:pPr>
        <w:pStyle w:val="Heading1"/>
        <w:numPr>
          <w:ilvl w:val="1"/>
          <w:numId w:val="3"/>
        </w:numPr>
        <w:tabs>
          <w:tab w:pos="1677" w:val="left" w:leader="none"/>
        </w:tabs>
        <w:spacing w:line="240" w:lineRule="auto" w:before="0" w:after="0"/>
        <w:ind w:left="1676" w:right="0" w:hanging="421"/>
        <w:jc w:val="both"/>
      </w:pPr>
      <w:r>
        <w:rPr/>
        <w:t>Tartışma</w:t>
      </w:r>
    </w:p>
    <w:p>
      <w:pPr>
        <w:pStyle w:val="BodyText"/>
        <w:spacing w:line="360" w:lineRule="auto" w:before="137"/>
        <w:ind w:right="309" w:firstLine="708"/>
      </w:pPr>
      <w:r>
        <w:rPr/>
        <w:t>İnternetin yaygınlaşmasıyla birlikte Amazon gibi perakendecilerin yanı sıra bireyler ve küçük işletmeler de e-ticarete dahil olmaya başlamıştır. Gerçek hayattaki semt pazarları gibi internette de online pazar alanları oluşmuş ve bireyler ve küçük işletmeler e-ticaretle ek gelir elde etme fırsatı bulmuşlardır. Ebay, Etsy ve Gittigidiyor gibi kuruldukları ilk günden itibaren online pazar alanı olarak faaliyet gösteren platformların yanı sıra, Amazon ve</w:t>
      </w:r>
    </w:p>
    <w:p>
      <w:pPr>
        <w:spacing w:after="0" w:line="360" w:lineRule="auto"/>
        <w:sectPr>
          <w:pgSz w:w="12240" w:h="15840"/>
          <w:pgMar w:header="718" w:footer="0" w:top="1300" w:bottom="280" w:left="1720" w:right="820"/>
        </w:sectPr>
      </w:pPr>
    </w:p>
    <w:p>
      <w:pPr>
        <w:pStyle w:val="BodyText"/>
        <w:tabs>
          <w:tab w:pos="1784" w:val="left" w:leader="none"/>
          <w:tab w:pos="2796" w:val="left" w:leader="none"/>
          <w:tab w:pos="3566" w:val="left" w:leader="none"/>
          <w:tab w:pos="4551" w:val="left" w:leader="none"/>
          <w:tab w:pos="6055" w:val="left" w:leader="none"/>
          <w:tab w:pos="6988" w:val="left" w:leader="none"/>
          <w:tab w:pos="8852" w:val="left" w:leader="none"/>
        </w:tabs>
        <w:spacing w:line="360" w:lineRule="auto" w:before="100"/>
        <w:ind w:right="308"/>
        <w:jc w:val="right"/>
      </w:pPr>
      <w:r>
        <w:rPr/>
        <w:t>Hepsiburada gibi hayatlarına online perakendeci olarak başlayan şirketler de</w:t>
      </w:r>
      <w:r>
        <w:rPr>
          <w:spacing w:val="21"/>
        </w:rPr>
        <w:t> </w:t>
      </w:r>
      <w:r>
        <w:rPr/>
        <w:t>bugün</w:t>
      </w:r>
      <w:r>
        <w:rPr>
          <w:spacing w:val="2"/>
        </w:rPr>
        <w:t> </w:t>
      </w:r>
      <w:r>
        <w:rPr/>
        <w:t>internet sayfalarında</w:t>
      </w:r>
      <w:r>
        <w:rPr>
          <w:spacing w:val="-9"/>
        </w:rPr>
        <w:t> </w:t>
      </w:r>
      <w:r>
        <w:rPr/>
        <w:t>pazar</w:t>
      </w:r>
      <w:r>
        <w:rPr>
          <w:spacing w:val="-9"/>
        </w:rPr>
        <w:t> </w:t>
      </w:r>
      <w:r>
        <w:rPr/>
        <w:t>alanları</w:t>
      </w:r>
      <w:r>
        <w:rPr>
          <w:spacing w:val="-7"/>
        </w:rPr>
        <w:t> </w:t>
      </w:r>
      <w:r>
        <w:rPr/>
        <w:t>oluşturarak</w:t>
      </w:r>
      <w:r>
        <w:rPr>
          <w:spacing w:val="-8"/>
        </w:rPr>
        <w:t> </w:t>
      </w:r>
      <w:r>
        <w:rPr/>
        <w:t>başka</w:t>
      </w:r>
      <w:r>
        <w:rPr>
          <w:spacing w:val="-8"/>
        </w:rPr>
        <w:t> </w:t>
      </w:r>
      <w:r>
        <w:rPr/>
        <w:t>satıcıların</w:t>
      </w:r>
      <w:r>
        <w:rPr>
          <w:spacing w:val="-9"/>
        </w:rPr>
        <w:t> </w:t>
      </w:r>
      <w:r>
        <w:rPr/>
        <w:t>ticaret</w:t>
      </w:r>
      <w:r>
        <w:rPr>
          <w:spacing w:val="-7"/>
        </w:rPr>
        <w:t> </w:t>
      </w:r>
      <w:r>
        <w:rPr/>
        <w:t>yapmasına</w:t>
      </w:r>
      <w:r>
        <w:rPr>
          <w:spacing w:val="-9"/>
        </w:rPr>
        <w:t> </w:t>
      </w:r>
      <w:r>
        <w:rPr/>
        <w:t>fırsat</w:t>
      </w:r>
      <w:r>
        <w:rPr>
          <w:spacing w:val="-7"/>
        </w:rPr>
        <w:t> </w:t>
      </w:r>
      <w:r>
        <w:rPr/>
        <w:t>sunmaktadır. Online pazar alanları e-perakendeciler gibi e-ticaretin önemli</w:t>
      </w:r>
      <w:r>
        <w:rPr>
          <w:spacing w:val="-25"/>
        </w:rPr>
        <w:t> </w:t>
      </w:r>
      <w:r>
        <w:rPr/>
        <w:t>platformlarıdır.</w:t>
      </w:r>
      <w:r>
        <w:rPr>
          <w:spacing w:val="-4"/>
        </w:rPr>
        <w:t> </w:t>
      </w:r>
      <w:r>
        <w:rPr/>
        <w:t>Ancak, elektronik</w:t>
        <w:tab/>
        <w:t>ağızdan</w:t>
        <w:tab/>
        <w:t>ağıza</w:t>
        <w:tab/>
        <w:t>iletişim</w:t>
        <w:tab/>
        <w:t>literatürünün</w:t>
        <w:tab/>
        <w:t>ilgisini</w:t>
        <w:tab/>
        <w:t>e-perakendeciler</w:t>
        <w:tab/>
      </w:r>
      <w:r>
        <w:rPr>
          <w:spacing w:val="-3"/>
        </w:rPr>
        <w:t>kadar </w:t>
      </w:r>
      <w:r>
        <w:rPr/>
        <w:t>çekememişlerdir. Araştırmacıların bu konuya ilgi göstermemeleri</w:t>
      </w:r>
      <w:r>
        <w:rPr>
          <w:spacing w:val="47"/>
        </w:rPr>
        <w:t> </w:t>
      </w:r>
      <w:r>
        <w:rPr/>
        <w:t>ilginçtir.</w:t>
      </w:r>
      <w:r>
        <w:rPr>
          <w:spacing w:val="8"/>
        </w:rPr>
        <w:t> </w:t>
      </w:r>
      <w:r>
        <w:rPr/>
        <w:t>Çünkü, tüketiciler</w:t>
      </w:r>
      <w:r>
        <w:rPr>
          <w:spacing w:val="11"/>
        </w:rPr>
        <w:t> </w:t>
      </w:r>
      <w:r>
        <w:rPr/>
        <w:t>satın</w:t>
      </w:r>
      <w:r>
        <w:rPr>
          <w:spacing w:val="13"/>
        </w:rPr>
        <w:t> </w:t>
      </w:r>
      <w:r>
        <w:rPr/>
        <w:t>alacakları</w:t>
      </w:r>
      <w:r>
        <w:rPr>
          <w:spacing w:val="14"/>
        </w:rPr>
        <w:t> </w:t>
      </w:r>
      <w:r>
        <w:rPr/>
        <w:t>ürün</w:t>
      </w:r>
      <w:r>
        <w:rPr>
          <w:spacing w:val="11"/>
        </w:rPr>
        <w:t> </w:t>
      </w:r>
      <w:r>
        <w:rPr/>
        <w:t>konusunda</w:t>
      </w:r>
      <w:r>
        <w:rPr>
          <w:spacing w:val="15"/>
        </w:rPr>
        <w:t> </w:t>
      </w:r>
      <w:r>
        <w:rPr/>
        <w:t>bilgi</w:t>
      </w:r>
      <w:r>
        <w:rPr>
          <w:spacing w:val="14"/>
        </w:rPr>
        <w:t> </w:t>
      </w:r>
      <w:r>
        <w:rPr/>
        <w:t>toplarken</w:t>
      </w:r>
      <w:r>
        <w:rPr>
          <w:spacing w:val="12"/>
        </w:rPr>
        <w:t> </w:t>
      </w:r>
      <w:r>
        <w:rPr/>
        <w:t>nasıl</w:t>
      </w:r>
      <w:r>
        <w:rPr>
          <w:spacing w:val="14"/>
        </w:rPr>
        <w:t> </w:t>
      </w:r>
      <w:r>
        <w:rPr/>
        <w:t>yorumlara</w:t>
      </w:r>
      <w:r>
        <w:rPr>
          <w:spacing w:val="14"/>
        </w:rPr>
        <w:t> </w:t>
      </w:r>
      <w:r>
        <w:rPr/>
        <w:t>başvuruyorlarsa</w:t>
      </w:r>
      <w:r>
        <w:rPr>
          <w:spacing w:val="-1"/>
        </w:rPr>
        <w:t> </w:t>
      </w:r>
      <w:r>
        <w:rPr/>
        <w:t>online</w:t>
      </w:r>
      <w:r>
        <w:rPr>
          <w:spacing w:val="20"/>
        </w:rPr>
        <w:t> </w:t>
      </w:r>
      <w:r>
        <w:rPr/>
        <w:t>pazar</w:t>
      </w:r>
      <w:r>
        <w:rPr>
          <w:spacing w:val="24"/>
        </w:rPr>
        <w:t> </w:t>
      </w:r>
      <w:r>
        <w:rPr/>
        <w:t>alanlarında</w:t>
      </w:r>
      <w:r>
        <w:rPr>
          <w:spacing w:val="21"/>
        </w:rPr>
        <w:t> </w:t>
      </w:r>
      <w:r>
        <w:rPr/>
        <w:t>ürün</w:t>
      </w:r>
      <w:r>
        <w:rPr>
          <w:spacing w:val="22"/>
        </w:rPr>
        <w:t> </w:t>
      </w:r>
      <w:r>
        <w:rPr/>
        <w:t>alacakları</w:t>
      </w:r>
      <w:r>
        <w:rPr>
          <w:spacing w:val="23"/>
        </w:rPr>
        <w:t> </w:t>
      </w:r>
      <w:r>
        <w:rPr/>
        <w:t>satıcılar</w:t>
      </w:r>
      <w:r>
        <w:rPr>
          <w:spacing w:val="23"/>
        </w:rPr>
        <w:t> </w:t>
      </w:r>
      <w:r>
        <w:rPr/>
        <w:t>hakkında</w:t>
      </w:r>
      <w:r>
        <w:rPr>
          <w:spacing w:val="22"/>
        </w:rPr>
        <w:t> </w:t>
      </w:r>
      <w:r>
        <w:rPr/>
        <w:t>güven</w:t>
      </w:r>
      <w:r>
        <w:rPr>
          <w:spacing w:val="22"/>
        </w:rPr>
        <w:t> </w:t>
      </w:r>
      <w:r>
        <w:rPr/>
        <w:t>inşa</w:t>
      </w:r>
      <w:r>
        <w:rPr>
          <w:spacing w:val="22"/>
        </w:rPr>
        <w:t> </w:t>
      </w:r>
      <w:r>
        <w:rPr/>
        <w:t>edebilmek</w:t>
      </w:r>
      <w:r>
        <w:rPr>
          <w:spacing w:val="22"/>
        </w:rPr>
        <w:t> </w:t>
      </w:r>
      <w:r>
        <w:rPr/>
        <w:t>adına</w:t>
      </w:r>
      <w:r>
        <w:rPr>
          <w:spacing w:val="22"/>
        </w:rPr>
        <w:t> </w:t>
      </w:r>
      <w:r>
        <w:rPr/>
        <w:t>da</w:t>
      </w:r>
    </w:p>
    <w:p>
      <w:pPr>
        <w:pStyle w:val="BodyText"/>
        <w:spacing w:line="275" w:lineRule="exact"/>
      </w:pPr>
      <w:r>
        <w:rPr/>
        <w:t>satıcılara yapılmış olan yorumlara başvurmaktadırlar.</w:t>
      </w:r>
    </w:p>
    <w:p>
      <w:pPr>
        <w:pStyle w:val="BodyText"/>
        <w:spacing w:line="360" w:lineRule="auto" w:before="139"/>
        <w:ind w:right="312" w:firstLine="708"/>
      </w:pPr>
      <w:r>
        <w:rPr/>
        <w:t>Araştırmacıların ilgisini çekememiş bu alanda literatüre katkı sağlayabilmek adına yapılan bu çalışmanın örneklemi için veriler Etsy.com’dan çekilmiştir. Etsy, el yapımı ürünlerin satıldığı, çoğunlukla bireysel satıcıların yer aldığı ve dünyanın her yanından milyonlarca</w:t>
      </w:r>
      <w:r>
        <w:rPr>
          <w:spacing w:val="-7"/>
        </w:rPr>
        <w:t> </w:t>
      </w:r>
      <w:r>
        <w:rPr/>
        <w:t>satıcıyla</w:t>
      </w:r>
      <w:r>
        <w:rPr>
          <w:spacing w:val="-5"/>
        </w:rPr>
        <w:t> </w:t>
      </w:r>
      <w:r>
        <w:rPr/>
        <w:t>alıcının</w:t>
      </w:r>
      <w:r>
        <w:rPr>
          <w:spacing w:val="-6"/>
        </w:rPr>
        <w:t> </w:t>
      </w:r>
      <w:r>
        <w:rPr/>
        <w:t>buluştuğu</w:t>
      </w:r>
      <w:r>
        <w:rPr>
          <w:spacing w:val="-6"/>
        </w:rPr>
        <w:t> </w:t>
      </w:r>
      <w:r>
        <w:rPr/>
        <w:t>bir</w:t>
      </w:r>
      <w:r>
        <w:rPr>
          <w:spacing w:val="-7"/>
        </w:rPr>
        <w:t> </w:t>
      </w:r>
      <w:r>
        <w:rPr/>
        <w:t>platformdur.</w:t>
      </w:r>
      <w:r>
        <w:rPr>
          <w:spacing w:val="-6"/>
        </w:rPr>
        <w:t> </w:t>
      </w:r>
      <w:r>
        <w:rPr/>
        <w:t>Etsy.com’dan</w:t>
      </w:r>
      <w:r>
        <w:rPr>
          <w:spacing w:val="-4"/>
        </w:rPr>
        <w:t> </w:t>
      </w:r>
      <w:r>
        <w:rPr/>
        <w:t>toplanan</w:t>
      </w:r>
      <w:r>
        <w:rPr>
          <w:spacing w:val="-6"/>
        </w:rPr>
        <w:t> </w:t>
      </w:r>
      <w:r>
        <w:rPr/>
        <w:t>142</w:t>
      </w:r>
      <w:r>
        <w:rPr>
          <w:spacing w:val="-4"/>
        </w:rPr>
        <w:t> </w:t>
      </w:r>
      <w:r>
        <w:rPr/>
        <w:t>satıcıya ait 40 haftalık veriler genelleştirlmiş momentler yöntemi ile analiz edilmiştir. Yorumların hacim ve değerlik özellikleri bağlamında yorum-satış ilişkisi</w:t>
      </w:r>
      <w:r>
        <w:rPr>
          <w:spacing w:val="-6"/>
        </w:rPr>
        <w:t> </w:t>
      </w:r>
      <w:r>
        <w:rPr/>
        <w:t>incelenmiştir.</w:t>
      </w:r>
    </w:p>
    <w:p>
      <w:pPr>
        <w:pStyle w:val="BodyText"/>
        <w:spacing w:line="360" w:lineRule="auto" w:before="1"/>
        <w:ind w:right="308" w:firstLine="708"/>
      </w:pPr>
      <w:r>
        <w:rPr/>
        <w:t>Yorum</w:t>
      </w:r>
      <w:r>
        <w:rPr>
          <w:spacing w:val="-9"/>
        </w:rPr>
        <w:t> </w:t>
      </w:r>
      <w:r>
        <w:rPr/>
        <w:t>sayısı</w:t>
      </w:r>
      <w:r>
        <w:rPr>
          <w:spacing w:val="-9"/>
        </w:rPr>
        <w:t> </w:t>
      </w:r>
      <w:r>
        <w:rPr/>
        <w:t>gibi</w:t>
      </w:r>
      <w:r>
        <w:rPr>
          <w:spacing w:val="-10"/>
        </w:rPr>
        <w:t> </w:t>
      </w:r>
      <w:r>
        <w:rPr/>
        <w:t>miktar</w:t>
      </w:r>
      <w:r>
        <w:rPr>
          <w:spacing w:val="-13"/>
        </w:rPr>
        <w:t> </w:t>
      </w:r>
      <w:r>
        <w:rPr/>
        <w:t>belirten</w:t>
      </w:r>
      <w:r>
        <w:rPr>
          <w:spacing w:val="-10"/>
        </w:rPr>
        <w:t> </w:t>
      </w:r>
      <w:r>
        <w:rPr/>
        <w:t>unsurlarla</w:t>
      </w:r>
      <w:r>
        <w:rPr>
          <w:spacing w:val="-10"/>
        </w:rPr>
        <w:t> </w:t>
      </w:r>
      <w:r>
        <w:rPr/>
        <w:t>ölçülen</w:t>
      </w:r>
      <w:r>
        <w:rPr>
          <w:spacing w:val="-10"/>
        </w:rPr>
        <w:t> </w:t>
      </w:r>
      <w:r>
        <w:rPr/>
        <w:t>hacim</w:t>
      </w:r>
      <w:r>
        <w:rPr>
          <w:spacing w:val="-9"/>
        </w:rPr>
        <w:t> </w:t>
      </w:r>
      <w:r>
        <w:rPr/>
        <w:t>ile</w:t>
      </w:r>
      <w:r>
        <w:rPr>
          <w:spacing w:val="-10"/>
        </w:rPr>
        <w:t> </w:t>
      </w:r>
      <w:r>
        <w:rPr/>
        <w:t>satışlar</w:t>
      </w:r>
      <w:r>
        <w:rPr>
          <w:spacing w:val="-11"/>
        </w:rPr>
        <w:t> </w:t>
      </w:r>
      <w:r>
        <w:rPr/>
        <w:t>arasında</w:t>
      </w:r>
      <w:r>
        <w:rPr>
          <w:spacing w:val="-10"/>
        </w:rPr>
        <w:t> </w:t>
      </w:r>
      <w:r>
        <w:rPr/>
        <w:t>pozitif ilişki</w:t>
      </w:r>
      <w:r>
        <w:rPr>
          <w:spacing w:val="-7"/>
        </w:rPr>
        <w:t> </w:t>
      </w:r>
      <w:r>
        <w:rPr/>
        <w:t>olduğu</w:t>
      </w:r>
      <w:r>
        <w:rPr>
          <w:spacing w:val="-7"/>
        </w:rPr>
        <w:t> </w:t>
      </w:r>
      <w:r>
        <w:rPr/>
        <w:t>varsayılmaktadır</w:t>
      </w:r>
      <w:r>
        <w:rPr>
          <w:spacing w:val="-6"/>
        </w:rPr>
        <w:t> </w:t>
      </w:r>
      <w:r>
        <w:rPr/>
        <w:t>(Floyd</w:t>
      </w:r>
      <w:r>
        <w:rPr>
          <w:spacing w:val="-7"/>
        </w:rPr>
        <w:t> </w:t>
      </w:r>
      <w:r>
        <w:rPr/>
        <w:t>vd.,</w:t>
      </w:r>
      <w:r>
        <w:rPr>
          <w:spacing w:val="-5"/>
        </w:rPr>
        <w:t> </w:t>
      </w:r>
      <w:r>
        <w:rPr/>
        <w:t>2014).</w:t>
      </w:r>
      <w:r>
        <w:rPr>
          <w:spacing w:val="-7"/>
        </w:rPr>
        <w:t> </w:t>
      </w:r>
      <w:r>
        <w:rPr/>
        <w:t>Tablo</w:t>
      </w:r>
      <w:r>
        <w:rPr>
          <w:spacing w:val="-7"/>
        </w:rPr>
        <w:t> </w:t>
      </w:r>
      <w:r>
        <w:rPr/>
        <w:t>17’de</w:t>
      </w:r>
      <w:r>
        <w:rPr>
          <w:spacing w:val="-8"/>
        </w:rPr>
        <w:t> </w:t>
      </w:r>
      <w:r>
        <w:rPr/>
        <w:t>sunulan</w:t>
      </w:r>
      <w:r>
        <w:rPr>
          <w:spacing w:val="-5"/>
        </w:rPr>
        <w:t> </w:t>
      </w:r>
      <w:r>
        <w:rPr/>
        <w:t>sonuçlar,</w:t>
      </w:r>
      <w:r>
        <w:rPr>
          <w:spacing w:val="-7"/>
        </w:rPr>
        <w:t> </w:t>
      </w:r>
      <w:r>
        <w:rPr/>
        <w:t>satıcılar</w:t>
      </w:r>
      <w:r>
        <w:rPr>
          <w:spacing w:val="-7"/>
        </w:rPr>
        <w:t> </w:t>
      </w:r>
      <w:r>
        <w:rPr/>
        <w:t>için yapılan yorumların sayısı ile satışlar arasında pozitif ilişki olduğunu göstermekte ve bu varsayımı doğrulamaktadır. Bu bulgu, literatürde ürün yorumları için yapılmış pek çok çalışmanın</w:t>
      </w:r>
      <w:r>
        <w:rPr>
          <w:spacing w:val="-9"/>
        </w:rPr>
        <w:t> </w:t>
      </w:r>
      <w:r>
        <w:rPr/>
        <w:t>bulgularıyla</w:t>
      </w:r>
      <w:r>
        <w:rPr>
          <w:spacing w:val="-8"/>
        </w:rPr>
        <w:t> </w:t>
      </w:r>
      <w:r>
        <w:rPr/>
        <w:t>örtüşmektedir</w:t>
      </w:r>
      <w:r>
        <w:rPr>
          <w:spacing w:val="-9"/>
        </w:rPr>
        <w:t> </w:t>
      </w:r>
      <w:r>
        <w:rPr/>
        <w:t>(örn.</w:t>
      </w:r>
      <w:r>
        <w:rPr>
          <w:spacing w:val="-6"/>
        </w:rPr>
        <w:t> </w:t>
      </w:r>
      <w:r>
        <w:rPr/>
        <w:t>Jabr</w:t>
      </w:r>
      <w:r>
        <w:rPr>
          <w:spacing w:val="-9"/>
        </w:rPr>
        <w:t> </w:t>
      </w:r>
      <w:r>
        <w:rPr/>
        <w:t>ve</w:t>
      </w:r>
      <w:r>
        <w:rPr>
          <w:spacing w:val="-9"/>
        </w:rPr>
        <w:t> </w:t>
      </w:r>
      <w:r>
        <w:rPr/>
        <w:t>Zheng,</w:t>
      </w:r>
      <w:r>
        <w:rPr>
          <w:spacing w:val="-7"/>
        </w:rPr>
        <w:t> </w:t>
      </w:r>
      <w:r>
        <w:rPr/>
        <w:t>2014;</w:t>
      </w:r>
      <w:r>
        <w:rPr>
          <w:spacing w:val="-7"/>
        </w:rPr>
        <w:t> </w:t>
      </w:r>
      <w:r>
        <w:rPr/>
        <w:t>Bao</w:t>
      </w:r>
      <w:r>
        <w:rPr>
          <w:spacing w:val="-7"/>
        </w:rPr>
        <w:t> </w:t>
      </w:r>
      <w:r>
        <w:rPr/>
        <w:t>ve</w:t>
      </w:r>
      <w:r>
        <w:rPr>
          <w:spacing w:val="-9"/>
        </w:rPr>
        <w:t> </w:t>
      </w:r>
      <w:r>
        <w:rPr/>
        <w:t>Chang,</w:t>
      </w:r>
      <w:r>
        <w:rPr>
          <w:spacing w:val="-9"/>
        </w:rPr>
        <w:t> </w:t>
      </w:r>
      <w:r>
        <w:rPr/>
        <w:t>2016;</w:t>
      </w:r>
      <w:r>
        <w:rPr>
          <w:spacing w:val="-7"/>
        </w:rPr>
        <w:t> </w:t>
      </w:r>
      <w:r>
        <w:rPr/>
        <w:t>Chen vd., 2017; Fink vd., 2018; Bao vd., 2019). Satıcılara yapılan yorumlar ile satışlar arasındaki ilişkiyi irdeleyen az sayıdaki çalışmanın (örn. Wei’an vd., 2008; Ye vd., 2009; Zhang ve Zhang, 2011; Ye vd., 2013; Li vd., 2015) tümü hacim-satış ilişkisini göz ardı ettiğinden, bu çalışmanın</w:t>
      </w:r>
      <w:r>
        <w:rPr>
          <w:spacing w:val="-15"/>
        </w:rPr>
        <w:t> </w:t>
      </w:r>
      <w:r>
        <w:rPr/>
        <w:t>toplam</w:t>
      </w:r>
      <w:r>
        <w:rPr>
          <w:spacing w:val="-15"/>
        </w:rPr>
        <w:t> </w:t>
      </w:r>
      <w:r>
        <w:rPr/>
        <w:t>yorum</w:t>
      </w:r>
      <w:r>
        <w:rPr>
          <w:spacing w:val="-17"/>
        </w:rPr>
        <w:t> </w:t>
      </w:r>
      <w:r>
        <w:rPr/>
        <w:t>sayısı</w:t>
      </w:r>
      <w:r>
        <w:rPr>
          <w:spacing w:val="-14"/>
        </w:rPr>
        <w:t> </w:t>
      </w:r>
      <w:r>
        <w:rPr/>
        <w:t>ile</w:t>
      </w:r>
      <w:r>
        <w:rPr>
          <w:spacing w:val="-16"/>
        </w:rPr>
        <w:t> </w:t>
      </w:r>
      <w:r>
        <w:rPr/>
        <w:t>satışlar</w:t>
      </w:r>
      <w:r>
        <w:rPr>
          <w:spacing w:val="-16"/>
        </w:rPr>
        <w:t> </w:t>
      </w:r>
      <w:r>
        <w:rPr/>
        <w:t>arasındaki</w:t>
      </w:r>
      <w:r>
        <w:rPr>
          <w:spacing w:val="-15"/>
        </w:rPr>
        <w:t> </w:t>
      </w:r>
      <w:r>
        <w:rPr/>
        <w:t>pozitif</w:t>
      </w:r>
      <w:r>
        <w:rPr>
          <w:spacing w:val="-15"/>
        </w:rPr>
        <w:t> </w:t>
      </w:r>
      <w:r>
        <w:rPr/>
        <w:t>ilişki</w:t>
      </w:r>
      <w:r>
        <w:rPr>
          <w:spacing w:val="-15"/>
        </w:rPr>
        <w:t> </w:t>
      </w:r>
      <w:r>
        <w:rPr/>
        <w:t>bulgusu</w:t>
      </w:r>
      <w:r>
        <w:rPr>
          <w:spacing w:val="-17"/>
        </w:rPr>
        <w:t> </w:t>
      </w:r>
      <w:r>
        <w:rPr/>
        <w:t>literatür</w:t>
      </w:r>
      <w:r>
        <w:rPr>
          <w:spacing w:val="-16"/>
        </w:rPr>
        <w:t> </w:t>
      </w:r>
      <w:r>
        <w:rPr/>
        <w:t>açısından oldukça</w:t>
      </w:r>
      <w:r>
        <w:rPr>
          <w:spacing w:val="-2"/>
        </w:rPr>
        <w:t> </w:t>
      </w:r>
      <w:r>
        <w:rPr/>
        <w:t>önemlidir.</w:t>
      </w:r>
    </w:p>
    <w:p>
      <w:pPr>
        <w:pStyle w:val="BodyText"/>
        <w:spacing w:line="360" w:lineRule="auto"/>
        <w:ind w:right="308" w:firstLine="708"/>
      </w:pPr>
      <w:r>
        <w:rPr/>
        <w:t>Hacim gibi yorumların diğer bir önemli özelliği de değerliktir. Değerlik özelliği, satıcıya yapılan yorumlarda tüketicilerin memnuniyetini yansıtan olumlu/olumsuz ifadeleri, bu ifadeleri özetleyen değerlendirme puanlarını ve bu değerlendirme puanlarının ortalamasını kapsamaktadır. Değerlendirme puanlarının ortalamasının, ürün kalitesini yansıttığı</w:t>
      </w:r>
      <w:r>
        <w:rPr>
          <w:spacing w:val="-9"/>
        </w:rPr>
        <w:t> </w:t>
      </w:r>
      <w:r>
        <w:rPr/>
        <w:t>(Hu</w:t>
      </w:r>
      <w:r>
        <w:rPr>
          <w:spacing w:val="-9"/>
        </w:rPr>
        <w:t> </w:t>
      </w:r>
      <w:r>
        <w:rPr/>
        <w:t>vd.,</w:t>
      </w:r>
      <w:r>
        <w:rPr>
          <w:spacing w:val="-9"/>
        </w:rPr>
        <w:t> </w:t>
      </w:r>
      <w:r>
        <w:rPr/>
        <w:t>2017)</w:t>
      </w:r>
      <w:r>
        <w:rPr>
          <w:spacing w:val="-9"/>
        </w:rPr>
        <w:t> </w:t>
      </w:r>
      <w:r>
        <w:rPr/>
        <w:t>gibi</w:t>
      </w:r>
      <w:r>
        <w:rPr>
          <w:spacing w:val="-8"/>
        </w:rPr>
        <w:t> </w:t>
      </w:r>
      <w:r>
        <w:rPr/>
        <w:t>satıcının</w:t>
      </w:r>
      <w:r>
        <w:rPr>
          <w:spacing w:val="-9"/>
        </w:rPr>
        <w:t> </w:t>
      </w:r>
      <w:r>
        <w:rPr/>
        <w:t>güvenilirliği</w:t>
      </w:r>
      <w:r>
        <w:rPr>
          <w:spacing w:val="-8"/>
        </w:rPr>
        <w:t> </w:t>
      </w:r>
      <w:r>
        <w:rPr/>
        <w:t>hakkında</w:t>
      </w:r>
      <w:r>
        <w:rPr>
          <w:spacing w:val="-9"/>
        </w:rPr>
        <w:t> </w:t>
      </w:r>
      <w:r>
        <w:rPr/>
        <w:t>da</w:t>
      </w:r>
      <w:r>
        <w:rPr>
          <w:spacing w:val="-10"/>
        </w:rPr>
        <w:t> </w:t>
      </w:r>
      <w:r>
        <w:rPr/>
        <w:t>ipucu</w:t>
      </w:r>
      <w:r>
        <w:rPr>
          <w:spacing w:val="-9"/>
        </w:rPr>
        <w:t> </w:t>
      </w:r>
      <w:r>
        <w:rPr/>
        <w:t>verdiği</w:t>
      </w:r>
      <w:r>
        <w:rPr>
          <w:spacing w:val="-8"/>
        </w:rPr>
        <w:t> </w:t>
      </w:r>
      <w:r>
        <w:rPr/>
        <w:t>varsayılmıştır. Ancak, Tablo 17’de sunulan sonuçlar ortalama puan ile satışlar arasında negatif ilişki olduğunu</w:t>
      </w:r>
      <w:r>
        <w:rPr>
          <w:spacing w:val="36"/>
        </w:rPr>
        <w:t> </w:t>
      </w:r>
      <w:r>
        <w:rPr/>
        <w:t>göstermektedir.</w:t>
      </w:r>
      <w:r>
        <w:rPr>
          <w:spacing w:val="38"/>
        </w:rPr>
        <w:t> </w:t>
      </w:r>
      <w:r>
        <w:rPr/>
        <w:t>Bu</w:t>
      </w:r>
      <w:r>
        <w:rPr>
          <w:spacing w:val="37"/>
        </w:rPr>
        <w:t> </w:t>
      </w:r>
      <w:r>
        <w:rPr/>
        <w:t>bulgu</w:t>
      </w:r>
      <w:r>
        <w:rPr>
          <w:spacing w:val="37"/>
        </w:rPr>
        <w:t> </w:t>
      </w:r>
      <w:r>
        <w:rPr/>
        <w:t>önceki</w:t>
      </w:r>
      <w:r>
        <w:rPr>
          <w:spacing w:val="36"/>
        </w:rPr>
        <w:t> </w:t>
      </w:r>
      <w:r>
        <w:rPr/>
        <w:t>çalışmaların</w:t>
      </w:r>
      <w:r>
        <w:rPr>
          <w:spacing w:val="39"/>
        </w:rPr>
        <w:t> </w:t>
      </w:r>
      <w:r>
        <w:rPr/>
        <w:t>(Zhang</w:t>
      </w:r>
      <w:r>
        <w:rPr>
          <w:spacing w:val="37"/>
        </w:rPr>
        <w:t> </w:t>
      </w:r>
      <w:r>
        <w:rPr/>
        <w:t>ve</w:t>
      </w:r>
      <w:r>
        <w:rPr>
          <w:spacing w:val="36"/>
        </w:rPr>
        <w:t> </w:t>
      </w:r>
      <w:r>
        <w:rPr/>
        <w:t>Zhang,</w:t>
      </w:r>
      <w:r>
        <w:rPr>
          <w:spacing w:val="36"/>
        </w:rPr>
        <w:t> </w:t>
      </w:r>
      <w:r>
        <w:rPr/>
        <w:t>2011;</w:t>
      </w:r>
      <w:r>
        <w:rPr>
          <w:spacing w:val="37"/>
        </w:rPr>
        <w:t> </w:t>
      </w:r>
      <w:r>
        <w:rPr/>
        <w:t>Li</w:t>
      </w:r>
      <w:r>
        <w:rPr>
          <w:spacing w:val="37"/>
        </w:rPr>
        <w:t> </w:t>
      </w:r>
      <w:r>
        <w:rPr/>
        <w:t>vd.,</w:t>
      </w:r>
    </w:p>
    <w:p>
      <w:pPr>
        <w:spacing w:after="0" w:line="360" w:lineRule="auto"/>
        <w:sectPr>
          <w:pgSz w:w="12240" w:h="15840"/>
          <w:pgMar w:header="718" w:footer="0" w:top="1300" w:bottom="280" w:left="1720" w:right="820"/>
        </w:sectPr>
      </w:pPr>
    </w:p>
    <w:p>
      <w:pPr>
        <w:pStyle w:val="BodyText"/>
        <w:spacing w:line="360" w:lineRule="auto" w:before="100"/>
        <w:ind w:right="307"/>
      </w:pPr>
      <w:r>
        <w:rPr/>
        <w:t>2015) sonuçlarıyla örtüşmemektedir. Bu bulgunun muhtemel sebebi, Şekil 15’te görüldüğü gibi,</w:t>
      </w:r>
      <w:r>
        <w:rPr>
          <w:spacing w:val="-11"/>
        </w:rPr>
        <w:t> </w:t>
      </w:r>
      <w:r>
        <w:rPr/>
        <w:t>örneklemdeki</w:t>
      </w:r>
      <w:r>
        <w:rPr>
          <w:spacing w:val="-11"/>
        </w:rPr>
        <w:t> </w:t>
      </w:r>
      <w:r>
        <w:rPr/>
        <w:t>satıcıların</w:t>
      </w:r>
      <w:r>
        <w:rPr>
          <w:spacing w:val="-11"/>
        </w:rPr>
        <w:t> </w:t>
      </w:r>
      <w:r>
        <w:rPr/>
        <w:t>ilk</w:t>
      </w:r>
      <w:r>
        <w:rPr>
          <w:spacing w:val="-10"/>
        </w:rPr>
        <w:t> </w:t>
      </w:r>
      <w:r>
        <w:rPr/>
        <w:t>etapta</w:t>
      </w:r>
      <w:r>
        <w:rPr>
          <w:spacing w:val="-10"/>
        </w:rPr>
        <w:t> </w:t>
      </w:r>
      <w:r>
        <w:rPr/>
        <w:t>aldıkları</w:t>
      </w:r>
      <w:r>
        <w:rPr>
          <w:spacing w:val="-8"/>
        </w:rPr>
        <w:t> </w:t>
      </w:r>
      <w:r>
        <w:rPr/>
        <w:t>yorumların</w:t>
      </w:r>
      <w:r>
        <w:rPr>
          <w:spacing w:val="-10"/>
        </w:rPr>
        <w:t> </w:t>
      </w:r>
      <w:r>
        <w:rPr/>
        <w:t>oldukça</w:t>
      </w:r>
      <w:r>
        <w:rPr>
          <w:spacing w:val="-13"/>
        </w:rPr>
        <w:t> </w:t>
      </w:r>
      <w:r>
        <w:rPr/>
        <w:t>yüksek</w:t>
      </w:r>
      <w:r>
        <w:rPr>
          <w:spacing w:val="-9"/>
        </w:rPr>
        <w:t> </w:t>
      </w:r>
      <w:r>
        <w:rPr/>
        <w:t>olması,</w:t>
      </w:r>
      <w:r>
        <w:rPr>
          <w:spacing w:val="-10"/>
        </w:rPr>
        <w:t> </w:t>
      </w:r>
      <w:r>
        <w:rPr/>
        <w:t>zamanla bazı</w:t>
      </w:r>
      <w:r>
        <w:rPr>
          <w:spacing w:val="-12"/>
        </w:rPr>
        <w:t> </w:t>
      </w:r>
      <w:r>
        <w:rPr/>
        <w:t>satıcıların</w:t>
      </w:r>
      <w:r>
        <w:rPr>
          <w:spacing w:val="-11"/>
        </w:rPr>
        <w:t> </w:t>
      </w:r>
      <w:r>
        <w:rPr/>
        <w:t>ortalama</w:t>
      </w:r>
      <w:r>
        <w:rPr>
          <w:spacing w:val="-12"/>
        </w:rPr>
        <w:t> </w:t>
      </w:r>
      <w:r>
        <w:rPr/>
        <w:t>puanının</w:t>
      </w:r>
      <w:r>
        <w:rPr>
          <w:spacing w:val="-10"/>
        </w:rPr>
        <w:t> </w:t>
      </w:r>
      <w:r>
        <w:rPr/>
        <w:t>çok</w:t>
      </w:r>
      <w:r>
        <w:rPr>
          <w:spacing w:val="-11"/>
        </w:rPr>
        <w:t> </w:t>
      </w:r>
      <w:r>
        <w:rPr/>
        <w:t>fazla</w:t>
      </w:r>
      <w:r>
        <w:rPr>
          <w:spacing w:val="-11"/>
        </w:rPr>
        <w:t> </w:t>
      </w:r>
      <w:r>
        <w:rPr/>
        <w:t>değişmemesi</w:t>
      </w:r>
      <w:r>
        <w:rPr>
          <w:spacing w:val="-11"/>
        </w:rPr>
        <w:t> </w:t>
      </w:r>
      <w:r>
        <w:rPr/>
        <w:t>ve</w:t>
      </w:r>
      <w:r>
        <w:rPr>
          <w:spacing w:val="-12"/>
        </w:rPr>
        <w:t> </w:t>
      </w:r>
      <w:r>
        <w:rPr/>
        <w:t>bazılarının</w:t>
      </w:r>
      <w:r>
        <w:rPr>
          <w:spacing w:val="-11"/>
        </w:rPr>
        <w:t> </w:t>
      </w:r>
      <w:r>
        <w:rPr/>
        <w:t>ortalama</w:t>
      </w:r>
      <w:r>
        <w:rPr>
          <w:spacing w:val="-12"/>
        </w:rPr>
        <w:t> </w:t>
      </w:r>
      <w:r>
        <w:rPr/>
        <w:t>puanının</w:t>
      </w:r>
      <w:r>
        <w:rPr>
          <w:spacing w:val="-11"/>
        </w:rPr>
        <w:t> </w:t>
      </w:r>
      <w:r>
        <w:rPr/>
        <w:t>ise düşüş</w:t>
      </w:r>
      <w:r>
        <w:rPr>
          <w:spacing w:val="-1"/>
        </w:rPr>
        <w:t> </w:t>
      </w:r>
      <w:r>
        <w:rPr/>
        <w:t>göstermesidir.</w:t>
      </w:r>
    </w:p>
    <w:p>
      <w:pPr>
        <w:pStyle w:val="BodyText"/>
        <w:spacing w:line="360" w:lineRule="auto" w:before="1"/>
        <w:ind w:right="310" w:firstLine="708"/>
      </w:pPr>
      <w:r>
        <w:rPr/>
        <w:t>Tablo 17’de sunulan sonuçlara göre olumlu yorumlar ile satışlar arasındaki ilişki pozitiftir. Bu bulgu, olumlu yorumların satışları artırdığı varsayımını (Moen vd., 2017) doğrulamakta</w:t>
      </w:r>
      <w:r>
        <w:rPr>
          <w:spacing w:val="-13"/>
        </w:rPr>
        <w:t> </w:t>
      </w:r>
      <w:r>
        <w:rPr/>
        <w:t>ve</w:t>
      </w:r>
      <w:r>
        <w:rPr>
          <w:spacing w:val="-11"/>
        </w:rPr>
        <w:t> </w:t>
      </w:r>
      <w:r>
        <w:rPr/>
        <w:t>olumlu</w:t>
      </w:r>
      <w:r>
        <w:rPr>
          <w:spacing w:val="-12"/>
        </w:rPr>
        <w:t> </w:t>
      </w:r>
      <w:r>
        <w:rPr/>
        <w:t>yorumlar</w:t>
      </w:r>
      <w:r>
        <w:rPr>
          <w:spacing w:val="-14"/>
        </w:rPr>
        <w:t> </w:t>
      </w:r>
      <w:r>
        <w:rPr/>
        <w:t>ile</w:t>
      </w:r>
      <w:r>
        <w:rPr>
          <w:spacing w:val="-12"/>
        </w:rPr>
        <w:t> </w:t>
      </w:r>
      <w:r>
        <w:rPr/>
        <w:t>satışlar</w:t>
      </w:r>
      <w:r>
        <w:rPr>
          <w:spacing w:val="-11"/>
        </w:rPr>
        <w:t> </w:t>
      </w:r>
      <w:r>
        <w:rPr/>
        <w:t>arasında</w:t>
      </w:r>
      <w:r>
        <w:rPr>
          <w:spacing w:val="-12"/>
        </w:rPr>
        <w:t> </w:t>
      </w:r>
      <w:r>
        <w:rPr/>
        <w:t>pozitif</w:t>
      </w:r>
      <w:r>
        <w:rPr>
          <w:spacing w:val="-12"/>
        </w:rPr>
        <w:t> </w:t>
      </w:r>
      <w:r>
        <w:rPr/>
        <w:t>ilişki</w:t>
      </w:r>
      <w:r>
        <w:rPr>
          <w:spacing w:val="-11"/>
        </w:rPr>
        <w:t> </w:t>
      </w:r>
      <w:r>
        <w:rPr/>
        <w:t>bulan</w:t>
      </w:r>
      <w:r>
        <w:rPr>
          <w:spacing w:val="-8"/>
        </w:rPr>
        <w:t> </w:t>
      </w:r>
      <w:r>
        <w:rPr/>
        <w:t>benzer</w:t>
      </w:r>
      <w:r>
        <w:rPr>
          <w:spacing w:val="-9"/>
        </w:rPr>
        <w:t> </w:t>
      </w:r>
      <w:r>
        <w:rPr/>
        <w:t>çalışmaların (örn. Ye vd., 2009; Li vd., 2015) sonuçları ile</w:t>
      </w:r>
      <w:r>
        <w:rPr>
          <w:spacing w:val="-4"/>
        </w:rPr>
        <w:t> </w:t>
      </w:r>
      <w:r>
        <w:rPr/>
        <w:t>örtüşmektedir.</w:t>
      </w:r>
    </w:p>
    <w:p>
      <w:pPr>
        <w:pStyle w:val="BodyText"/>
        <w:spacing w:line="360" w:lineRule="auto"/>
        <w:ind w:right="309" w:firstLine="708"/>
      </w:pPr>
      <w:r>
        <w:rPr/>
        <w:t>Olumsuz yorumların satışlara olumsuz etki edeceği ve artan olumsuz yorumların satışları</w:t>
      </w:r>
      <w:r>
        <w:rPr>
          <w:spacing w:val="-11"/>
        </w:rPr>
        <w:t> </w:t>
      </w:r>
      <w:r>
        <w:rPr/>
        <w:t>azaltacağı</w:t>
      </w:r>
      <w:r>
        <w:rPr>
          <w:spacing w:val="-10"/>
        </w:rPr>
        <w:t> </w:t>
      </w:r>
      <w:r>
        <w:rPr/>
        <w:t>varsayılmıştır</w:t>
      </w:r>
      <w:r>
        <w:rPr>
          <w:spacing w:val="-8"/>
        </w:rPr>
        <w:t> </w:t>
      </w:r>
      <w:r>
        <w:rPr/>
        <w:t>(Cabral</w:t>
      </w:r>
      <w:r>
        <w:rPr>
          <w:spacing w:val="-10"/>
        </w:rPr>
        <w:t> </w:t>
      </w:r>
      <w:r>
        <w:rPr/>
        <w:t>ve</w:t>
      </w:r>
      <w:r>
        <w:rPr>
          <w:spacing w:val="-12"/>
        </w:rPr>
        <w:t> </w:t>
      </w:r>
      <w:r>
        <w:rPr/>
        <w:t>Hortaçsu,</w:t>
      </w:r>
      <w:r>
        <w:rPr>
          <w:spacing w:val="-11"/>
        </w:rPr>
        <w:t> </w:t>
      </w:r>
      <w:r>
        <w:rPr/>
        <w:t>2010).</w:t>
      </w:r>
      <w:r>
        <w:rPr>
          <w:spacing w:val="-11"/>
        </w:rPr>
        <w:t> </w:t>
      </w:r>
      <w:r>
        <w:rPr/>
        <w:t>Ancak,</w:t>
      </w:r>
      <w:r>
        <w:rPr>
          <w:spacing w:val="-8"/>
        </w:rPr>
        <w:t> </w:t>
      </w:r>
      <w:r>
        <w:rPr/>
        <w:t>analiz</w:t>
      </w:r>
      <w:r>
        <w:rPr>
          <w:spacing w:val="-9"/>
        </w:rPr>
        <w:t> </w:t>
      </w:r>
      <w:r>
        <w:rPr/>
        <w:t>sonuçlarına</w:t>
      </w:r>
      <w:r>
        <w:rPr>
          <w:spacing w:val="-11"/>
        </w:rPr>
        <w:t> </w:t>
      </w:r>
      <w:r>
        <w:rPr/>
        <w:t>göre olumsuz yorumlar ile satışlar arasında pozitif ilişki bulunmaktadır (bk. Tablo 17). Bu bulgu önceki çalışmaların (Wei’an vd., 2008; Ye vd., 2009; Zhang ve Zhang, 2011) sonuçlarıyla örtüşmemektedir. Bu ilginç bulgunun muhtemel sebebinin satıcıların büyük oranda olumlu yorum almaları ve olumsuz yorumların olumlu yorumlar arasında gözden kaçması veya kayda değer bulunmaması olabileceği</w:t>
      </w:r>
      <w:r>
        <w:rPr>
          <w:spacing w:val="-2"/>
        </w:rPr>
        <w:t> </w:t>
      </w:r>
      <w:r>
        <w:rPr/>
        <w:t>düşünülmektedir.</w:t>
      </w:r>
    </w:p>
    <w:p>
      <w:pPr>
        <w:pStyle w:val="BodyText"/>
        <w:spacing w:line="360" w:lineRule="auto"/>
        <w:ind w:right="309" w:firstLine="708"/>
      </w:pPr>
      <w:r>
        <w:rPr/>
        <w:t>Nötr yorumların da olumlu ve olumsuz yorumlar gibi satışlar üzerinde etkili olduğu varsayımı, ilgili katsayının pozitif ve istatistiksel olarak anlamlı bulunmasıyla desteklenmiştir (bk. Tablo 17). Bu bulgu, iki uç noktada bulunan olumlu ve olumsuz yorumlar</w:t>
      </w:r>
      <w:r>
        <w:rPr>
          <w:spacing w:val="-8"/>
        </w:rPr>
        <w:t> </w:t>
      </w:r>
      <w:r>
        <w:rPr/>
        <w:t>gibi</w:t>
      </w:r>
      <w:r>
        <w:rPr>
          <w:spacing w:val="-5"/>
        </w:rPr>
        <w:t> </w:t>
      </w:r>
      <w:r>
        <w:rPr/>
        <w:t>orta</w:t>
      </w:r>
      <w:r>
        <w:rPr>
          <w:spacing w:val="-6"/>
        </w:rPr>
        <w:t> </w:t>
      </w:r>
      <w:r>
        <w:rPr/>
        <w:t>noktada</w:t>
      </w:r>
      <w:r>
        <w:rPr>
          <w:spacing w:val="-7"/>
        </w:rPr>
        <w:t> </w:t>
      </w:r>
      <w:r>
        <w:rPr/>
        <w:t>bulunan</w:t>
      </w:r>
      <w:r>
        <w:rPr>
          <w:spacing w:val="-5"/>
        </w:rPr>
        <w:t> </w:t>
      </w:r>
      <w:r>
        <w:rPr/>
        <w:t>nötr</w:t>
      </w:r>
      <w:r>
        <w:rPr>
          <w:spacing w:val="-7"/>
        </w:rPr>
        <w:t> </w:t>
      </w:r>
      <w:r>
        <w:rPr/>
        <w:t>yorumların</w:t>
      </w:r>
      <w:r>
        <w:rPr>
          <w:spacing w:val="-6"/>
        </w:rPr>
        <w:t> </w:t>
      </w:r>
      <w:r>
        <w:rPr/>
        <w:t>da</w:t>
      </w:r>
      <w:r>
        <w:rPr>
          <w:spacing w:val="-7"/>
        </w:rPr>
        <w:t> </w:t>
      </w:r>
      <w:r>
        <w:rPr/>
        <w:t>satışları</w:t>
      </w:r>
      <w:r>
        <w:rPr>
          <w:spacing w:val="-6"/>
        </w:rPr>
        <w:t> </w:t>
      </w:r>
      <w:r>
        <w:rPr/>
        <w:t>etkileyen</w:t>
      </w:r>
      <w:r>
        <w:rPr>
          <w:spacing w:val="-3"/>
        </w:rPr>
        <w:t> </w:t>
      </w:r>
      <w:r>
        <w:rPr/>
        <w:t>bir</w:t>
      </w:r>
      <w:r>
        <w:rPr>
          <w:spacing w:val="-7"/>
        </w:rPr>
        <w:t> </w:t>
      </w:r>
      <w:r>
        <w:rPr/>
        <w:t>unsur</w:t>
      </w:r>
      <w:r>
        <w:rPr>
          <w:spacing w:val="-3"/>
        </w:rPr>
        <w:t> </w:t>
      </w:r>
      <w:r>
        <w:rPr/>
        <w:t>olduğunu göstermektedir.</w:t>
      </w:r>
    </w:p>
    <w:p>
      <w:pPr>
        <w:pStyle w:val="Heading1"/>
        <w:numPr>
          <w:ilvl w:val="2"/>
          <w:numId w:val="3"/>
        </w:numPr>
        <w:tabs>
          <w:tab w:pos="1857" w:val="left" w:leader="none"/>
        </w:tabs>
        <w:spacing w:line="240" w:lineRule="auto" w:before="1" w:after="0"/>
        <w:ind w:left="1856" w:right="0" w:hanging="601"/>
        <w:jc w:val="both"/>
      </w:pPr>
      <w:r>
        <w:rPr/>
        <w:t>Teorik Çıkarımlar</w:t>
      </w:r>
    </w:p>
    <w:p>
      <w:pPr>
        <w:pStyle w:val="BodyText"/>
        <w:spacing w:line="360" w:lineRule="auto" w:before="137"/>
        <w:ind w:right="309" w:firstLine="708"/>
      </w:pPr>
      <w:r>
        <w:rPr/>
        <w:t>Literatürde yorum-satış ilişkisi çokça ele alınmasına karşın, yapılan çalışmalar ürün yorumlarına odaklanmıştır. Satıcılara yapılan yorumların satışlarla ilişkisi araştırmacıların ilgisini çekmemiş, bu konuda oldukça az sayıda araştırma yapılmıştır. Bu bağlamda, satıcılara</w:t>
      </w:r>
      <w:r>
        <w:rPr>
          <w:spacing w:val="-8"/>
        </w:rPr>
        <w:t> </w:t>
      </w:r>
      <w:r>
        <w:rPr/>
        <w:t>yapılan</w:t>
      </w:r>
      <w:r>
        <w:rPr>
          <w:spacing w:val="-4"/>
        </w:rPr>
        <w:t> </w:t>
      </w:r>
      <w:r>
        <w:rPr/>
        <w:t>yorumlarla</w:t>
      </w:r>
      <w:r>
        <w:rPr>
          <w:spacing w:val="-6"/>
        </w:rPr>
        <w:t> </w:t>
      </w:r>
      <w:r>
        <w:rPr/>
        <w:t>satışlar</w:t>
      </w:r>
      <w:r>
        <w:rPr>
          <w:spacing w:val="-5"/>
        </w:rPr>
        <w:t> </w:t>
      </w:r>
      <w:r>
        <w:rPr/>
        <w:t>arasındaki</w:t>
      </w:r>
      <w:r>
        <w:rPr>
          <w:spacing w:val="-5"/>
        </w:rPr>
        <w:t> </w:t>
      </w:r>
      <w:r>
        <w:rPr/>
        <w:t>ilişkiyi</w:t>
      </w:r>
      <w:r>
        <w:rPr>
          <w:spacing w:val="-2"/>
        </w:rPr>
        <w:t> </w:t>
      </w:r>
      <w:r>
        <w:rPr/>
        <w:t>incelemeyi</w:t>
      </w:r>
      <w:r>
        <w:rPr>
          <w:spacing w:val="-5"/>
        </w:rPr>
        <w:t> </w:t>
      </w:r>
      <w:r>
        <w:rPr/>
        <w:t>amaçlayan</w:t>
      </w:r>
      <w:r>
        <w:rPr>
          <w:spacing w:val="-6"/>
        </w:rPr>
        <w:t> </w:t>
      </w:r>
      <w:r>
        <w:rPr/>
        <w:t>bu</w:t>
      </w:r>
      <w:r>
        <w:rPr>
          <w:spacing w:val="-6"/>
        </w:rPr>
        <w:t> </w:t>
      </w:r>
      <w:r>
        <w:rPr/>
        <w:t>çalışmanın bulguları elektronik ağızdan ağıza iletişim literatürü açısından önemli</w:t>
      </w:r>
      <w:r>
        <w:rPr>
          <w:spacing w:val="-5"/>
        </w:rPr>
        <w:t> </w:t>
      </w:r>
      <w:r>
        <w:rPr/>
        <w:t>görülmektedir.</w:t>
      </w:r>
    </w:p>
    <w:p>
      <w:pPr>
        <w:pStyle w:val="BodyText"/>
        <w:spacing w:line="360" w:lineRule="auto"/>
        <w:ind w:right="309" w:firstLine="708"/>
      </w:pPr>
      <w:r>
        <w:rPr/>
        <w:t>Toplam yorum sayısı, olumlu yorumlar ve nötr yorumlar ile satışlar arasında pozitif ilişki tespit edilmiştir. Önceki benzer çalışmaların (örn. Wei’an vd., 2008; Ye vd., 2009; Zhang</w:t>
      </w:r>
      <w:r>
        <w:rPr>
          <w:spacing w:val="-9"/>
        </w:rPr>
        <w:t> </w:t>
      </w:r>
      <w:r>
        <w:rPr/>
        <w:t>ve</w:t>
      </w:r>
      <w:r>
        <w:rPr>
          <w:spacing w:val="-6"/>
        </w:rPr>
        <w:t> </w:t>
      </w:r>
      <w:r>
        <w:rPr/>
        <w:t>Zhang,</w:t>
      </w:r>
      <w:r>
        <w:rPr>
          <w:spacing w:val="-6"/>
        </w:rPr>
        <w:t> </w:t>
      </w:r>
      <w:r>
        <w:rPr/>
        <w:t>2011;</w:t>
      </w:r>
      <w:r>
        <w:rPr>
          <w:spacing w:val="-7"/>
        </w:rPr>
        <w:t> </w:t>
      </w:r>
      <w:r>
        <w:rPr/>
        <w:t>Ye</w:t>
      </w:r>
      <w:r>
        <w:rPr>
          <w:spacing w:val="-9"/>
        </w:rPr>
        <w:t> </w:t>
      </w:r>
      <w:r>
        <w:rPr/>
        <w:t>vd.,</w:t>
      </w:r>
      <w:r>
        <w:rPr>
          <w:spacing w:val="-8"/>
        </w:rPr>
        <w:t> </w:t>
      </w:r>
      <w:r>
        <w:rPr/>
        <w:t>2013;</w:t>
      </w:r>
      <w:r>
        <w:rPr>
          <w:spacing w:val="-6"/>
        </w:rPr>
        <w:t> </w:t>
      </w:r>
      <w:r>
        <w:rPr/>
        <w:t>Li</w:t>
      </w:r>
      <w:r>
        <w:rPr>
          <w:spacing w:val="-7"/>
        </w:rPr>
        <w:t> </w:t>
      </w:r>
      <w:r>
        <w:rPr/>
        <w:t>vd.,</w:t>
      </w:r>
      <w:r>
        <w:rPr>
          <w:spacing w:val="-8"/>
        </w:rPr>
        <w:t> </w:t>
      </w:r>
      <w:r>
        <w:rPr/>
        <w:t>2015)</w:t>
      </w:r>
      <w:r>
        <w:rPr>
          <w:spacing w:val="-4"/>
        </w:rPr>
        <w:t> </w:t>
      </w:r>
      <w:r>
        <w:rPr/>
        <w:t>sadece</w:t>
      </w:r>
      <w:r>
        <w:rPr>
          <w:spacing w:val="-9"/>
        </w:rPr>
        <w:t> </w:t>
      </w:r>
      <w:r>
        <w:rPr/>
        <w:t>değerlik</w:t>
      </w:r>
      <w:r>
        <w:rPr>
          <w:spacing w:val="-5"/>
        </w:rPr>
        <w:t> </w:t>
      </w:r>
      <w:r>
        <w:rPr/>
        <w:t>özelliklerine</w:t>
      </w:r>
      <w:r>
        <w:rPr>
          <w:spacing w:val="-9"/>
        </w:rPr>
        <w:t> </w:t>
      </w:r>
      <w:r>
        <w:rPr/>
        <w:t>odaklandığı göz önüne alındığında, toplam yorum sayısı ile satışlar arasındaki ilişkiye dair bulgu çalışmanın en önemli</w:t>
      </w:r>
      <w:r>
        <w:rPr>
          <w:spacing w:val="-2"/>
        </w:rPr>
        <w:t> </w:t>
      </w:r>
      <w:r>
        <w:rPr/>
        <w:t>bulgusudur.</w:t>
      </w:r>
    </w:p>
    <w:p>
      <w:pPr>
        <w:spacing w:after="0" w:line="360" w:lineRule="auto"/>
        <w:sectPr>
          <w:pgSz w:w="12240" w:h="15840"/>
          <w:pgMar w:header="718" w:footer="0" w:top="1300" w:bottom="280" w:left="1720" w:right="820"/>
        </w:sectPr>
      </w:pPr>
    </w:p>
    <w:p>
      <w:pPr>
        <w:pStyle w:val="BodyText"/>
        <w:spacing w:line="360" w:lineRule="auto" w:before="100"/>
        <w:ind w:right="311" w:firstLine="708"/>
      </w:pPr>
      <w:r>
        <w:rPr/>
        <w:t>Çalışmanın bulguları içerisinde dikkat çekici olanları, ortalama yorum puanı ve olumsuz yorumlara ait bulgulardır. Ortalama yorum puanı ile satışlar arasında negatif, olumsuz yorumlar ile satışlar arasında pozitif ilişki bulunması elektronik ağızdan ağıza iletişim literatürü açısından ilginç bulgulardır.</w:t>
      </w:r>
    </w:p>
    <w:p>
      <w:pPr>
        <w:pStyle w:val="BodyText"/>
        <w:spacing w:line="360" w:lineRule="auto" w:before="1"/>
        <w:ind w:right="309" w:firstLine="708"/>
      </w:pPr>
      <w:r>
        <w:rPr/>
        <w:t>Verinin</w:t>
      </w:r>
      <w:r>
        <w:rPr>
          <w:spacing w:val="-13"/>
        </w:rPr>
        <w:t> </w:t>
      </w:r>
      <w:r>
        <w:rPr/>
        <w:t>dinamik</w:t>
      </w:r>
      <w:r>
        <w:rPr>
          <w:spacing w:val="-12"/>
        </w:rPr>
        <w:t> </w:t>
      </w:r>
      <w:r>
        <w:rPr/>
        <w:t>panel</w:t>
      </w:r>
      <w:r>
        <w:rPr>
          <w:spacing w:val="-12"/>
        </w:rPr>
        <w:t> </w:t>
      </w:r>
      <w:r>
        <w:rPr/>
        <w:t>veri</w:t>
      </w:r>
      <w:r>
        <w:rPr>
          <w:spacing w:val="-14"/>
        </w:rPr>
        <w:t> </w:t>
      </w:r>
      <w:r>
        <w:rPr/>
        <w:t>olarak</w:t>
      </w:r>
      <w:r>
        <w:rPr>
          <w:spacing w:val="-10"/>
        </w:rPr>
        <w:t> </w:t>
      </w:r>
      <w:r>
        <w:rPr/>
        <w:t>ele</w:t>
      </w:r>
      <w:r>
        <w:rPr>
          <w:spacing w:val="-11"/>
        </w:rPr>
        <w:t> </w:t>
      </w:r>
      <w:r>
        <w:rPr/>
        <w:t>alınması</w:t>
      </w:r>
      <w:r>
        <w:rPr>
          <w:spacing w:val="-13"/>
        </w:rPr>
        <w:t> </w:t>
      </w:r>
      <w:r>
        <w:rPr/>
        <w:t>ve</w:t>
      </w:r>
      <w:r>
        <w:rPr>
          <w:spacing w:val="-13"/>
        </w:rPr>
        <w:t> </w:t>
      </w:r>
      <w:r>
        <w:rPr/>
        <w:t>genelleştirilmiş</w:t>
      </w:r>
      <w:r>
        <w:rPr>
          <w:spacing w:val="-12"/>
        </w:rPr>
        <w:t> </w:t>
      </w:r>
      <w:r>
        <w:rPr/>
        <w:t>momentler</w:t>
      </w:r>
      <w:r>
        <w:rPr>
          <w:spacing w:val="-13"/>
        </w:rPr>
        <w:t> </w:t>
      </w:r>
      <w:r>
        <w:rPr/>
        <w:t>yöntemi ile analiz edilmesi neticesinde, bağımlı değişkenin gecikmelilerinin bağımlı değişken üzerindeki etkileri analiz edilmiştir. Sonuçlara göre, geçmiş dönem satışları mevcut dönem satışları üzerinde önemli bir etkiye sahiptir ve bu etki zaman geçtikçe azalmaktadır. Bir önceki döneme ait satışların, mevcut dönem satışlarını yorum özelliklerinden daha fazla etkileyen önemli bir faktör olması çalışmanın önemli</w:t>
      </w:r>
      <w:r>
        <w:rPr>
          <w:spacing w:val="-5"/>
        </w:rPr>
        <w:t> </w:t>
      </w:r>
      <w:r>
        <w:rPr/>
        <w:t>bulgularındandır.</w:t>
      </w:r>
    </w:p>
    <w:p>
      <w:pPr>
        <w:pStyle w:val="Heading1"/>
        <w:numPr>
          <w:ilvl w:val="2"/>
          <w:numId w:val="3"/>
        </w:numPr>
        <w:tabs>
          <w:tab w:pos="1857" w:val="left" w:leader="none"/>
        </w:tabs>
        <w:spacing w:line="240" w:lineRule="auto" w:before="159" w:after="0"/>
        <w:ind w:left="1856" w:right="0" w:hanging="601"/>
        <w:jc w:val="both"/>
      </w:pPr>
      <w:r>
        <w:rPr/>
        <w:t>Yönetimsel Çıkarımlar</w:t>
      </w:r>
    </w:p>
    <w:p>
      <w:pPr>
        <w:pStyle w:val="BodyText"/>
        <w:spacing w:line="360" w:lineRule="auto" w:before="139"/>
        <w:ind w:right="308" w:firstLine="708"/>
        <w:jc w:val="right"/>
      </w:pPr>
      <w:r>
        <w:rPr/>
        <w:t>Bu çalışmanın literatüre sunduğu önemli bulgular ışığında online</w:t>
      </w:r>
      <w:r>
        <w:rPr>
          <w:spacing w:val="17"/>
        </w:rPr>
        <w:t> </w:t>
      </w:r>
      <w:r>
        <w:rPr/>
        <w:t>pazar</w:t>
      </w:r>
      <w:r>
        <w:rPr>
          <w:spacing w:val="16"/>
        </w:rPr>
        <w:t> </w:t>
      </w:r>
      <w:r>
        <w:rPr/>
        <w:t>alanlarında faaliyet gösteren satıcılara yönelik yönetimsel çıkarımlarda</w:t>
      </w:r>
      <w:r>
        <w:rPr>
          <w:spacing w:val="42"/>
        </w:rPr>
        <w:t> </w:t>
      </w:r>
      <w:r>
        <w:rPr/>
        <w:t>bulunmak</w:t>
      </w:r>
      <w:r>
        <w:rPr>
          <w:spacing w:val="58"/>
        </w:rPr>
        <w:t> </w:t>
      </w:r>
      <w:r>
        <w:rPr/>
        <w:t>mümkündür. Öncelikle, analiz sonuçlarına bakıldığında en büyük katsayının bağımlı</w:t>
      </w:r>
      <w:r>
        <w:rPr>
          <w:spacing w:val="12"/>
        </w:rPr>
        <w:t> </w:t>
      </w:r>
      <w:r>
        <w:rPr/>
        <w:t>değişkenin</w:t>
      </w:r>
      <w:r>
        <w:rPr>
          <w:spacing w:val="2"/>
        </w:rPr>
        <w:t> </w:t>
      </w:r>
      <w:r>
        <w:rPr/>
        <w:t>bir gecikmelisine</w:t>
      </w:r>
      <w:r>
        <w:rPr>
          <w:spacing w:val="9"/>
        </w:rPr>
        <w:t> </w:t>
      </w:r>
      <w:r>
        <w:rPr/>
        <w:t>ait</w:t>
      </w:r>
      <w:r>
        <w:rPr>
          <w:spacing w:val="10"/>
        </w:rPr>
        <w:t> </w:t>
      </w:r>
      <w:r>
        <w:rPr/>
        <w:t>olduğu</w:t>
      </w:r>
      <w:r>
        <w:rPr>
          <w:spacing w:val="10"/>
        </w:rPr>
        <w:t> </w:t>
      </w:r>
      <w:r>
        <w:rPr/>
        <w:t>görülmektedir.</w:t>
      </w:r>
      <w:r>
        <w:rPr>
          <w:spacing w:val="10"/>
        </w:rPr>
        <w:t> </w:t>
      </w:r>
      <w:r>
        <w:rPr/>
        <w:t>Bu</w:t>
      </w:r>
      <w:r>
        <w:rPr>
          <w:spacing w:val="9"/>
        </w:rPr>
        <w:t> </w:t>
      </w:r>
      <w:r>
        <w:rPr/>
        <w:t>sonuç,</w:t>
      </w:r>
      <w:r>
        <w:rPr>
          <w:spacing w:val="9"/>
        </w:rPr>
        <w:t> </w:t>
      </w:r>
      <w:r>
        <w:rPr/>
        <w:t>bir</w:t>
      </w:r>
      <w:r>
        <w:rPr>
          <w:spacing w:val="10"/>
        </w:rPr>
        <w:t> </w:t>
      </w:r>
      <w:r>
        <w:rPr/>
        <w:t>önceki</w:t>
      </w:r>
      <w:r>
        <w:rPr>
          <w:spacing w:val="10"/>
        </w:rPr>
        <w:t> </w:t>
      </w:r>
      <w:r>
        <w:rPr/>
        <w:t>dönem</w:t>
      </w:r>
      <w:r>
        <w:rPr>
          <w:spacing w:val="10"/>
        </w:rPr>
        <w:t> </w:t>
      </w:r>
      <w:r>
        <w:rPr/>
        <w:t>gerçekleşen</w:t>
      </w:r>
      <w:r>
        <w:rPr>
          <w:spacing w:val="10"/>
        </w:rPr>
        <w:t> </w:t>
      </w:r>
      <w:r>
        <w:rPr/>
        <w:t>satışların mevcut</w:t>
      </w:r>
      <w:r>
        <w:rPr>
          <w:spacing w:val="34"/>
        </w:rPr>
        <w:t> </w:t>
      </w:r>
      <w:r>
        <w:rPr/>
        <w:t>dönemdeki</w:t>
      </w:r>
      <w:r>
        <w:rPr>
          <w:spacing w:val="34"/>
        </w:rPr>
        <w:t> </w:t>
      </w:r>
      <w:r>
        <w:rPr/>
        <w:t>satışları</w:t>
      </w:r>
      <w:r>
        <w:rPr>
          <w:spacing w:val="35"/>
        </w:rPr>
        <w:t> </w:t>
      </w:r>
      <w:r>
        <w:rPr/>
        <w:t>etkilediğine</w:t>
      </w:r>
      <w:r>
        <w:rPr>
          <w:spacing w:val="34"/>
        </w:rPr>
        <w:t> </w:t>
      </w:r>
      <w:r>
        <w:rPr/>
        <w:t>işaret</w:t>
      </w:r>
      <w:r>
        <w:rPr>
          <w:spacing w:val="35"/>
        </w:rPr>
        <w:t> </w:t>
      </w:r>
      <w:r>
        <w:rPr/>
        <w:t>etmektedir.</w:t>
      </w:r>
      <w:r>
        <w:rPr>
          <w:spacing w:val="33"/>
        </w:rPr>
        <w:t> </w:t>
      </w:r>
      <w:r>
        <w:rPr/>
        <w:t>Bu</w:t>
      </w:r>
      <w:r>
        <w:rPr>
          <w:spacing w:val="34"/>
        </w:rPr>
        <w:t> </w:t>
      </w:r>
      <w:r>
        <w:rPr/>
        <w:t>bulgudan</w:t>
      </w:r>
      <w:r>
        <w:rPr>
          <w:spacing w:val="34"/>
        </w:rPr>
        <w:t> </w:t>
      </w:r>
      <w:r>
        <w:rPr/>
        <w:t>yola</w:t>
      </w:r>
      <w:r>
        <w:rPr>
          <w:spacing w:val="34"/>
        </w:rPr>
        <w:t> </w:t>
      </w:r>
      <w:r>
        <w:rPr/>
        <w:t>çıkarak,</w:t>
      </w:r>
      <w:r>
        <w:rPr>
          <w:spacing w:val="37"/>
        </w:rPr>
        <w:t> </w:t>
      </w:r>
      <w:r>
        <w:rPr/>
        <w:t>bir satıcı mevcut haftada ne kadar çok satış yaparsa sonraki haftada da o kadar çok</w:t>
      </w:r>
      <w:r>
        <w:rPr>
          <w:spacing w:val="26"/>
        </w:rPr>
        <w:t> </w:t>
      </w:r>
      <w:r>
        <w:rPr/>
        <w:t>satış</w:t>
      </w:r>
      <w:r>
        <w:rPr>
          <w:spacing w:val="1"/>
        </w:rPr>
        <w:t> </w:t>
      </w:r>
      <w:r>
        <w:rPr/>
        <w:t>yapma ihtimaline</w:t>
      </w:r>
      <w:r>
        <w:rPr>
          <w:spacing w:val="25"/>
        </w:rPr>
        <w:t> </w:t>
      </w:r>
      <w:r>
        <w:rPr/>
        <w:t>sahiptir.</w:t>
      </w:r>
      <w:r>
        <w:rPr>
          <w:spacing w:val="26"/>
        </w:rPr>
        <w:t> </w:t>
      </w:r>
      <w:r>
        <w:rPr/>
        <w:t>Bu</w:t>
      </w:r>
      <w:r>
        <w:rPr>
          <w:spacing w:val="26"/>
        </w:rPr>
        <w:t> </w:t>
      </w:r>
      <w:r>
        <w:rPr/>
        <w:t>durum</w:t>
      </w:r>
      <w:r>
        <w:rPr>
          <w:spacing w:val="26"/>
        </w:rPr>
        <w:t> </w:t>
      </w:r>
      <w:r>
        <w:rPr/>
        <w:t>yüksek</w:t>
      </w:r>
      <w:r>
        <w:rPr>
          <w:spacing w:val="26"/>
        </w:rPr>
        <w:t> </w:t>
      </w:r>
      <w:r>
        <w:rPr/>
        <w:t>satış</w:t>
      </w:r>
      <w:r>
        <w:rPr>
          <w:spacing w:val="27"/>
        </w:rPr>
        <w:t> </w:t>
      </w:r>
      <w:r>
        <w:rPr/>
        <w:t>rakamlarına</w:t>
      </w:r>
      <w:r>
        <w:rPr>
          <w:spacing w:val="25"/>
        </w:rPr>
        <w:t> </w:t>
      </w:r>
      <w:r>
        <w:rPr/>
        <w:t>ulaşmış</w:t>
      </w:r>
      <w:r>
        <w:rPr>
          <w:spacing w:val="26"/>
        </w:rPr>
        <w:t> </w:t>
      </w:r>
      <w:r>
        <w:rPr/>
        <w:t>tecrübeli</w:t>
      </w:r>
      <w:r>
        <w:rPr>
          <w:spacing w:val="27"/>
        </w:rPr>
        <w:t> </w:t>
      </w:r>
      <w:r>
        <w:rPr/>
        <w:t>satıcılar</w:t>
      </w:r>
      <w:r>
        <w:rPr>
          <w:spacing w:val="25"/>
        </w:rPr>
        <w:t> </w:t>
      </w:r>
      <w:r>
        <w:rPr/>
        <w:t>için</w:t>
      </w:r>
      <w:r>
        <w:rPr>
          <w:spacing w:val="26"/>
        </w:rPr>
        <w:t> </w:t>
      </w:r>
      <w:r>
        <w:rPr/>
        <w:t>bir kaldıraç</w:t>
      </w:r>
      <w:r>
        <w:rPr>
          <w:spacing w:val="46"/>
        </w:rPr>
        <w:t> </w:t>
      </w:r>
      <w:r>
        <w:rPr/>
        <w:t>etkisi</w:t>
      </w:r>
      <w:r>
        <w:rPr>
          <w:spacing w:val="48"/>
        </w:rPr>
        <w:t> </w:t>
      </w:r>
      <w:r>
        <w:rPr/>
        <w:t>oluşturmaktadır.</w:t>
      </w:r>
      <w:r>
        <w:rPr>
          <w:spacing w:val="48"/>
        </w:rPr>
        <w:t> </w:t>
      </w:r>
      <w:r>
        <w:rPr/>
        <w:t>Ancak,</w:t>
      </w:r>
      <w:r>
        <w:rPr>
          <w:spacing w:val="47"/>
        </w:rPr>
        <w:t> </w:t>
      </w:r>
      <w:r>
        <w:rPr/>
        <w:t>çok</w:t>
      </w:r>
      <w:r>
        <w:rPr>
          <w:spacing w:val="48"/>
        </w:rPr>
        <w:t> </w:t>
      </w:r>
      <w:r>
        <w:rPr/>
        <w:t>az</w:t>
      </w:r>
      <w:r>
        <w:rPr>
          <w:spacing w:val="49"/>
        </w:rPr>
        <w:t> </w:t>
      </w:r>
      <w:r>
        <w:rPr/>
        <w:t>satış</w:t>
      </w:r>
      <w:r>
        <w:rPr>
          <w:spacing w:val="47"/>
        </w:rPr>
        <w:t> </w:t>
      </w:r>
      <w:r>
        <w:rPr/>
        <w:t>miktarına</w:t>
      </w:r>
      <w:r>
        <w:rPr>
          <w:spacing w:val="47"/>
        </w:rPr>
        <w:t> </w:t>
      </w:r>
      <w:r>
        <w:rPr/>
        <w:t>ulaşabilmiş,</w:t>
      </w:r>
      <w:r>
        <w:rPr>
          <w:spacing w:val="48"/>
        </w:rPr>
        <w:t> </w:t>
      </w:r>
      <w:r>
        <w:rPr/>
        <w:t>online</w:t>
      </w:r>
      <w:r>
        <w:rPr>
          <w:spacing w:val="47"/>
        </w:rPr>
        <w:t> </w:t>
      </w:r>
      <w:r>
        <w:rPr/>
        <w:t>pazar alanına</w:t>
      </w:r>
      <w:r>
        <w:rPr>
          <w:spacing w:val="44"/>
        </w:rPr>
        <w:t> </w:t>
      </w:r>
      <w:r>
        <w:rPr/>
        <w:t>yakın</w:t>
      </w:r>
      <w:r>
        <w:rPr>
          <w:spacing w:val="46"/>
        </w:rPr>
        <w:t> </w:t>
      </w:r>
      <w:r>
        <w:rPr/>
        <w:t>zamanda</w:t>
      </w:r>
      <w:r>
        <w:rPr>
          <w:spacing w:val="46"/>
        </w:rPr>
        <w:t> </w:t>
      </w:r>
      <w:r>
        <w:rPr/>
        <w:t>girmiş</w:t>
      </w:r>
      <w:r>
        <w:rPr>
          <w:spacing w:val="45"/>
        </w:rPr>
        <w:t> </w:t>
      </w:r>
      <w:r>
        <w:rPr/>
        <w:t>satıcılar</w:t>
      </w:r>
      <w:r>
        <w:rPr>
          <w:spacing w:val="45"/>
        </w:rPr>
        <w:t> </w:t>
      </w:r>
      <w:r>
        <w:rPr/>
        <w:t>için</w:t>
      </w:r>
      <w:r>
        <w:rPr>
          <w:spacing w:val="44"/>
        </w:rPr>
        <w:t> </w:t>
      </w:r>
      <w:r>
        <w:rPr/>
        <w:t>tecrübeli</w:t>
      </w:r>
      <w:r>
        <w:rPr>
          <w:spacing w:val="46"/>
        </w:rPr>
        <w:t> </w:t>
      </w:r>
      <w:r>
        <w:rPr/>
        <w:t>satıcılarla</w:t>
      </w:r>
      <w:r>
        <w:rPr>
          <w:spacing w:val="44"/>
        </w:rPr>
        <w:t> </w:t>
      </w:r>
      <w:r>
        <w:rPr/>
        <w:t>rekabette</w:t>
      </w:r>
      <w:r>
        <w:rPr>
          <w:spacing w:val="44"/>
        </w:rPr>
        <w:t> </w:t>
      </w:r>
      <w:r>
        <w:rPr/>
        <w:t>bir</w:t>
      </w:r>
      <w:r>
        <w:rPr>
          <w:spacing w:val="45"/>
        </w:rPr>
        <w:t> </w:t>
      </w:r>
      <w:r>
        <w:rPr/>
        <w:t>nevi</w:t>
      </w:r>
      <w:r>
        <w:rPr>
          <w:spacing w:val="47"/>
        </w:rPr>
        <w:t> </w:t>
      </w:r>
      <w:r>
        <w:rPr/>
        <w:t>engel oluşturmaktadır. Satış geçmişi olmayan satıcıların indirimler, kuponlar ve</w:t>
      </w:r>
      <w:r>
        <w:rPr>
          <w:spacing w:val="-16"/>
        </w:rPr>
        <w:t> </w:t>
      </w:r>
      <w:r>
        <w:rPr/>
        <w:t>Etsy’nin</w:t>
      </w:r>
      <w:r>
        <w:rPr>
          <w:spacing w:val="-1"/>
        </w:rPr>
        <w:t> </w:t>
      </w:r>
      <w:r>
        <w:rPr/>
        <w:t>sunduğu</w:t>
      </w:r>
      <w:r>
        <w:rPr>
          <w:spacing w:val="-1"/>
        </w:rPr>
        <w:t> </w:t>
      </w:r>
      <w:r>
        <w:rPr/>
        <w:t>çeşitli tutundurma faaliyetleri (reklam gibi) ile satışlarını</w:t>
      </w:r>
      <w:r>
        <w:rPr>
          <w:spacing w:val="-16"/>
        </w:rPr>
        <w:t> </w:t>
      </w:r>
      <w:r>
        <w:rPr/>
        <w:t>desteklemeleri</w:t>
      </w:r>
      <w:r>
        <w:rPr>
          <w:spacing w:val="51"/>
        </w:rPr>
        <w:t> </w:t>
      </w:r>
      <w:r>
        <w:rPr/>
        <w:t>gerekmektedir. Böylelikle, satışlarını artırıp geçmiş dönem satışlarının kaldıraç</w:t>
      </w:r>
      <w:r>
        <w:rPr>
          <w:spacing w:val="-35"/>
        </w:rPr>
        <w:t> </w:t>
      </w:r>
      <w:r>
        <w:rPr/>
        <w:t>etkisinden</w:t>
      </w:r>
      <w:r>
        <w:rPr>
          <w:spacing w:val="-5"/>
        </w:rPr>
        <w:t> </w:t>
      </w:r>
      <w:r>
        <w:rPr/>
        <w:t>faydalanabilirler. Çalışmanın bulguları, toplam yorum sayısının satışlar ile pozitif ilişkili</w:t>
      </w:r>
      <w:r>
        <w:rPr>
          <w:spacing w:val="38"/>
        </w:rPr>
        <w:t> </w:t>
      </w:r>
      <w:r>
        <w:rPr/>
        <w:t>olduğunu</w:t>
      </w:r>
      <w:r>
        <w:rPr>
          <w:spacing w:val="5"/>
        </w:rPr>
        <w:t> </w:t>
      </w:r>
      <w:r>
        <w:rPr/>
        <w:t>ve  olumlu ve nötr yorumların satışları olumsuz yorumlardan daha</w:t>
      </w:r>
      <w:r>
        <w:rPr>
          <w:spacing w:val="39"/>
        </w:rPr>
        <w:t> </w:t>
      </w:r>
      <w:r>
        <w:rPr/>
        <w:t>fazla</w:t>
      </w:r>
      <w:r>
        <w:rPr>
          <w:spacing w:val="5"/>
        </w:rPr>
        <w:t> </w:t>
      </w:r>
      <w:r>
        <w:rPr/>
        <w:t>etkilediğini göstermektedir.</w:t>
      </w:r>
      <w:r>
        <w:rPr>
          <w:spacing w:val="36"/>
        </w:rPr>
        <w:t> </w:t>
      </w:r>
      <w:r>
        <w:rPr/>
        <w:t>Bu</w:t>
      </w:r>
      <w:r>
        <w:rPr>
          <w:spacing w:val="36"/>
        </w:rPr>
        <w:t> </w:t>
      </w:r>
      <w:r>
        <w:rPr/>
        <w:t>sonuçlar,</w:t>
      </w:r>
      <w:r>
        <w:rPr>
          <w:spacing w:val="37"/>
        </w:rPr>
        <w:t> </w:t>
      </w:r>
      <w:r>
        <w:rPr/>
        <w:t>olabildiğince</w:t>
      </w:r>
      <w:r>
        <w:rPr>
          <w:spacing w:val="34"/>
        </w:rPr>
        <w:t> </w:t>
      </w:r>
      <w:r>
        <w:rPr/>
        <w:t>fazla</w:t>
      </w:r>
      <w:r>
        <w:rPr>
          <w:spacing w:val="39"/>
        </w:rPr>
        <w:t> </w:t>
      </w:r>
      <w:r>
        <w:rPr/>
        <w:t>müşteriden</w:t>
      </w:r>
      <w:r>
        <w:rPr>
          <w:spacing w:val="36"/>
        </w:rPr>
        <w:t> </w:t>
      </w:r>
      <w:r>
        <w:rPr/>
        <w:t>yorum</w:t>
      </w:r>
      <w:r>
        <w:rPr>
          <w:spacing w:val="36"/>
        </w:rPr>
        <w:t> </w:t>
      </w:r>
      <w:r>
        <w:rPr/>
        <w:t>almanın</w:t>
      </w:r>
      <w:r>
        <w:rPr>
          <w:spacing w:val="36"/>
        </w:rPr>
        <w:t> </w:t>
      </w:r>
      <w:r>
        <w:rPr/>
        <w:t>satıcılar</w:t>
      </w:r>
      <w:r>
        <w:rPr>
          <w:spacing w:val="36"/>
        </w:rPr>
        <w:t> </w:t>
      </w:r>
      <w:r>
        <w:rPr/>
        <w:t>için oldukça</w:t>
      </w:r>
      <w:r>
        <w:rPr>
          <w:spacing w:val="25"/>
        </w:rPr>
        <w:t> </w:t>
      </w:r>
      <w:r>
        <w:rPr/>
        <w:t>önemli</w:t>
      </w:r>
      <w:r>
        <w:rPr>
          <w:spacing w:val="27"/>
        </w:rPr>
        <w:t> </w:t>
      </w:r>
      <w:r>
        <w:rPr/>
        <w:t>olduğunu</w:t>
      </w:r>
      <w:r>
        <w:rPr>
          <w:spacing w:val="28"/>
        </w:rPr>
        <w:t> </w:t>
      </w:r>
      <w:r>
        <w:rPr/>
        <w:t>göstermektedir.</w:t>
      </w:r>
      <w:r>
        <w:rPr>
          <w:spacing w:val="29"/>
        </w:rPr>
        <w:t> </w:t>
      </w:r>
      <w:r>
        <w:rPr/>
        <w:t>Dolayısıyla,</w:t>
      </w:r>
      <w:r>
        <w:rPr>
          <w:spacing w:val="27"/>
        </w:rPr>
        <w:t> </w:t>
      </w:r>
      <w:r>
        <w:rPr/>
        <w:t>satıcıların</w:t>
      </w:r>
      <w:r>
        <w:rPr>
          <w:spacing w:val="26"/>
        </w:rPr>
        <w:t> </w:t>
      </w:r>
      <w:r>
        <w:rPr/>
        <w:t>müşterilerini</w:t>
      </w:r>
      <w:r>
        <w:rPr>
          <w:spacing w:val="27"/>
        </w:rPr>
        <w:t> </w:t>
      </w:r>
      <w:r>
        <w:rPr/>
        <w:t>yorum yapmaya</w:t>
      </w:r>
      <w:r>
        <w:rPr>
          <w:spacing w:val="25"/>
        </w:rPr>
        <w:t> </w:t>
      </w:r>
      <w:r>
        <w:rPr/>
        <w:t>teşvik</w:t>
      </w:r>
      <w:r>
        <w:rPr>
          <w:spacing w:val="26"/>
        </w:rPr>
        <w:t> </w:t>
      </w:r>
      <w:r>
        <w:rPr/>
        <w:t>etmeleri</w:t>
      </w:r>
      <w:r>
        <w:rPr>
          <w:spacing w:val="30"/>
        </w:rPr>
        <w:t> </w:t>
      </w:r>
      <w:r>
        <w:rPr/>
        <w:t>oldukça</w:t>
      </w:r>
      <w:r>
        <w:rPr>
          <w:spacing w:val="25"/>
        </w:rPr>
        <w:t> </w:t>
      </w:r>
      <w:r>
        <w:rPr/>
        <w:t>yararlı</w:t>
      </w:r>
      <w:r>
        <w:rPr>
          <w:spacing w:val="27"/>
        </w:rPr>
        <w:t> </w:t>
      </w:r>
      <w:r>
        <w:rPr/>
        <w:t>olacaktır.</w:t>
      </w:r>
      <w:r>
        <w:rPr>
          <w:spacing w:val="25"/>
        </w:rPr>
        <w:t> </w:t>
      </w:r>
      <w:r>
        <w:rPr/>
        <w:t>Teşvik</w:t>
      </w:r>
      <w:r>
        <w:rPr>
          <w:spacing w:val="28"/>
        </w:rPr>
        <w:t> </w:t>
      </w:r>
      <w:r>
        <w:rPr/>
        <w:t>olarak</w:t>
      </w:r>
      <w:r>
        <w:rPr>
          <w:spacing w:val="26"/>
        </w:rPr>
        <w:t> </w:t>
      </w:r>
      <w:r>
        <w:rPr/>
        <w:t>ürün</w:t>
      </w:r>
      <w:r>
        <w:rPr>
          <w:spacing w:val="26"/>
        </w:rPr>
        <w:t> </w:t>
      </w:r>
      <w:r>
        <w:rPr/>
        <w:t>ile</w:t>
      </w:r>
      <w:r>
        <w:rPr>
          <w:spacing w:val="25"/>
        </w:rPr>
        <w:t> </w:t>
      </w:r>
      <w:r>
        <w:rPr/>
        <w:t>birlikte</w:t>
      </w:r>
      <w:r>
        <w:rPr>
          <w:spacing w:val="27"/>
        </w:rPr>
        <w:t> </w:t>
      </w:r>
      <w:r>
        <w:rPr/>
        <w:t>“yorum yapmayı</w:t>
      </w:r>
      <w:r>
        <w:rPr>
          <w:spacing w:val="-9"/>
        </w:rPr>
        <w:t> </w:t>
      </w:r>
      <w:r>
        <w:rPr/>
        <w:t>unutmayın”</w:t>
      </w:r>
      <w:r>
        <w:rPr>
          <w:spacing w:val="-9"/>
        </w:rPr>
        <w:t> </w:t>
      </w:r>
      <w:r>
        <w:rPr/>
        <w:t>gibi</w:t>
      </w:r>
      <w:r>
        <w:rPr>
          <w:spacing w:val="-7"/>
        </w:rPr>
        <w:t> </w:t>
      </w:r>
      <w:r>
        <w:rPr/>
        <w:t>hatırlatıcı</w:t>
      </w:r>
      <w:r>
        <w:rPr>
          <w:spacing w:val="-8"/>
        </w:rPr>
        <w:t> </w:t>
      </w:r>
      <w:r>
        <w:rPr/>
        <w:t>bir</w:t>
      </w:r>
      <w:r>
        <w:rPr>
          <w:spacing w:val="-9"/>
        </w:rPr>
        <w:t> </w:t>
      </w:r>
      <w:r>
        <w:rPr/>
        <w:t>not</w:t>
      </w:r>
      <w:r>
        <w:rPr>
          <w:spacing w:val="-8"/>
        </w:rPr>
        <w:t> </w:t>
      </w:r>
      <w:r>
        <w:rPr/>
        <w:t>gönderilebilir</w:t>
      </w:r>
      <w:r>
        <w:rPr>
          <w:spacing w:val="-8"/>
        </w:rPr>
        <w:t> </w:t>
      </w:r>
      <w:r>
        <w:rPr/>
        <w:t>ya</w:t>
      </w:r>
      <w:r>
        <w:rPr>
          <w:spacing w:val="-10"/>
        </w:rPr>
        <w:t> </w:t>
      </w:r>
      <w:r>
        <w:rPr/>
        <w:t>da</w:t>
      </w:r>
      <w:r>
        <w:rPr>
          <w:spacing w:val="-9"/>
        </w:rPr>
        <w:t> </w:t>
      </w:r>
      <w:r>
        <w:rPr/>
        <w:t>yorum</w:t>
      </w:r>
      <w:r>
        <w:rPr>
          <w:spacing w:val="-9"/>
        </w:rPr>
        <w:t> </w:t>
      </w:r>
      <w:r>
        <w:rPr/>
        <w:t>yapacak</w:t>
      </w:r>
      <w:r>
        <w:rPr>
          <w:spacing w:val="-8"/>
        </w:rPr>
        <w:t> </w:t>
      </w:r>
      <w:r>
        <w:rPr/>
        <w:t>müşteriye</w:t>
      </w:r>
      <w:r>
        <w:rPr>
          <w:spacing w:val="-9"/>
        </w:rPr>
        <w:t> </w:t>
      </w:r>
      <w:r>
        <w:rPr/>
        <w:t>bir</w:t>
      </w:r>
    </w:p>
    <w:p>
      <w:pPr>
        <w:pStyle w:val="BodyText"/>
        <w:spacing w:before="2"/>
        <w:jc w:val="left"/>
      </w:pPr>
      <w:r>
        <w:rPr/>
        <w:t>sonraki alışverişinde geçerli bir indirim kuponu vaadedilebilir.</w:t>
      </w:r>
    </w:p>
    <w:p>
      <w:pPr>
        <w:spacing w:after="0"/>
        <w:jc w:val="left"/>
        <w:sectPr>
          <w:pgSz w:w="12240" w:h="15840"/>
          <w:pgMar w:header="718" w:footer="0" w:top="1300" w:bottom="280" w:left="1720" w:right="820"/>
        </w:sectPr>
      </w:pPr>
    </w:p>
    <w:p>
      <w:pPr>
        <w:pStyle w:val="Heading1"/>
        <w:numPr>
          <w:ilvl w:val="2"/>
          <w:numId w:val="3"/>
        </w:numPr>
        <w:tabs>
          <w:tab w:pos="1857" w:val="left" w:leader="none"/>
        </w:tabs>
        <w:spacing w:line="240" w:lineRule="auto" w:before="100" w:after="0"/>
        <w:ind w:left="1856" w:right="0" w:hanging="601"/>
        <w:jc w:val="both"/>
      </w:pPr>
      <w:r>
        <w:rPr/>
        <w:t>Çalışmanın Kısıtları</w:t>
      </w:r>
    </w:p>
    <w:p>
      <w:pPr>
        <w:pStyle w:val="BodyText"/>
        <w:spacing w:line="360" w:lineRule="auto" w:before="137"/>
        <w:ind w:right="312" w:firstLine="708"/>
      </w:pPr>
      <w:r>
        <w:rPr/>
        <w:t>Bu çalışma birtakım kısıtlar içerisinde gerçekleştirilmiştir. Öncelikle, bu çalışmaya dahil edilmeyen birtakım değişkenler mevcuttur. Örneğin, Etsy’de satıcılar dönemlik geçici kampanyalar ve indirimler yapabilmektedir. Çalışmanın verileri toplanırken satıcıların bu faaliyetleri göz ardı edilmiştir. Dahil edilmeyen bir diğer unsur da yorumlarda yazılan metinlerdir. Satıcılara yapılan yorumların sadece sayısal bilgilerinin analizlerde kullanılmış olması da bir diğer kısıttır. Son olarak, Etsy.com’da satıcıların kalıcı ya da geçici olarak faaliyetlerini</w:t>
      </w:r>
      <w:r>
        <w:rPr>
          <w:spacing w:val="-18"/>
        </w:rPr>
        <w:t> </w:t>
      </w:r>
      <w:r>
        <w:rPr/>
        <w:t>durdurmaları</w:t>
      </w:r>
      <w:r>
        <w:rPr>
          <w:spacing w:val="-17"/>
        </w:rPr>
        <w:t> </w:t>
      </w:r>
      <w:r>
        <w:rPr/>
        <w:t>sıklıkla</w:t>
      </w:r>
      <w:r>
        <w:rPr>
          <w:spacing w:val="-18"/>
        </w:rPr>
        <w:t> </w:t>
      </w:r>
      <w:r>
        <w:rPr/>
        <w:t>görülmektedir.</w:t>
      </w:r>
      <w:r>
        <w:rPr>
          <w:spacing w:val="-18"/>
        </w:rPr>
        <w:t> </w:t>
      </w:r>
      <w:r>
        <w:rPr/>
        <w:t>Bu</w:t>
      </w:r>
      <w:r>
        <w:rPr>
          <w:spacing w:val="-17"/>
        </w:rPr>
        <w:t> </w:t>
      </w:r>
      <w:r>
        <w:rPr/>
        <w:t>nedenle,</w:t>
      </w:r>
      <w:r>
        <w:rPr>
          <w:spacing w:val="-18"/>
        </w:rPr>
        <w:t> </w:t>
      </w:r>
      <w:r>
        <w:rPr/>
        <w:t>süreç</w:t>
      </w:r>
      <w:r>
        <w:rPr>
          <w:spacing w:val="-18"/>
        </w:rPr>
        <w:t> </w:t>
      </w:r>
      <w:r>
        <w:rPr/>
        <w:t>başlangıcında</w:t>
      </w:r>
      <w:r>
        <w:rPr>
          <w:spacing w:val="-18"/>
        </w:rPr>
        <w:t> </w:t>
      </w:r>
      <w:r>
        <w:rPr/>
        <w:t>belirlenen örneklemin yaklaşık %40’ı örneklemden çıkarılmıştır. Örneklemin veri toplama sürecinde küçülmesi de çalışmanın diğer bir kısıtıdır. Araştırma modellerinin daha büyük örneklemde daha net sonuçlar vermesi</w:t>
      </w:r>
      <w:r>
        <w:rPr>
          <w:spacing w:val="-2"/>
        </w:rPr>
        <w:t> </w:t>
      </w:r>
      <w:r>
        <w:rPr/>
        <w:t>olasıdır.</w:t>
      </w:r>
    </w:p>
    <w:p>
      <w:pPr>
        <w:pStyle w:val="Heading1"/>
        <w:numPr>
          <w:ilvl w:val="2"/>
          <w:numId w:val="3"/>
        </w:numPr>
        <w:tabs>
          <w:tab w:pos="1857" w:val="left" w:leader="none"/>
        </w:tabs>
        <w:spacing w:line="240" w:lineRule="auto" w:before="162" w:after="0"/>
        <w:ind w:left="1856" w:right="0" w:hanging="601"/>
        <w:jc w:val="both"/>
      </w:pPr>
      <w:r>
        <w:rPr/>
        <w:t>Gelecek</w:t>
      </w:r>
      <w:r>
        <w:rPr>
          <w:spacing w:val="-1"/>
        </w:rPr>
        <w:t> </w:t>
      </w:r>
      <w:r>
        <w:rPr/>
        <w:t>Çalışmalar</w:t>
      </w:r>
    </w:p>
    <w:p>
      <w:pPr>
        <w:pStyle w:val="BodyText"/>
        <w:spacing w:line="360" w:lineRule="auto" w:before="137"/>
        <w:ind w:right="310" w:firstLine="708"/>
      </w:pPr>
      <w:r>
        <w:rPr/>
        <w:t>Satıcılar için yapılan yorumlar ile satışlar arasındaki ilişkinin literatürde göz ardı edilmesi gelecek çalışmaları teşvik edici en önemli unsurdur. Bu çalışmanın modelleri kullanılarak farklı örneklemlerde analizler gerçekleştirilmesi satıcılara yapılan yorumlar ile satışlar arasındaki ilişkiye dair içgörüyü genişletebilir. Yorumlara ait sayısal bilgilerin yanı sıra</w:t>
      </w:r>
      <w:r>
        <w:rPr>
          <w:spacing w:val="-18"/>
        </w:rPr>
        <w:t> </w:t>
      </w:r>
      <w:r>
        <w:rPr/>
        <w:t>yorum</w:t>
      </w:r>
      <w:r>
        <w:rPr>
          <w:spacing w:val="-17"/>
        </w:rPr>
        <w:t> </w:t>
      </w:r>
      <w:r>
        <w:rPr/>
        <w:t>içerikleri</w:t>
      </w:r>
      <w:r>
        <w:rPr>
          <w:spacing w:val="-16"/>
        </w:rPr>
        <w:t> </w:t>
      </w:r>
      <w:r>
        <w:rPr/>
        <w:t>de</w:t>
      </w:r>
      <w:r>
        <w:rPr>
          <w:spacing w:val="-18"/>
        </w:rPr>
        <w:t> </w:t>
      </w:r>
      <w:r>
        <w:rPr/>
        <w:t>gelecek</w:t>
      </w:r>
      <w:r>
        <w:rPr>
          <w:spacing w:val="-15"/>
        </w:rPr>
        <w:t> </w:t>
      </w:r>
      <w:r>
        <w:rPr/>
        <w:t>çalışmalarda</w:t>
      </w:r>
      <w:r>
        <w:rPr>
          <w:spacing w:val="-15"/>
        </w:rPr>
        <w:t> </w:t>
      </w:r>
      <w:r>
        <w:rPr/>
        <w:t>analizlere</w:t>
      </w:r>
      <w:r>
        <w:rPr>
          <w:spacing w:val="-16"/>
        </w:rPr>
        <w:t> </w:t>
      </w:r>
      <w:r>
        <w:rPr/>
        <w:t>dahil</w:t>
      </w:r>
      <w:r>
        <w:rPr>
          <w:spacing w:val="-15"/>
        </w:rPr>
        <w:t> </w:t>
      </w:r>
      <w:r>
        <w:rPr/>
        <w:t>edilebilir.</w:t>
      </w:r>
      <w:r>
        <w:rPr>
          <w:spacing w:val="-17"/>
        </w:rPr>
        <w:t> </w:t>
      </w:r>
      <w:r>
        <w:rPr/>
        <w:t>Son</w:t>
      </w:r>
      <w:r>
        <w:rPr>
          <w:spacing w:val="-14"/>
        </w:rPr>
        <w:t> </w:t>
      </w:r>
      <w:r>
        <w:rPr/>
        <w:t>olarak,</w:t>
      </w:r>
      <w:r>
        <w:rPr>
          <w:spacing w:val="-16"/>
        </w:rPr>
        <w:t> </w:t>
      </w:r>
      <w:r>
        <w:rPr/>
        <w:t>satıcıların yaptıkları dönemsel tutundurma faaliyetlerinin yorum-satış ilişkisinde aracılık etkisi olup olmadığı da gelecek çalışmalarda</w:t>
      </w:r>
      <w:r>
        <w:rPr>
          <w:spacing w:val="-2"/>
        </w:rPr>
        <w:t> </w:t>
      </w:r>
      <w:r>
        <w:rPr/>
        <w:t>incelenebilir.</w:t>
      </w:r>
    </w:p>
    <w:p>
      <w:pPr>
        <w:spacing w:after="0" w:line="360" w:lineRule="auto"/>
        <w:sectPr>
          <w:pgSz w:w="12240" w:h="15840"/>
          <w:pgMar w:header="718" w:footer="0" w:top="1300" w:bottom="280" w:left="1720" w:right="820"/>
        </w:sectPr>
      </w:pPr>
    </w:p>
    <w:p>
      <w:pPr>
        <w:pStyle w:val="Heading1"/>
        <w:spacing w:before="100"/>
        <w:ind w:left="1270" w:right="328" w:firstLine="0"/>
        <w:jc w:val="center"/>
      </w:pPr>
      <w:r>
        <w:rPr/>
        <w:t>SONUÇ</w:t>
      </w:r>
    </w:p>
    <w:p>
      <w:pPr>
        <w:pStyle w:val="BodyText"/>
        <w:spacing w:line="360" w:lineRule="auto" w:before="137"/>
        <w:ind w:right="309" w:firstLine="708"/>
      </w:pPr>
      <w:r>
        <w:rPr/>
        <w:t>Sosyal bir varlık olan insan için sosyal çevresi her zaman en önemli bilgi kaynağı olmuştur.</w:t>
      </w:r>
      <w:r>
        <w:rPr>
          <w:spacing w:val="-8"/>
        </w:rPr>
        <w:t> </w:t>
      </w:r>
      <w:r>
        <w:rPr/>
        <w:t>Toplumsal</w:t>
      </w:r>
      <w:r>
        <w:rPr>
          <w:spacing w:val="-9"/>
        </w:rPr>
        <w:t> </w:t>
      </w:r>
      <w:r>
        <w:rPr/>
        <w:t>yaşamın</w:t>
      </w:r>
      <w:r>
        <w:rPr>
          <w:spacing w:val="-7"/>
        </w:rPr>
        <w:t> </w:t>
      </w:r>
      <w:r>
        <w:rPr/>
        <w:t>başlangıcından</w:t>
      </w:r>
      <w:r>
        <w:rPr>
          <w:spacing w:val="-8"/>
        </w:rPr>
        <w:t> </w:t>
      </w:r>
      <w:r>
        <w:rPr/>
        <w:t>bu</w:t>
      </w:r>
      <w:r>
        <w:rPr>
          <w:spacing w:val="-7"/>
        </w:rPr>
        <w:t> </w:t>
      </w:r>
      <w:r>
        <w:rPr/>
        <w:t>yana,</w:t>
      </w:r>
      <w:r>
        <w:rPr>
          <w:spacing w:val="-7"/>
        </w:rPr>
        <w:t> </w:t>
      </w:r>
      <w:r>
        <w:rPr/>
        <w:t>hayatın</w:t>
      </w:r>
      <w:r>
        <w:rPr>
          <w:spacing w:val="-7"/>
        </w:rPr>
        <w:t> </w:t>
      </w:r>
      <w:r>
        <w:rPr/>
        <w:t>diğer</w:t>
      </w:r>
      <w:r>
        <w:rPr>
          <w:spacing w:val="-8"/>
        </w:rPr>
        <w:t> </w:t>
      </w:r>
      <w:r>
        <w:rPr/>
        <w:t>alanlarında</w:t>
      </w:r>
      <w:r>
        <w:rPr>
          <w:spacing w:val="-8"/>
        </w:rPr>
        <w:t> </w:t>
      </w:r>
      <w:r>
        <w:rPr/>
        <w:t>olduğu</w:t>
      </w:r>
      <w:r>
        <w:rPr>
          <w:spacing w:val="-8"/>
        </w:rPr>
        <w:t> </w:t>
      </w:r>
      <w:r>
        <w:rPr/>
        <w:t>gibi, tüketim</w:t>
      </w:r>
      <w:r>
        <w:rPr>
          <w:spacing w:val="-7"/>
        </w:rPr>
        <w:t> </w:t>
      </w:r>
      <w:r>
        <w:rPr/>
        <w:t>ile</w:t>
      </w:r>
      <w:r>
        <w:rPr>
          <w:spacing w:val="-7"/>
        </w:rPr>
        <w:t> </w:t>
      </w:r>
      <w:r>
        <w:rPr/>
        <w:t>ilgili</w:t>
      </w:r>
      <w:r>
        <w:rPr>
          <w:spacing w:val="-6"/>
        </w:rPr>
        <w:t> </w:t>
      </w:r>
      <w:r>
        <w:rPr/>
        <w:t>bilgi</w:t>
      </w:r>
      <w:r>
        <w:rPr>
          <w:spacing w:val="-7"/>
        </w:rPr>
        <w:t> </w:t>
      </w:r>
      <w:r>
        <w:rPr/>
        <w:t>ihtiyacı</w:t>
      </w:r>
      <w:r>
        <w:rPr>
          <w:spacing w:val="-6"/>
        </w:rPr>
        <w:t> </w:t>
      </w:r>
      <w:r>
        <w:rPr/>
        <w:t>duyan</w:t>
      </w:r>
      <w:r>
        <w:rPr>
          <w:spacing w:val="-6"/>
        </w:rPr>
        <w:t> </w:t>
      </w:r>
      <w:r>
        <w:rPr/>
        <w:t>insanın</w:t>
      </w:r>
      <w:r>
        <w:rPr>
          <w:spacing w:val="-7"/>
        </w:rPr>
        <w:t> </w:t>
      </w:r>
      <w:r>
        <w:rPr/>
        <w:t>ilk</w:t>
      </w:r>
      <w:r>
        <w:rPr>
          <w:spacing w:val="-6"/>
        </w:rPr>
        <w:t> </w:t>
      </w:r>
      <w:r>
        <w:rPr/>
        <w:t>başvuru</w:t>
      </w:r>
      <w:r>
        <w:rPr>
          <w:spacing w:val="-7"/>
        </w:rPr>
        <w:t> </w:t>
      </w:r>
      <w:r>
        <w:rPr/>
        <w:t>kaynağı</w:t>
      </w:r>
      <w:r>
        <w:rPr>
          <w:spacing w:val="-6"/>
        </w:rPr>
        <w:t> </w:t>
      </w:r>
      <w:r>
        <w:rPr/>
        <w:t>tanıdıkları</w:t>
      </w:r>
      <w:r>
        <w:rPr>
          <w:spacing w:val="-8"/>
        </w:rPr>
        <w:t> </w:t>
      </w:r>
      <w:r>
        <w:rPr/>
        <w:t>olmuştur.</w:t>
      </w:r>
      <w:r>
        <w:rPr>
          <w:spacing w:val="-6"/>
        </w:rPr>
        <w:t> </w:t>
      </w:r>
      <w:r>
        <w:rPr/>
        <w:t>Sosyal çevreden alınan tüketim bilgileri ve tavsiyeler, firmaların ilettiği pazarlama mesajlarından daha</w:t>
      </w:r>
      <w:r>
        <w:rPr>
          <w:spacing w:val="-18"/>
        </w:rPr>
        <w:t> </w:t>
      </w:r>
      <w:r>
        <w:rPr/>
        <w:t>güvenilir</w:t>
      </w:r>
      <w:r>
        <w:rPr>
          <w:spacing w:val="-16"/>
        </w:rPr>
        <w:t> </w:t>
      </w:r>
      <w:r>
        <w:rPr/>
        <w:t>bulunmakta</w:t>
      </w:r>
      <w:r>
        <w:rPr>
          <w:spacing w:val="-16"/>
        </w:rPr>
        <w:t> </w:t>
      </w:r>
      <w:r>
        <w:rPr/>
        <w:t>ve</w:t>
      </w:r>
      <w:r>
        <w:rPr>
          <w:spacing w:val="-17"/>
        </w:rPr>
        <w:t> </w:t>
      </w:r>
      <w:r>
        <w:rPr/>
        <w:t>satın</w:t>
      </w:r>
      <w:r>
        <w:rPr>
          <w:spacing w:val="-16"/>
        </w:rPr>
        <w:t> </w:t>
      </w:r>
      <w:r>
        <w:rPr/>
        <w:t>alma</w:t>
      </w:r>
      <w:r>
        <w:rPr>
          <w:spacing w:val="-18"/>
        </w:rPr>
        <w:t> </w:t>
      </w:r>
      <w:r>
        <w:rPr/>
        <w:t>kararlarında</w:t>
      </w:r>
      <w:r>
        <w:rPr>
          <w:spacing w:val="-17"/>
        </w:rPr>
        <w:t> </w:t>
      </w:r>
      <w:r>
        <w:rPr/>
        <w:t>daha</w:t>
      </w:r>
      <w:r>
        <w:rPr>
          <w:spacing w:val="-17"/>
        </w:rPr>
        <w:t> </w:t>
      </w:r>
      <w:r>
        <w:rPr/>
        <w:t>fazla</w:t>
      </w:r>
      <w:r>
        <w:rPr>
          <w:spacing w:val="-16"/>
        </w:rPr>
        <w:t> </w:t>
      </w:r>
      <w:r>
        <w:rPr/>
        <w:t>etkili</w:t>
      </w:r>
      <w:r>
        <w:rPr>
          <w:spacing w:val="-15"/>
        </w:rPr>
        <w:t> </w:t>
      </w:r>
      <w:r>
        <w:rPr/>
        <w:t>olmaktadır</w:t>
      </w:r>
      <w:r>
        <w:rPr>
          <w:spacing w:val="-13"/>
        </w:rPr>
        <w:t> </w:t>
      </w:r>
      <w:r>
        <w:rPr/>
        <w:t>(Day,</w:t>
      </w:r>
      <w:r>
        <w:rPr>
          <w:spacing w:val="-16"/>
        </w:rPr>
        <w:t> </w:t>
      </w:r>
      <w:r>
        <w:rPr/>
        <w:t>1971; Grewal vd., 2003; Hussain vd., 2019).</w:t>
      </w:r>
    </w:p>
    <w:p>
      <w:pPr>
        <w:pStyle w:val="BodyText"/>
        <w:spacing w:line="360" w:lineRule="auto" w:before="1"/>
        <w:ind w:right="311" w:firstLine="708"/>
      </w:pPr>
      <w:r>
        <w:rPr/>
        <w:t>Ağızdan ağıza iletişim olarak adlandırılan tüketimle ilgili bu sosyal iletişim türü, bilişim teknolojileri ve internet sayesinde yeni bir forma evrilmiştir. İnternet mecralarında gerçekleşen ağızdan ağıza iletişim olan elektronik ağızdan ağıza iletişim, küresel ölçekte erişilebilen, yazılı, sözlü ve görsel bir iletişimdir. Web 2.0’ın gelişimi ve internete dünya nüfusunun %60’nın erişebilmesi (Wearesocial, 2019) sayesinde, günümüzde tüketiciler internette bir araya gelerek geniş ağlar ve topluluklar oluşturmuşlardır. Bu topluluklar ve ağlarda her gün milyonlarca elektronik ağızdan ağıza iletişim mesajı yayınlanmaktadır. İnternet öncesi dönemlerde tüketim tavsiyesi almak isteyen tüketici sadece kendi tanıdıklarına başvurabiliyorken, günümüz tüketicisi tüketim tavsiyesi almak istediğinde çeşitli internet mecralarında çok sayıda tüketiciden çok sayıda mesaja ve bilgiye ulaşabilmektedir. Geleneksel ağızdan ağıza iletişime nazaran, elektronik ağızdan ağıza iletişim mesajları çok geniş kitlelere ulaşabilmekte ve bu nedenle aynı zaman dilimi içinde çok daha fazla kişi bir ürün, marka ya da firma hakkında konuşabilmektedir.</w:t>
      </w:r>
    </w:p>
    <w:p>
      <w:pPr>
        <w:pStyle w:val="BodyText"/>
        <w:spacing w:line="360" w:lineRule="auto" w:before="2"/>
        <w:ind w:right="311" w:firstLine="708"/>
      </w:pPr>
      <w:r>
        <w:rPr/>
        <w:t>Elektronik ağızdan ağıza iletişim tüketiciler gibi, firmalar için de kolaylıklar sunmaktadır. Büyük reklam bütçeleri ayırmadan elektronik ağızdan ağıza iletişim ile büyük başarılara ulaşmak firmalar için mümkündür. Bu nedenle, firmalar elektronik ağızdan ağıza iletişim süreçlerine dahil olmaya çalışmakta, tüketicilerle çeşitli mecralarda (sosyal medya gibi) etkileşim artırma çabalarına girmekte ve tüketicileri kendileri, ürünleri veya markaları hakkında konuşmaya teşvik etmeye çalışmaktadır. Ayrıca, elektronik ağızdan ağıza iletişim mesajları internette uzunca süre kaldığı için, firmaların bu mesajları izlemesi ve bu mesajlardan yola çıkarak ürünlerini, markalarını ve stratejilerini iyileştirmeleri de mümkündür.</w:t>
      </w:r>
    </w:p>
    <w:p>
      <w:pPr>
        <w:pStyle w:val="BodyText"/>
        <w:spacing w:line="360" w:lineRule="auto"/>
        <w:ind w:right="314" w:firstLine="708"/>
      </w:pPr>
      <w:r>
        <w:rPr/>
        <w:t>Tüketiciler için yeni bir iletişim biçimi olarak ortaya çıkan ve firmaların performanslarını da etkileyen elektronik</w:t>
      </w:r>
      <w:r>
        <w:rPr>
          <w:spacing w:val="51"/>
        </w:rPr>
        <w:t> </w:t>
      </w:r>
      <w:r>
        <w:rPr/>
        <w:t>ağızdan ağıza iletişim, araştırmacıların da kısa</w:t>
      </w:r>
    </w:p>
    <w:p>
      <w:pPr>
        <w:spacing w:after="0" w:line="360" w:lineRule="auto"/>
        <w:sectPr>
          <w:pgSz w:w="12240" w:h="15840"/>
          <w:pgMar w:header="718" w:footer="0" w:top="1300" w:bottom="280" w:left="1720" w:right="820"/>
        </w:sectPr>
      </w:pPr>
    </w:p>
    <w:p>
      <w:pPr>
        <w:pStyle w:val="BodyText"/>
        <w:spacing w:line="360" w:lineRule="auto" w:before="100"/>
        <w:ind w:right="309"/>
      </w:pPr>
      <w:r>
        <w:rPr/>
        <w:t>sürede ilgisini çekmiştir. 2000 yılında yayınlanmaya başlayan elektronik ağızdan ağıza iletişim çalışmalarının sayısı yıldan yıla artmaktadır (Özbük ve Aksoy, 2017). Elektronik ağızdan ağıza iletişim araştırmalarını, bireysel ve pazar düzey analiz yapan araştırmalar olmak üzere iki ana grupta toplamak mümkündür. Bireysel düzey analiz yapan araştırmalar, elektronik ağızdan ağıza iletişim mesajlarının tüketici satın alma karar sürecini nasıl etkilediğini açıklamaya çalışmaktadır (Lee ve Lee, 2009). Tüketici yorumlarının içerik analizleri</w:t>
      </w:r>
      <w:r>
        <w:rPr>
          <w:spacing w:val="-7"/>
        </w:rPr>
        <w:t> </w:t>
      </w:r>
      <w:r>
        <w:rPr/>
        <w:t>(örn.</w:t>
      </w:r>
      <w:r>
        <w:rPr>
          <w:spacing w:val="-9"/>
        </w:rPr>
        <w:t> </w:t>
      </w:r>
      <w:r>
        <w:rPr/>
        <w:t>Goldberg</w:t>
      </w:r>
      <w:r>
        <w:rPr>
          <w:spacing w:val="-7"/>
        </w:rPr>
        <w:t> </w:t>
      </w:r>
      <w:r>
        <w:rPr/>
        <w:t>ve</w:t>
      </w:r>
      <w:r>
        <w:rPr>
          <w:spacing w:val="-10"/>
        </w:rPr>
        <w:t> </w:t>
      </w:r>
      <w:r>
        <w:rPr/>
        <w:t>Abrahams,</w:t>
      </w:r>
      <w:r>
        <w:rPr>
          <w:spacing w:val="-9"/>
        </w:rPr>
        <w:t> </w:t>
      </w:r>
      <w:r>
        <w:rPr/>
        <w:t>2018;</w:t>
      </w:r>
      <w:r>
        <w:rPr>
          <w:spacing w:val="-8"/>
        </w:rPr>
        <w:t> </w:t>
      </w:r>
      <w:r>
        <w:rPr/>
        <w:t>Wang</w:t>
      </w:r>
      <w:r>
        <w:rPr>
          <w:spacing w:val="-9"/>
        </w:rPr>
        <w:t> </w:t>
      </w:r>
      <w:r>
        <w:rPr/>
        <w:t>vd.,</w:t>
      </w:r>
      <w:r>
        <w:rPr>
          <w:spacing w:val="-9"/>
        </w:rPr>
        <w:t> </w:t>
      </w:r>
      <w:r>
        <w:rPr/>
        <w:t>2019)</w:t>
      </w:r>
      <w:r>
        <w:rPr>
          <w:spacing w:val="-9"/>
        </w:rPr>
        <w:t> </w:t>
      </w:r>
      <w:r>
        <w:rPr/>
        <w:t>ve</w:t>
      </w:r>
      <w:r>
        <w:rPr>
          <w:spacing w:val="-10"/>
        </w:rPr>
        <w:t> </w:t>
      </w:r>
      <w:r>
        <w:rPr/>
        <w:t>faydalılığı</w:t>
      </w:r>
      <w:r>
        <w:rPr>
          <w:spacing w:val="-9"/>
        </w:rPr>
        <w:t> </w:t>
      </w:r>
      <w:r>
        <w:rPr/>
        <w:t>üzerine</w:t>
      </w:r>
      <w:r>
        <w:rPr>
          <w:spacing w:val="-8"/>
        </w:rPr>
        <w:t> </w:t>
      </w:r>
      <w:r>
        <w:rPr/>
        <w:t>yapılan analizler</w:t>
      </w:r>
      <w:r>
        <w:rPr>
          <w:spacing w:val="-8"/>
        </w:rPr>
        <w:t> </w:t>
      </w:r>
      <w:r>
        <w:rPr/>
        <w:t>(örn.</w:t>
      </w:r>
      <w:r>
        <w:rPr>
          <w:spacing w:val="-8"/>
        </w:rPr>
        <w:t> </w:t>
      </w:r>
      <w:r>
        <w:rPr/>
        <w:t>Lu</w:t>
      </w:r>
      <w:r>
        <w:rPr>
          <w:spacing w:val="-6"/>
        </w:rPr>
        <w:t> </w:t>
      </w:r>
      <w:r>
        <w:rPr/>
        <w:t>vd.,</w:t>
      </w:r>
      <w:r>
        <w:rPr>
          <w:spacing w:val="-7"/>
        </w:rPr>
        <w:t> </w:t>
      </w:r>
      <w:r>
        <w:rPr/>
        <w:t>2018;</w:t>
      </w:r>
      <w:r>
        <w:rPr>
          <w:spacing w:val="-6"/>
        </w:rPr>
        <w:t> </w:t>
      </w:r>
      <w:r>
        <w:rPr/>
        <w:t>Ren</w:t>
      </w:r>
      <w:r>
        <w:rPr>
          <w:spacing w:val="-7"/>
        </w:rPr>
        <w:t> </w:t>
      </w:r>
      <w:r>
        <w:rPr/>
        <w:t>ve</w:t>
      </w:r>
      <w:r>
        <w:rPr>
          <w:spacing w:val="-7"/>
        </w:rPr>
        <w:t> </w:t>
      </w:r>
      <w:r>
        <w:rPr/>
        <w:t>Hong,</w:t>
      </w:r>
      <w:r>
        <w:rPr>
          <w:spacing w:val="-8"/>
        </w:rPr>
        <w:t> </w:t>
      </w:r>
      <w:r>
        <w:rPr/>
        <w:t>2019)</w:t>
      </w:r>
      <w:r>
        <w:rPr>
          <w:spacing w:val="-8"/>
        </w:rPr>
        <w:t> </w:t>
      </w:r>
      <w:r>
        <w:rPr/>
        <w:t>literatürde</w:t>
      </w:r>
      <w:r>
        <w:rPr>
          <w:spacing w:val="-7"/>
        </w:rPr>
        <w:t> </w:t>
      </w:r>
      <w:r>
        <w:rPr/>
        <w:t>sıkça</w:t>
      </w:r>
      <w:r>
        <w:rPr>
          <w:spacing w:val="-9"/>
        </w:rPr>
        <w:t> </w:t>
      </w:r>
      <w:r>
        <w:rPr/>
        <w:t>karşılaşılan</w:t>
      </w:r>
      <w:r>
        <w:rPr>
          <w:spacing w:val="-6"/>
        </w:rPr>
        <w:t> </w:t>
      </w:r>
      <w:r>
        <w:rPr/>
        <w:t>bireysel</w:t>
      </w:r>
      <w:r>
        <w:rPr>
          <w:spacing w:val="-7"/>
        </w:rPr>
        <w:t> </w:t>
      </w:r>
      <w:r>
        <w:rPr/>
        <w:t>düzey analiz araştırmalarıdır. Pazar düzeyi analiz yapan araştırmalar ise, talebi yansıtan ürün satışları, gişe hasılatları, indirilme (download) sayısı gibi pazar düzeyi parametrelerine odaklanmaktadır (örn. Suryadi ve Kim, 2018; Hashim vd.,</w:t>
      </w:r>
      <w:r>
        <w:rPr>
          <w:spacing w:val="-3"/>
        </w:rPr>
        <w:t> </w:t>
      </w:r>
      <w:r>
        <w:rPr/>
        <w:t>2019).</w:t>
      </w:r>
    </w:p>
    <w:p>
      <w:pPr>
        <w:pStyle w:val="BodyText"/>
        <w:spacing w:line="360" w:lineRule="auto"/>
        <w:ind w:right="314" w:firstLine="708"/>
      </w:pPr>
      <w:r>
        <w:rPr/>
        <w:t>Bu tez de pazar düzeyinde analiz yapmış bir elektronik ağızdan ağıza iletişim çalışmasıdır. Satış noktaları olan online perakendeci sayfaları ve online pazar alanlarındaki tüketici yorumlarının satışlarla ilişkisine odaklanılmıştır. Yorumların satışlarla ilişkisini irdelemeyi amaçlayan bu tez için iki ayrı uygulama yapılmıştır.</w:t>
      </w:r>
    </w:p>
    <w:p>
      <w:pPr>
        <w:pStyle w:val="BodyText"/>
        <w:spacing w:line="360" w:lineRule="auto"/>
        <w:ind w:right="308" w:firstLine="708"/>
      </w:pPr>
      <w:r>
        <w:rPr/>
        <w:t>Uygulama bölümlerinden önce, tezin birinci bölümünde ilgili literatür kavramsal bir çerçeve içerisinde sunulmuştur. Elektronik ağızdan ağıza iletişim ile ilgili literatürden önce, online satın alma karar süreci aşamaları ve bu aşamalar içerisinde elektronik ağızdan ağıza iletişimin rolü aktarılmıştır. Daha sonra, ağızdan ağıza iletişim kavramı tanıtılmış, ağızdan ağıza iletişim teorisinin evrimine, ağızdan ağıza iletişimde tarafların hangi güdülerle sürece dahil olduklarına ve ağızdan ağıza iletişimin gücüne değinilmiştir. Sonraki kısımda ise, elektronik ağızdan ağıza iletişim kavramı, elektronik ağızdan ağıza iletişimin özellikleri, geleneksel ağızdan ağıza iletişimden farklılıkları ve gerçekleştiği mecralar aktarılmıştır. Daha sonra, elektronik ağızdan ağıza iletişim çalışmalarında referans alınan teoriler kısaca açıklanmıştır. Bölümün sonunda ise, gerçekleştirilen literatür taraması sonucu elde edilen bilgilerle ile elektronik ağızdan ağıza iletişimin literatürdeki yeri ve önemi ortaya konmaya çalışılmıştır.</w:t>
      </w:r>
    </w:p>
    <w:p>
      <w:pPr>
        <w:pStyle w:val="BodyText"/>
        <w:spacing w:line="360" w:lineRule="auto" w:before="2"/>
        <w:ind w:right="311" w:firstLine="708"/>
      </w:pPr>
      <w:r>
        <w:rPr/>
        <w:t>İlk uygulama (bk. Bölüm 2) ürün yorumlarının satışlara etkisini incelemek üzere gerçekleştirilmiştir. Ürün yorumları ve satışlar arasındaki ilişki literatürde sıklıkla ele alınmasına karşın, satışların dinamik doğasının, nötr yorumların ve ürün kategorileri arasındaki farklılıkların literatürde genellikle göz ardı edilmesi bu çalışmanın temel</w:t>
      </w:r>
    </w:p>
    <w:p>
      <w:pPr>
        <w:spacing w:after="0" w:line="360" w:lineRule="auto"/>
        <w:sectPr>
          <w:pgSz w:w="12240" w:h="15840"/>
          <w:pgMar w:header="718" w:footer="0" w:top="1300" w:bottom="280" w:left="1720" w:right="820"/>
        </w:sectPr>
      </w:pPr>
    </w:p>
    <w:p>
      <w:pPr>
        <w:pStyle w:val="BodyText"/>
        <w:spacing w:line="360" w:lineRule="auto" w:before="100"/>
        <w:ind w:right="311"/>
      </w:pPr>
      <w:r>
        <w:rPr/>
        <w:t>motivasyonudur. Bu amaçla, literatürde araştırmalara sıklıkla konu olan Amazon.com’dan panel</w:t>
      </w:r>
      <w:r>
        <w:rPr>
          <w:spacing w:val="-16"/>
        </w:rPr>
        <w:t> </w:t>
      </w:r>
      <w:r>
        <w:rPr/>
        <w:t>veri</w:t>
      </w:r>
      <w:r>
        <w:rPr>
          <w:spacing w:val="-17"/>
        </w:rPr>
        <w:t> </w:t>
      </w:r>
      <w:r>
        <w:rPr/>
        <w:t>toplanmış</w:t>
      </w:r>
      <w:r>
        <w:rPr>
          <w:spacing w:val="-16"/>
        </w:rPr>
        <w:t> </w:t>
      </w:r>
      <w:r>
        <w:rPr/>
        <w:t>ve</w:t>
      </w:r>
      <w:r>
        <w:rPr>
          <w:spacing w:val="-18"/>
        </w:rPr>
        <w:t> </w:t>
      </w:r>
      <w:r>
        <w:rPr/>
        <w:t>bu</w:t>
      </w:r>
      <w:r>
        <w:rPr>
          <w:spacing w:val="-16"/>
        </w:rPr>
        <w:t> </w:t>
      </w:r>
      <w:r>
        <w:rPr/>
        <w:t>panel</w:t>
      </w:r>
      <w:r>
        <w:rPr>
          <w:spacing w:val="-16"/>
        </w:rPr>
        <w:t> </w:t>
      </w:r>
      <w:r>
        <w:rPr/>
        <w:t>veri</w:t>
      </w:r>
      <w:r>
        <w:rPr>
          <w:spacing w:val="-16"/>
        </w:rPr>
        <w:t> </w:t>
      </w:r>
      <w:r>
        <w:rPr/>
        <w:t>genelleştirilmiş</w:t>
      </w:r>
      <w:r>
        <w:rPr>
          <w:spacing w:val="-17"/>
        </w:rPr>
        <w:t> </w:t>
      </w:r>
      <w:r>
        <w:rPr/>
        <w:t>momentler</w:t>
      </w:r>
      <w:r>
        <w:rPr>
          <w:spacing w:val="-17"/>
        </w:rPr>
        <w:t> </w:t>
      </w:r>
      <w:r>
        <w:rPr/>
        <w:t>yöntemi</w:t>
      </w:r>
      <w:r>
        <w:rPr>
          <w:spacing w:val="-16"/>
        </w:rPr>
        <w:t> </w:t>
      </w:r>
      <w:r>
        <w:rPr/>
        <w:t>ile</w:t>
      </w:r>
      <w:r>
        <w:rPr>
          <w:spacing w:val="-17"/>
        </w:rPr>
        <w:t> </w:t>
      </w:r>
      <w:r>
        <w:rPr/>
        <w:t>analiz</w:t>
      </w:r>
      <w:r>
        <w:rPr>
          <w:spacing w:val="-18"/>
        </w:rPr>
        <w:t> </w:t>
      </w:r>
      <w:r>
        <w:rPr/>
        <w:t>edilmiştir. Analiz sonuçları neticesinde önemli bulgular ortaya</w:t>
      </w:r>
      <w:r>
        <w:rPr>
          <w:spacing w:val="-6"/>
        </w:rPr>
        <w:t> </w:t>
      </w:r>
      <w:r>
        <w:rPr/>
        <w:t>konmuştur.</w:t>
      </w:r>
    </w:p>
    <w:p>
      <w:pPr>
        <w:pStyle w:val="BodyText"/>
        <w:spacing w:line="360" w:lineRule="auto"/>
        <w:ind w:right="308" w:firstLine="708"/>
      </w:pPr>
      <w:r>
        <w:rPr/>
        <w:t>Analiz sonuçlarına göre, yorum sayısı ile satışlar arasında pozitif ilişki tespit edilmiştir.</w:t>
      </w:r>
      <w:r>
        <w:rPr>
          <w:spacing w:val="-19"/>
        </w:rPr>
        <w:t> </w:t>
      </w:r>
      <w:r>
        <w:rPr/>
        <w:t>Bu</w:t>
      </w:r>
      <w:r>
        <w:rPr>
          <w:spacing w:val="-17"/>
        </w:rPr>
        <w:t> </w:t>
      </w:r>
      <w:r>
        <w:rPr/>
        <w:t>bulgu,</w:t>
      </w:r>
      <w:r>
        <w:rPr>
          <w:spacing w:val="-19"/>
        </w:rPr>
        <w:t> </w:t>
      </w:r>
      <w:r>
        <w:rPr/>
        <w:t>literatürdeki</w:t>
      </w:r>
      <w:r>
        <w:rPr>
          <w:spacing w:val="-14"/>
        </w:rPr>
        <w:t> </w:t>
      </w:r>
      <w:r>
        <w:rPr/>
        <w:t>çoğu</w:t>
      </w:r>
      <w:r>
        <w:rPr>
          <w:spacing w:val="-17"/>
        </w:rPr>
        <w:t> </w:t>
      </w:r>
      <w:r>
        <w:rPr/>
        <w:t>çalışmanın</w:t>
      </w:r>
      <w:r>
        <w:rPr>
          <w:spacing w:val="-18"/>
        </w:rPr>
        <w:t> </w:t>
      </w:r>
      <w:r>
        <w:rPr/>
        <w:t>bulgularıyla</w:t>
      </w:r>
      <w:r>
        <w:rPr>
          <w:spacing w:val="-18"/>
        </w:rPr>
        <w:t> </w:t>
      </w:r>
      <w:r>
        <w:rPr/>
        <w:t>örtüşmektedir</w:t>
      </w:r>
      <w:r>
        <w:rPr>
          <w:spacing w:val="-17"/>
        </w:rPr>
        <w:t> </w:t>
      </w:r>
      <w:r>
        <w:rPr/>
        <w:t>(örn.</w:t>
      </w:r>
      <w:r>
        <w:rPr>
          <w:spacing w:val="-17"/>
        </w:rPr>
        <w:t> </w:t>
      </w:r>
      <w:r>
        <w:rPr/>
        <w:t>Chevalier ve</w:t>
      </w:r>
      <w:r>
        <w:rPr>
          <w:spacing w:val="-7"/>
        </w:rPr>
        <w:t> </w:t>
      </w:r>
      <w:r>
        <w:rPr/>
        <w:t>Mayzlin,</w:t>
      </w:r>
      <w:r>
        <w:rPr>
          <w:spacing w:val="-6"/>
        </w:rPr>
        <w:t> </w:t>
      </w:r>
      <w:r>
        <w:rPr/>
        <w:t>2006;</w:t>
      </w:r>
      <w:r>
        <w:rPr>
          <w:spacing w:val="-6"/>
        </w:rPr>
        <w:t> </w:t>
      </w:r>
      <w:r>
        <w:rPr/>
        <w:t>Amblee</w:t>
      </w:r>
      <w:r>
        <w:rPr>
          <w:spacing w:val="-7"/>
        </w:rPr>
        <w:t> </w:t>
      </w:r>
      <w:r>
        <w:rPr/>
        <w:t>ve</w:t>
      </w:r>
      <w:r>
        <w:rPr>
          <w:spacing w:val="-7"/>
        </w:rPr>
        <w:t> </w:t>
      </w:r>
      <w:r>
        <w:rPr/>
        <w:t>Bui,</w:t>
      </w:r>
      <w:r>
        <w:rPr>
          <w:spacing w:val="-6"/>
        </w:rPr>
        <w:t> </w:t>
      </w:r>
      <w:r>
        <w:rPr/>
        <w:t>2011;</w:t>
      </w:r>
      <w:r>
        <w:rPr>
          <w:spacing w:val="-8"/>
        </w:rPr>
        <w:t> </w:t>
      </w:r>
      <w:r>
        <w:rPr/>
        <w:t>Cui</w:t>
      </w:r>
      <w:r>
        <w:rPr>
          <w:spacing w:val="-8"/>
        </w:rPr>
        <w:t> </w:t>
      </w:r>
      <w:r>
        <w:rPr/>
        <w:t>vd.,</w:t>
      </w:r>
      <w:r>
        <w:rPr>
          <w:spacing w:val="-6"/>
        </w:rPr>
        <w:t> </w:t>
      </w:r>
      <w:r>
        <w:rPr/>
        <w:t>2012;</w:t>
      </w:r>
      <w:r>
        <w:rPr>
          <w:spacing w:val="-6"/>
        </w:rPr>
        <w:t> </w:t>
      </w:r>
      <w:r>
        <w:rPr/>
        <w:t>Jabr</w:t>
      </w:r>
      <w:r>
        <w:rPr>
          <w:spacing w:val="-7"/>
        </w:rPr>
        <w:t> </w:t>
      </w:r>
      <w:r>
        <w:rPr/>
        <w:t>ve</w:t>
      </w:r>
      <w:r>
        <w:rPr>
          <w:spacing w:val="-7"/>
        </w:rPr>
        <w:t> </w:t>
      </w:r>
      <w:r>
        <w:rPr/>
        <w:t>Zheng,</w:t>
      </w:r>
      <w:r>
        <w:rPr>
          <w:spacing w:val="-6"/>
        </w:rPr>
        <w:t> </w:t>
      </w:r>
      <w:r>
        <w:rPr/>
        <w:t>2014;</w:t>
      </w:r>
      <w:r>
        <w:rPr>
          <w:spacing w:val="-6"/>
        </w:rPr>
        <w:t> </w:t>
      </w:r>
      <w:r>
        <w:rPr/>
        <w:t>Bao</w:t>
      </w:r>
      <w:r>
        <w:rPr>
          <w:spacing w:val="-3"/>
        </w:rPr>
        <w:t> </w:t>
      </w:r>
      <w:r>
        <w:rPr/>
        <w:t>ve</w:t>
      </w:r>
      <w:r>
        <w:rPr>
          <w:spacing w:val="-7"/>
        </w:rPr>
        <w:t> </w:t>
      </w:r>
      <w:r>
        <w:rPr/>
        <w:t>Chang, 2016; Chen vd., 2017; Fink vd., 2018; Bao vd., 2019). Ayrıca, çalışmanın bulguları, yorum sayısı ile satışlar arasındaki pozitif ilişkinin örneklemdeki tüm ürün kategorileri için geçerli olduğunu ve bu ilişkinin ürün kategorisine göre farklılaşabildiğini</w:t>
      </w:r>
      <w:r>
        <w:rPr>
          <w:spacing w:val="-10"/>
        </w:rPr>
        <w:t> </w:t>
      </w:r>
      <w:r>
        <w:rPr/>
        <w:t>göstermektedir.</w:t>
      </w:r>
    </w:p>
    <w:p>
      <w:pPr>
        <w:pStyle w:val="BodyText"/>
        <w:spacing w:line="360" w:lineRule="auto"/>
        <w:ind w:right="308" w:firstLine="708"/>
      </w:pPr>
      <w:r>
        <w:rPr/>
        <w:t>Analiz sonuçları ortalama yorum puanı ile satışlar arasında da pozitif ilişki olduğuna ve</w:t>
      </w:r>
      <w:r>
        <w:rPr>
          <w:spacing w:val="-10"/>
        </w:rPr>
        <w:t> </w:t>
      </w:r>
      <w:r>
        <w:rPr/>
        <w:t>bu</w:t>
      </w:r>
      <w:r>
        <w:rPr>
          <w:spacing w:val="-9"/>
        </w:rPr>
        <w:t> </w:t>
      </w:r>
      <w:r>
        <w:rPr/>
        <w:t>ilişkinin</w:t>
      </w:r>
      <w:r>
        <w:rPr>
          <w:spacing w:val="-8"/>
        </w:rPr>
        <w:t> </w:t>
      </w:r>
      <w:r>
        <w:rPr/>
        <w:t>tüm</w:t>
      </w:r>
      <w:r>
        <w:rPr>
          <w:spacing w:val="-8"/>
        </w:rPr>
        <w:t> </w:t>
      </w:r>
      <w:r>
        <w:rPr/>
        <w:t>ürün</w:t>
      </w:r>
      <w:r>
        <w:rPr>
          <w:spacing w:val="-9"/>
        </w:rPr>
        <w:t> </w:t>
      </w:r>
      <w:r>
        <w:rPr/>
        <w:t>kategorileri</w:t>
      </w:r>
      <w:r>
        <w:rPr>
          <w:spacing w:val="-9"/>
        </w:rPr>
        <w:t> </w:t>
      </w:r>
      <w:r>
        <w:rPr/>
        <w:t>için</w:t>
      </w:r>
      <w:r>
        <w:rPr>
          <w:spacing w:val="-9"/>
        </w:rPr>
        <w:t> </w:t>
      </w:r>
      <w:r>
        <w:rPr/>
        <w:t>geçerli</w:t>
      </w:r>
      <w:r>
        <w:rPr>
          <w:spacing w:val="-8"/>
        </w:rPr>
        <w:t> </w:t>
      </w:r>
      <w:r>
        <w:rPr/>
        <w:t>olduğuna</w:t>
      </w:r>
      <w:r>
        <w:rPr>
          <w:spacing w:val="-10"/>
        </w:rPr>
        <w:t> </w:t>
      </w:r>
      <w:r>
        <w:rPr/>
        <w:t>işaret</w:t>
      </w:r>
      <w:r>
        <w:rPr>
          <w:spacing w:val="-8"/>
        </w:rPr>
        <w:t> </w:t>
      </w:r>
      <w:r>
        <w:rPr/>
        <w:t>etmektedir.</w:t>
      </w:r>
      <w:r>
        <w:rPr>
          <w:spacing w:val="-7"/>
        </w:rPr>
        <w:t> </w:t>
      </w:r>
      <w:r>
        <w:rPr/>
        <w:t>Ortalama</w:t>
      </w:r>
      <w:r>
        <w:rPr>
          <w:spacing w:val="-9"/>
        </w:rPr>
        <w:t> </w:t>
      </w:r>
      <w:r>
        <w:rPr/>
        <w:t>yorum puanı ile satışlar arasındaki pozitif ilişki bulgusu literatürdeki bazı çalışmaların sonuçlarıyla benzerlik</w:t>
      </w:r>
      <w:r>
        <w:rPr>
          <w:spacing w:val="-9"/>
        </w:rPr>
        <w:t> </w:t>
      </w:r>
      <w:r>
        <w:rPr/>
        <w:t>taşımaktadır</w:t>
      </w:r>
      <w:r>
        <w:rPr>
          <w:spacing w:val="-6"/>
        </w:rPr>
        <w:t> </w:t>
      </w:r>
      <w:r>
        <w:rPr/>
        <w:t>(örn.</w:t>
      </w:r>
      <w:r>
        <w:rPr>
          <w:spacing w:val="-9"/>
        </w:rPr>
        <w:t> </w:t>
      </w:r>
      <w:r>
        <w:rPr/>
        <w:t>Chevalier</w:t>
      </w:r>
      <w:r>
        <w:rPr>
          <w:spacing w:val="-9"/>
        </w:rPr>
        <w:t> </w:t>
      </w:r>
      <w:r>
        <w:rPr/>
        <w:t>ve</w:t>
      </w:r>
      <w:r>
        <w:rPr>
          <w:spacing w:val="-7"/>
        </w:rPr>
        <w:t> </w:t>
      </w:r>
      <w:r>
        <w:rPr/>
        <w:t>Mayzlin,</w:t>
      </w:r>
      <w:r>
        <w:rPr>
          <w:spacing w:val="-7"/>
        </w:rPr>
        <w:t> </w:t>
      </w:r>
      <w:r>
        <w:rPr/>
        <w:t>2006;</w:t>
      </w:r>
      <w:r>
        <w:rPr>
          <w:spacing w:val="-8"/>
        </w:rPr>
        <w:t> </w:t>
      </w:r>
      <w:r>
        <w:rPr/>
        <w:t>Gu</w:t>
      </w:r>
      <w:r>
        <w:rPr>
          <w:spacing w:val="-9"/>
        </w:rPr>
        <w:t> </w:t>
      </w:r>
      <w:r>
        <w:rPr/>
        <w:t>vd.,</w:t>
      </w:r>
      <w:r>
        <w:rPr>
          <w:spacing w:val="-9"/>
        </w:rPr>
        <w:t> </w:t>
      </w:r>
      <w:r>
        <w:rPr/>
        <w:t>2013;</w:t>
      </w:r>
      <w:r>
        <w:rPr>
          <w:spacing w:val="-8"/>
        </w:rPr>
        <w:t> </w:t>
      </w:r>
      <w:r>
        <w:rPr/>
        <w:t>Jabr</w:t>
      </w:r>
      <w:r>
        <w:rPr>
          <w:spacing w:val="-7"/>
        </w:rPr>
        <w:t> </w:t>
      </w:r>
      <w:r>
        <w:rPr/>
        <w:t>ve</w:t>
      </w:r>
      <w:r>
        <w:rPr>
          <w:spacing w:val="-10"/>
        </w:rPr>
        <w:t> </w:t>
      </w:r>
      <w:r>
        <w:rPr/>
        <w:t>Zheng,</w:t>
      </w:r>
      <w:r>
        <w:rPr>
          <w:spacing w:val="-9"/>
        </w:rPr>
        <w:t> </w:t>
      </w:r>
      <w:r>
        <w:rPr/>
        <w:t>2014; Suryadi ve Kim, 2018; Li ve Shimizu, 2018; Bao vd., 2019). Çalışmanın bulguları,</w:t>
      </w:r>
      <w:r>
        <w:rPr>
          <w:spacing w:val="-40"/>
        </w:rPr>
        <w:t> </w:t>
      </w:r>
      <w:r>
        <w:rPr/>
        <w:t>ortalama yorum puanı ile satışlar arasındaki ilişkinin ürün kategorisine farklılaştığını da göstermektedir.</w:t>
      </w:r>
    </w:p>
    <w:p>
      <w:pPr>
        <w:pStyle w:val="BodyText"/>
        <w:spacing w:line="360" w:lineRule="auto" w:before="2"/>
        <w:ind w:right="313" w:firstLine="708"/>
      </w:pPr>
      <w:r>
        <w:rPr/>
        <w:t>Literatürdeki çalışmaların (örn. Cui vd. 2012; Suryadi ve Kim, 2018) sonuçlarına benzer şekilde pozitif yönlü tespit edilen olumlu yorum-satış ilişkisi, tüm ürün kategorileri için anlamlı bulunamamıştır. Dolayısıyla, çalışmanın bulguları, olumlu yorumların satışları artırdığı</w:t>
      </w:r>
      <w:r>
        <w:rPr>
          <w:spacing w:val="-13"/>
        </w:rPr>
        <w:t> </w:t>
      </w:r>
      <w:r>
        <w:rPr/>
        <w:t>varsayımını</w:t>
      </w:r>
      <w:r>
        <w:rPr>
          <w:spacing w:val="-12"/>
        </w:rPr>
        <w:t> </w:t>
      </w:r>
      <w:r>
        <w:rPr/>
        <w:t>tüm</w:t>
      </w:r>
      <w:r>
        <w:rPr>
          <w:spacing w:val="-11"/>
        </w:rPr>
        <w:t> </w:t>
      </w:r>
      <w:r>
        <w:rPr/>
        <w:t>ürün</w:t>
      </w:r>
      <w:r>
        <w:rPr>
          <w:spacing w:val="-13"/>
        </w:rPr>
        <w:t> </w:t>
      </w:r>
      <w:r>
        <w:rPr/>
        <w:t>kategorileri</w:t>
      </w:r>
      <w:r>
        <w:rPr>
          <w:spacing w:val="-12"/>
        </w:rPr>
        <w:t> </w:t>
      </w:r>
      <w:r>
        <w:rPr/>
        <w:t>için</w:t>
      </w:r>
      <w:r>
        <w:rPr>
          <w:spacing w:val="-12"/>
        </w:rPr>
        <w:t> </w:t>
      </w:r>
      <w:r>
        <w:rPr/>
        <w:t>doğrulayamamıştır.</w:t>
      </w:r>
      <w:r>
        <w:rPr>
          <w:spacing w:val="-12"/>
        </w:rPr>
        <w:t> </w:t>
      </w:r>
      <w:r>
        <w:rPr/>
        <w:t>Ayrıca,</w:t>
      </w:r>
      <w:r>
        <w:rPr>
          <w:spacing w:val="-12"/>
        </w:rPr>
        <w:t> </w:t>
      </w:r>
      <w:r>
        <w:rPr/>
        <w:t>çalışma</w:t>
      </w:r>
      <w:r>
        <w:rPr>
          <w:spacing w:val="-12"/>
        </w:rPr>
        <w:t> </w:t>
      </w:r>
      <w:r>
        <w:rPr/>
        <w:t>sonuçları olumlu yorumların satışlara etkisinin ürün kategorilerine göre farklılaştığı görüşünü desteklemekte ve Li ve Shimizu’nun (2018) sonuçlarıyla</w:t>
      </w:r>
      <w:r>
        <w:rPr>
          <w:spacing w:val="-6"/>
        </w:rPr>
        <w:t> </w:t>
      </w:r>
      <w:r>
        <w:rPr/>
        <w:t>örtüşmektedir.</w:t>
      </w:r>
    </w:p>
    <w:p>
      <w:pPr>
        <w:pStyle w:val="BodyText"/>
        <w:spacing w:line="360" w:lineRule="auto"/>
        <w:ind w:right="308" w:firstLine="708"/>
      </w:pPr>
      <w:r>
        <w:rPr/>
        <w:t>Olumsuz yorum-satış ilişkisi ise sadece bir ürün kategorisinde (koltuk) negatif yönlü ve</w:t>
      </w:r>
      <w:r>
        <w:rPr>
          <w:spacing w:val="-13"/>
        </w:rPr>
        <w:t> </w:t>
      </w:r>
      <w:r>
        <w:rPr/>
        <w:t>anlamlı</w:t>
      </w:r>
      <w:r>
        <w:rPr>
          <w:spacing w:val="-10"/>
        </w:rPr>
        <w:t> </w:t>
      </w:r>
      <w:r>
        <w:rPr/>
        <w:t>olarak</w:t>
      </w:r>
      <w:r>
        <w:rPr>
          <w:spacing w:val="-9"/>
        </w:rPr>
        <w:t> </w:t>
      </w:r>
      <w:r>
        <w:rPr/>
        <w:t>tespit</w:t>
      </w:r>
      <w:r>
        <w:rPr>
          <w:spacing w:val="-10"/>
        </w:rPr>
        <w:t> </w:t>
      </w:r>
      <w:r>
        <w:rPr/>
        <w:t>edilmiştir.</w:t>
      </w:r>
      <w:r>
        <w:rPr>
          <w:spacing w:val="-12"/>
        </w:rPr>
        <w:t> </w:t>
      </w:r>
      <w:r>
        <w:rPr/>
        <w:t>Çalışmanın</w:t>
      </w:r>
      <w:r>
        <w:rPr>
          <w:spacing w:val="-11"/>
        </w:rPr>
        <w:t> </w:t>
      </w:r>
      <w:r>
        <w:rPr/>
        <w:t>bulguları,</w:t>
      </w:r>
      <w:r>
        <w:rPr>
          <w:spacing w:val="-10"/>
        </w:rPr>
        <w:t> </w:t>
      </w:r>
      <w:r>
        <w:rPr/>
        <w:t>olumsuz</w:t>
      </w:r>
      <w:r>
        <w:rPr>
          <w:spacing w:val="-12"/>
        </w:rPr>
        <w:t> </w:t>
      </w:r>
      <w:r>
        <w:rPr/>
        <w:t>yorumların</w:t>
      </w:r>
      <w:r>
        <w:rPr>
          <w:spacing w:val="-10"/>
        </w:rPr>
        <w:t> </w:t>
      </w:r>
      <w:r>
        <w:rPr/>
        <w:t>satışlar</w:t>
      </w:r>
      <w:r>
        <w:rPr>
          <w:spacing w:val="-12"/>
        </w:rPr>
        <w:t> </w:t>
      </w:r>
      <w:r>
        <w:rPr/>
        <w:t>üzerine etkisinin</w:t>
      </w:r>
      <w:r>
        <w:rPr>
          <w:spacing w:val="-12"/>
        </w:rPr>
        <w:t> </w:t>
      </w:r>
      <w:r>
        <w:rPr/>
        <w:t>ürün</w:t>
      </w:r>
      <w:r>
        <w:rPr>
          <w:spacing w:val="-13"/>
        </w:rPr>
        <w:t> </w:t>
      </w:r>
      <w:r>
        <w:rPr/>
        <w:t>kategorilerine</w:t>
      </w:r>
      <w:r>
        <w:rPr>
          <w:spacing w:val="-12"/>
        </w:rPr>
        <w:t> </w:t>
      </w:r>
      <w:r>
        <w:rPr/>
        <w:t>göre</w:t>
      </w:r>
      <w:r>
        <w:rPr>
          <w:spacing w:val="-11"/>
        </w:rPr>
        <w:t> </w:t>
      </w:r>
      <w:r>
        <w:rPr/>
        <w:t>farklılaşabildiği</w:t>
      </w:r>
      <w:r>
        <w:rPr>
          <w:spacing w:val="-9"/>
        </w:rPr>
        <w:t> </w:t>
      </w:r>
      <w:r>
        <w:rPr/>
        <w:t>görüşünü</w:t>
      </w:r>
      <w:r>
        <w:rPr>
          <w:spacing w:val="-12"/>
        </w:rPr>
        <w:t> </w:t>
      </w:r>
      <w:r>
        <w:rPr/>
        <w:t>desteklemekte</w:t>
      </w:r>
      <w:r>
        <w:rPr>
          <w:spacing w:val="-8"/>
        </w:rPr>
        <w:t> </w:t>
      </w:r>
      <w:r>
        <w:rPr/>
        <w:t>ve</w:t>
      </w:r>
      <w:r>
        <w:rPr>
          <w:spacing w:val="-13"/>
        </w:rPr>
        <w:t> </w:t>
      </w:r>
      <w:r>
        <w:rPr/>
        <w:t>bu</w:t>
      </w:r>
      <w:r>
        <w:rPr>
          <w:spacing w:val="-12"/>
        </w:rPr>
        <w:t> </w:t>
      </w:r>
      <w:r>
        <w:rPr/>
        <w:t>sonuç</w:t>
      </w:r>
      <w:r>
        <w:rPr>
          <w:spacing w:val="-10"/>
        </w:rPr>
        <w:t> </w:t>
      </w:r>
      <w:r>
        <w:rPr/>
        <w:t>Li</w:t>
      </w:r>
      <w:r>
        <w:rPr>
          <w:spacing w:val="-11"/>
        </w:rPr>
        <w:t> </w:t>
      </w:r>
      <w:r>
        <w:rPr/>
        <w:t>ve Shimizu’nun (2018) sonuçlarıyla benzerlik</w:t>
      </w:r>
      <w:r>
        <w:rPr>
          <w:spacing w:val="-3"/>
        </w:rPr>
        <w:t> </w:t>
      </w:r>
      <w:r>
        <w:rPr/>
        <w:t>taşımaktadır.</w:t>
      </w:r>
    </w:p>
    <w:p>
      <w:pPr>
        <w:pStyle w:val="BodyText"/>
        <w:spacing w:line="360" w:lineRule="auto"/>
        <w:ind w:right="309" w:firstLine="708"/>
      </w:pPr>
      <w:r>
        <w:rPr/>
        <w:t>Çalışmanın önemli bulgularından bir tanesi literatürde sıklıkla göz ardı edilen nötr yorumlara dair bulgulardır. Ürün kategorisinin aracılık etkisi olmadığında, Tang vd.’nin (2014) sonuçlarına benzer şekilde, nötr yorumlar ile satışlar arasında negatif yönlü bir ilişki bulunmuştur. Ancak, ürün kategorileri dikkate alındığında nötr yorumlar ile satışlar arasındaki ilişkinin yönünün ve anlamlılığının farklılaştığı tespit edilmiştir. Ayrıca, çalışma</w:t>
      </w:r>
    </w:p>
    <w:p>
      <w:pPr>
        <w:spacing w:after="0" w:line="360" w:lineRule="auto"/>
        <w:sectPr>
          <w:pgSz w:w="12240" w:h="15840"/>
          <w:pgMar w:header="718" w:footer="0" w:top="1300" w:bottom="280" w:left="1720" w:right="820"/>
        </w:sectPr>
      </w:pPr>
    </w:p>
    <w:p>
      <w:pPr>
        <w:pStyle w:val="BodyText"/>
        <w:spacing w:line="360" w:lineRule="auto" w:before="100"/>
        <w:ind w:right="314"/>
      </w:pPr>
      <w:r>
        <w:rPr/>
        <w:t>bulguları nötr yorumların satışlara etkisinin ürün kategorilerine göre farklılaştığı görüşünü desteklemekte ve Tang vd.nin (2014) sonuçlarıyla örtüşmektedir.</w:t>
      </w:r>
    </w:p>
    <w:p>
      <w:pPr>
        <w:pStyle w:val="BodyText"/>
        <w:spacing w:line="360" w:lineRule="auto" w:before="1"/>
        <w:ind w:right="314" w:firstLine="708"/>
      </w:pPr>
      <w:r>
        <w:rPr/>
        <w:t>Çalışmanın bir diğer önemli bulgusu ise, yorum-satış ilişkisini inceleyen önceki çalışmaların modellerinde genellikle yer verilmeyen geçmiş dönem satışlarının aslında önemli bir etken olduğunun tespit edilmesidir.</w:t>
      </w:r>
    </w:p>
    <w:p>
      <w:pPr>
        <w:pStyle w:val="BodyText"/>
        <w:spacing w:line="360" w:lineRule="auto"/>
        <w:ind w:right="308" w:firstLine="708"/>
      </w:pPr>
      <w:r>
        <w:rPr/>
        <w:t>Ürün yorumlarının satışlara etkisini irdelemeyi amaçlayan bu uygulama bölümünün bulguları ışığında bir takım teorik ve yönetimsel çıkarımlarda bulunmak mümkündür. Elektronik</w:t>
      </w:r>
      <w:r>
        <w:rPr>
          <w:spacing w:val="-7"/>
        </w:rPr>
        <w:t> </w:t>
      </w:r>
      <w:r>
        <w:rPr/>
        <w:t>ağızdan</w:t>
      </w:r>
      <w:r>
        <w:rPr>
          <w:spacing w:val="-7"/>
        </w:rPr>
        <w:t> </w:t>
      </w:r>
      <w:r>
        <w:rPr/>
        <w:t>ağıza</w:t>
      </w:r>
      <w:r>
        <w:rPr>
          <w:spacing w:val="-5"/>
        </w:rPr>
        <w:t> </w:t>
      </w:r>
      <w:r>
        <w:rPr/>
        <w:t>iletişim</w:t>
      </w:r>
      <w:r>
        <w:rPr>
          <w:spacing w:val="-6"/>
        </w:rPr>
        <w:t> </w:t>
      </w:r>
      <w:r>
        <w:rPr/>
        <w:t>literatürü</w:t>
      </w:r>
      <w:r>
        <w:rPr>
          <w:spacing w:val="-6"/>
        </w:rPr>
        <w:t> </w:t>
      </w:r>
      <w:r>
        <w:rPr/>
        <w:t>için</w:t>
      </w:r>
      <w:r>
        <w:rPr>
          <w:spacing w:val="-7"/>
        </w:rPr>
        <w:t> </w:t>
      </w:r>
      <w:r>
        <w:rPr/>
        <w:t>çalışmanın</w:t>
      </w:r>
      <w:r>
        <w:rPr>
          <w:spacing w:val="-6"/>
        </w:rPr>
        <w:t> </w:t>
      </w:r>
      <w:r>
        <w:rPr/>
        <w:t>önemli</w:t>
      </w:r>
      <w:r>
        <w:rPr>
          <w:spacing w:val="-7"/>
        </w:rPr>
        <w:t> </w:t>
      </w:r>
      <w:r>
        <w:rPr/>
        <w:t>bulguları</w:t>
      </w:r>
      <w:r>
        <w:rPr>
          <w:spacing w:val="-9"/>
        </w:rPr>
        <w:t> </w:t>
      </w:r>
      <w:r>
        <w:rPr/>
        <w:t>özetle</w:t>
      </w:r>
      <w:r>
        <w:rPr>
          <w:spacing w:val="-8"/>
        </w:rPr>
        <w:t> </w:t>
      </w:r>
      <w:r>
        <w:rPr/>
        <w:t>şunlardır:</w:t>
      </w:r>
    </w:p>
    <w:p>
      <w:pPr>
        <w:pStyle w:val="BodyText"/>
        <w:spacing w:line="360" w:lineRule="auto"/>
        <w:ind w:right="309"/>
      </w:pPr>
      <w:r>
        <w:rPr/>
        <w:t>(1)</w:t>
      </w:r>
      <w:r>
        <w:rPr>
          <w:spacing w:val="-11"/>
        </w:rPr>
        <w:t> </w:t>
      </w:r>
      <w:r>
        <w:rPr/>
        <w:t>tüm</w:t>
      </w:r>
      <w:r>
        <w:rPr>
          <w:spacing w:val="-9"/>
        </w:rPr>
        <w:t> </w:t>
      </w:r>
      <w:r>
        <w:rPr/>
        <w:t>hacim</w:t>
      </w:r>
      <w:r>
        <w:rPr>
          <w:spacing w:val="-9"/>
        </w:rPr>
        <w:t> </w:t>
      </w:r>
      <w:r>
        <w:rPr/>
        <w:t>ve</w:t>
      </w:r>
      <w:r>
        <w:rPr>
          <w:spacing w:val="-11"/>
        </w:rPr>
        <w:t> </w:t>
      </w:r>
      <w:r>
        <w:rPr/>
        <w:t>değerlik</w:t>
      </w:r>
      <w:r>
        <w:rPr>
          <w:spacing w:val="-9"/>
        </w:rPr>
        <w:t> </w:t>
      </w:r>
      <w:r>
        <w:rPr/>
        <w:t>özellikleri</w:t>
      </w:r>
      <w:r>
        <w:rPr>
          <w:spacing w:val="-10"/>
        </w:rPr>
        <w:t> </w:t>
      </w:r>
      <w:r>
        <w:rPr/>
        <w:t>satışları</w:t>
      </w:r>
      <w:r>
        <w:rPr>
          <w:spacing w:val="-8"/>
        </w:rPr>
        <w:t> </w:t>
      </w:r>
      <w:r>
        <w:rPr/>
        <w:t>etkileyen</w:t>
      </w:r>
      <w:r>
        <w:rPr>
          <w:spacing w:val="-10"/>
        </w:rPr>
        <w:t> </w:t>
      </w:r>
      <w:r>
        <w:rPr/>
        <w:t>önemli</w:t>
      </w:r>
      <w:r>
        <w:rPr>
          <w:spacing w:val="-9"/>
        </w:rPr>
        <w:t> </w:t>
      </w:r>
      <w:r>
        <w:rPr/>
        <w:t>faktörlerdir,</w:t>
      </w:r>
      <w:r>
        <w:rPr>
          <w:spacing w:val="-7"/>
        </w:rPr>
        <w:t> </w:t>
      </w:r>
      <w:r>
        <w:rPr/>
        <w:t>(2)</w:t>
      </w:r>
      <w:r>
        <w:rPr>
          <w:spacing w:val="-11"/>
        </w:rPr>
        <w:t> </w:t>
      </w:r>
      <w:r>
        <w:rPr/>
        <w:t>nötr</w:t>
      </w:r>
      <w:r>
        <w:rPr>
          <w:spacing w:val="-10"/>
        </w:rPr>
        <w:t> </w:t>
      </w:r>
      <w:r>
        <w:rPr/>
        <w:t>yorumlar olumlu ve olumsuz yorumlar gibi satışları etkileyen önemli bir faktördür, (3) nötr yorumun satışlara etkisinin yönü (pozitif ya da negatif) ürün kategorisine göre değişmektedir, (4) hacim ve değerlik özellikleri ile satışlar arasındaki ilişki ürün kategorileri arasında farklılık göstermektedir, (5) olumlu, olumsuz ve/veya nötr yorumlar bazı ürün kategorilerinin satışlarını etkilerken bazılarının satışlarını da etkilememektedir, (6) mevcut dönem satışlarında</w:t>
      </w:r>
      <w:r>
        <w:rPr>
          <w:spacing w:val="-10"/>
        </w:rPr>
        <w:t> </w:t>
      </w:r>
      <w:r>
        <w:rPr/>
        <w:t>etkili</w:t>
      </w:r>
      <w:r>
        <w:rPr>
          <w:spacing w:val="-8"/>
        </w:rPr>
        <w:t> </w:t>
      </w:r>
      <w:r>
        <w:rPr/>
        <w:t>olan</w:t>
      </w:r>
      <w:r>
        <w:rPr>
          <w:spacing w:val="-9"/>
        </w:rPr>
        <w:t> </w:t>
      </w:r>
      <w:r>
        <w:rPr/>
        <w:t>en</w:t>
      </w:r>
      <w:r>
        <w:rPr>
          <w:spacing w:val="-11"/>
        </w:rPr>
        <w:t> </w:t>
      </w:r>
      <w:r>
        <w:rPr/>
        <w:t>önemli</w:t>
      </w:r>
      <w:r>
        <w:rPr>
          <w:spacing w:val="-8"/>
        </w:rPr>
        <w:t> </w:t>
      </w:r>
      <w:r>
        <w:rPr/>
        <w:t>faktör</w:t>
      </w:r>
      <w:r>
        <w:rPr>
          <w:spacing w:val="-10"/>
        </w:rPr>
        <w:t> </w:t>
      </w:r>
      <w:r>
        <w:rPr/>
        <w:t>geçmiş</w:t>
      </w:r>
      <w:r>
        <w:rPr>
          <w:spacing w:val="-8"/>
        </w:rPr>
        <w:t> </w:t>
      </w:r>
      <w:r>
        <w:rPr/>
        <w:t>dönem</w:t>
      </w:r>
      <w:r>
        <w:rPr>
          <w:spacing w:val="-8"/>
        </w:rPr>
        <w:t> </w:t>
      </w:r>
      <w:r>
        <w:rPr/>
        <w:t>satışlarıdır.</w:t>
      </w:r>
      <w:r>
        <w:rPr>
          <w:spacing w:val="-6"/>
        </w:rPr>
        <w:t> </w:t>
      </w:r>
      <w:r>
        <w:rPr/>
        <w:t>Çalışmanın</w:t>
      </w:r>
      <w:r>
        <w:rPr>
          <w:spacing w:val="-9"/>
        </w:rPr>
        <w:t> </w:t>
      </w:r>
      <w:r>
        <w:rPr/>
        <w:t>bulgularından yola çıkarak, e-perakende firması yöneticilerine, bu çalışmanın modelleri kullanılarak sahip oldukları büyük verileri analiz etmeleri tavsiye edilmektedir. Bu sayede, şirket verilerinin sunduğu içgörülerle kategorilere özel stratejiler belirlenmesi mümkün olacaktır. Ayrıca, geçmiş dönem satışlarının mevcut dönem satışlarında oldukça etkili bir faktör olmasından dolayı, tüketicilerin hangi ürünlerin daha fazla tercih edildiğini görmelerini sağlayan kolaylıkların e-perakende sayfalarında sunulması</w:t>
      </w:r>
      <w:r>
        <w:rPr>
          <w:spacing w:val="-1"/>
        </w:rPr>
        <w:t> </w:t>
      </w:r>
      <w:r>
        <w:rPr/>
        <w:t>önerilmektedir.</w:t>
      </w:r>
    </w:p>
    <w:p>
      <w:pPr>
        <w:pStyle w:val="BodyText"/>
        <w:spacing w:line="360" w:lineRule="auto"/>
        <w:ind w:right="312" w:firstLine="708"/>
      </w:pPr>
      <w:r>
        <w:rPr/>
        <w:t>İkinci uygulama (bk. Bölüm 3) satıcı yorumlarının satışlara etkisini incelemek üzere gerçekleştirilmiştir. Literatürde, satıcıya yapılan yorumların araştırmacıların dikkatini yeterince</w:t>
      </w:r>
      <w:r>
        <w:rPr>
          <w:spacing w:val="-16"/>
        </w:rPr>
        <w:t> </w:t>
      </w:r>
      <w:r>
        <w:rPr/>
        <w:t>çekmemiş</w:t>
      </w:r>
      <w:r>
        <w:rPr>
          <w:spacing w:val="-17"/>
        </w:rPr>
        <w:t> </w:t>
      </w:r>
      <w:r>
        <w:rPr/>
        <w:t>olması</w:t>
      </w:r>
      <w:r>
        <w:rPr>
          <w:spacing w:val="-16"/>
        </w:rPr>
        <w:t> </w:t>
      </w:r>
      <w:r>
        <w:rPr/>
        <w:t>bu</w:t>
      </w:r>
      <w:r>
        <w:rPr>
          <w:spacing w:val="-17"/>
        </w:rPr>
        <w:t> </w:t>
      </w:r>
      <w:r>
        <w:rPr/>
        <w:t>çalışmanın</w:t>
      </w:r>
      <w:r>
        <w:rPr>
          <w:spacing w:val="-17"/>
        </w:rPr>
        <w:t> </w:t>
      </w:r>
      <w:r>
        <w:rPr/>
        <w:t>temel</w:t>
      </w:r>
      <w:r>
        <w:rPr>
          <w:spacing w:val="-16"/>
        </w:rPr>
        <w:t> </w:t>
      </w:r>
      <w:r>
        <w:rPr/>
        <w:t>motivasyonudur.</w:t>
      </w:r>
      <w:r>
        <w:rPr>
          <w:spacing w:val="-13"/>
        </w:rPr>
        <w:t> </w:t>
      </w:r>
      <w:r>
        <w:rPr/>
        <w:t>Bu</w:t>
      </w:r>
      <w:r>
        <w:rPr>
          <w:spacing w:val="-17"/>
        </w:rPr>
        <w:t> </w:t>
      </w:r>
      <w:r>
        <w:rPr/>
        <w:t>amaçla,</w:t>
      </w:r>
      <w:r>
        <w:rPr>
          <w:spacing w:val="-17"/>
        </w:rPr>
        <w:t> </w:t>
      </w:r>
      <w:r>
        <w:rPr/>
        <w:t>bir</w:t>
      </w:r>
      <w:r>
        <w:rPr>
          <w:spacing w:val="-16"/>
        </w:rPr>
        <w:t> </w:t>
      </w:r>
      <w:r>
        <w:rPr/>
        <w:t>online</w:t>
      </w:r>
      <w:r>
        <w:rPr>
          <w:spacing w:val="-18"/>
        </w:rPr>
        <w:t> </w:t>
      </w:r>
      <w:r>
        <w:rPr/>
        <w:t>pazar alanı olan Etsy.com’dan panel veri toplanmış ve bu panel veri genelleştirilmiş momentler yöntemi ile analiz</w:t>
      </w:r>
      <w:r>
        <w:rPr>
          <w:spacing w:val="-2"/>
        </w:rPr>
        <w:t> </w:t>
      </w:r>
      <w:r>
        <w:rPr/>
        <w:t>edilmiştir.</w:t>
      </w:r>
    </w:p>
    <w:p>
      <w:pPr>
        <w:pStyle w:val="BodyText"/>
        <w:spacing w:line="360" w:lineRule="auto"/>
        <w:ind w:right="312" w:firstLine="708"/>
      </w:pPr>
      <w:r>
        <w:rPr/>
        <w:t>Gerçekleştirilen analiz sonuçları, satıcılar için yapılan yorumların sayısı ile satışlar arasında pozitif ilişki olduğunu göstermektedir. Bu bulgu, literatürde ürün yorumları için yapılmış pek çok çalışmanın bulgularıyla örtüşmektedir (örn. Jabr ve Zheng, 2014; Bao ve Chang,</w:t>
      </w:r>
      <w:r>
        <w:rPr>
          <w:spacing w:val="-9"/>
        </w:rPr>
        <w:t> </w:t>
      </w:r>
      <w:r>
        <w:rPr/>
        <w:t>2016;</w:t>
      </w:r>
      <w:r>
        <w:rPr>
          <w:spacing w:val="-7"/>
        </w:rPr>
        <w:t> </w:t>
      </w:r>
      <w:r>
        <w:rPr/>
        <w:t>Chen</w:t>
      </w:r>
      <w:r>
        <w:rPr>
          <w:spacing w:val="-9"/>
        </w:rPr>
        <w:t> </w:t>
      </w:r>
      <w:r>
        <w:rPr/>
        <w:t>vd.,</w:t>
      </w:r>
      <w:r>
        <w:rPr>
          <w:spacing w:val="-8"/>
        </w:rPr>
        <w:t> </w:t>
      </w:r>
      <w:r>
        <w:rPr/>
        <w:t>2017;</w:t>
      </w:r>
      <w:r>
        <w:rPr>
          <w:spacing w:val="-8"/>
        </w:rPr>
        <w:t> </w:t>
      </w:r>
      <w:r>
        <w:rPr/>
        <w:t>Fink</w:t>
      </w:r>
      <w:r>
        <w:rPr>
          <w:spacing w:val="-7"/>
        </w:rPr>
        <w:t> </w:t>
      </w:r>
      <w:r>
        <w:rPr/>
        <w:t>vd.,</w:t>
      </w:r>
      <w:r>
        <w:rPr>
          <w:spacing w:val="-9"/>
        </w:rPr>
        <w:t> </w:t>
      </w:r>
      <w:r>
        <w:rPr/>
        <w:t>2018;</w:t>
      </w:r>
      <w:r>
        <w:rPr>
          <w:spacing w:val="-7"/>
        </w:rPr>
        <w:t> </w:t>
      </w:r>
      <w:r>
        <w:rPr/>
        <w:t>Bao</w:t>
      </w:r>
      <w:r>
        <w:rPr>
          <w:spacing w:val="-6"/>
        </w:rPr>
        <w:t> </w:t>
      </w:r>
      <w:r>
        <w:rPr/>
        <w:t>vd.,</w:t>
      </w:r>
      <w:r>
        <w:rPr>
          <w:spacing w:val="-8"/>
        </w:rPr>
        <w:t> </w:t>
      </w:r>
      <w:r>
        <w:rPr/>
        <w:t>2019).</w:t>
      </w:r>
      <w:r>
        <w:rPr>
          <w:spacing w:val="-9"/>
        </w:rPr>
        <w:t> </w:t>
      </w:r>
      <w:r>
        <w:rPr/>
        <w:t>Satıcılara</w:t>
      </w:r>
      <w:r>
        <w:rPr>
          <w:spacing w:val="-7"/>
        </w:rPr>
        <w:t> </w:t>
      </w:r>
      <w:r>
        <w:rPr/>
        <w:t>yapılan</w:t>
      </w:r>
      <w:r>
        <w:rPr>
          <w:spacing w:val="-9"/>
        </w:rPr>
        <w:t> </w:t>
      </w:r>
      <w:r>
        <w:rPr/>
        <w:t>yorumlar</w:t>
      </w:r>
      <w:r>
        <w:rPr>
          <w:spacing w:val="-9"/>
        </w:rPr>
        <w:t> </w:t>
      </w:r>
      <w:r>
        <w:rPr/>
        <w:t>ile satışlar</w:t>
      </w:r>
      <w:r>
        <w:rPr>
          <w:spacing w:val="6"/>
        </w:rPr>
        <w:t> </w:t>
      </w:r>
      <w:r>
        <w:rPr/>
        <w:t>arasındaki</w:t>
      </w:r>
      <w:r>
        <w:rPr>
          <w:spacing w:val="7"/>
        </w:rPr>
        <w:t> </w:t>
      </w:r>
      <w:r>
        <w:rPr/>
        <w:t>ilişkiyi</w:t>
      </w:r>
      <w:r>
        <w:rPr>
          <w:spacing w:val="7"/>
        </w:rPr>
        <w:t> </w:t>
      </w:r>
      <w:r>
        <w:rPr/>
        <w:t>irdeleyen</w:t>
      </w:r>
      <w:r>
        <w:rPr>
          <w:spacing w:val="9"/>
        </w:rPr>
        <w:t> </w:t>
      </w:r>
      <w:r>
        <w:rPr/>
        <w:t>az</w:t>
      </w:r>
      <w:r>
        <w:rPr>
          <w:spacing w:val="8"/>
        </w:rPr>
        <w:t> </w:t>
      </w:r>
      <w:r>
        <w:rPr/>
        <w:t>sayıdaki</w:t>
      </w:r>
      <w:r>
        <w:rPr>
          <w:spacing w:val="9"/>
        </w:rPr>
        <w:t> </w:t>
      </w:r>
      <w:r>
        <w:rPr/>
        <w:t>çalışmanın</w:t>
      </w:r>
      <w:r>
        <w:rPr>
          <w:spacing w:val="8"/>
        </w:rPr>
        <w:t> </w:t>
      </w:r>
      <w:r>
        <w:rPr/>
        <w:t>(örn.</w:t>
      </w:r>
      <w:r>
        <w:rPr>
          <w:spacing w:val="9"/>
        </w:rPr>
        <w:t> </w:t>
      </w:r>
      <w:r>
        <w:rPr/>
        <w:t>Wei’an</w:t>
      </w:r>
      <w:r>
        <w:rPr>
          <w:spacing w:val="7"/>
        </w:rPr>
        <w:t> </w:t>
      </w:r>
      <w:r>
        <w:rPr/>
        <w:t>vd.,</w:t>
      </w:r>
      <w:r>
        <w:rPr>
          <w:spacing w:val="7"/>
        </w:rPr>
        <w:t> </w:t>
      </w:r>
      <w:r>
        <w:rPr/>
        <w:t>2008;</w:t>
      </w:r>
      <w:r>
        <w:rPr>
          <w:spacing w:val="7"/>
        </w:rPr>
        <w:t> </w:t>
      </w:r>
      <w:r>
        <w:rPr/>
        <w:t>Ye</w:t>
      </w:r>
      <w:r>
        <w:rPr>
          <w:spacing w:val="8"/>
        </w:rPr>
        <w:t> </w:t>
      </w:r>
      <w:r>
        <w:rPr/>
        <w:t>vd.,</w:t>
      </w:r>
    </w:p>
    <w:p>
      <w:pPr>
        <w:spacing w:after="0" w:line="360" w:lineRule="auto"/>
        <w:sectPr>
          <w:pgSz w:w="12240" w:h="15840"/>
          <w:pgMar w:header="718" w:footer="0" w:top="1300" w:bottom="280" w:left="1720" w:right="820"/>
        </w:sectPr>
      </w:pPr>
    </w:p>
    <w:p>
      <w:pPr>
        <w:pStyle w:val="BodyText"/>
        <w:spacing w:line="360" w:lineRule="auto" w:before="100"/>
        <w:ind w:right="310"/>
      </w:pPr>
      <w:r>
        <w:rPr/>
        <w:t>2009;</w:t>
      </w:r>
      <w:r>
        <w:rPr>
          <w:spacing w:val="-8"/>
        </w:rPr>
        <w:t> </w:t>
      </w:r>
      <w:r>
        <w:rPr/>
        <w:t>Zhang</w:t>
      </w:r>
      <w:r>
        <w:rPr>
          <w:spacing w:val="-9"/>
        </w:rPr>
        <w:t> </w:t>
      </w:r>
      <w:r>
        <w:rPr/>
        <w:t>ve</w:t>
      </w:r>
      <w:r>
        <w:rPr>
          <w:spacing w:val="-10"/>
        </w:rPr>
        <w:t> </w:t>
      </w:r>
      <w:r>
        <w:rPr/>
        <w:t>Zhang,</w:t>
      </w:r>
      <w:r>
        <w:rPr>
          <w:spacing w:val="-9"/>
        </w:rPr>
        <w:t> </w:t>
      </w:r>
      <w:r>
        <w:rPr/>
        <w:t>2011;</w:t>
      </w:r>
      <w:r>
        <w:rPr>
          <w:spacing w:val="-8"/>
        </w:rPr>
        <w:t> </w:t>
      </w:r>
      <w:r>
        <w:rPr/>
        <w:t>Ye</w:t>
      </w:r>
      <w:r>
        <w:rPr>
          <w:spacing w:val="-10"/>
        </w:rPr>
        <w:t> </w:t>
      </w:r>
      <w:r>
        <w:rPr/>
        <w:t>vd.,</w:t>
      </w:r>
      <w:r>
        <w:rPr>
          <w:spacing w:val="-9"/>
        </w:rPr>
        <w:t> </w:t>
      </w:r>
      <w:r>
        <w:rPr/>
        <w:t>2013;</w:t>
      </w:r>
      <w:r>
        <w:rPr>
          <w:spacing w:val="-8"/>
        </w:rPr>
        <w:t> </w:t>
      </w:r>
      <w:r>
        <w:rPr/>
        <w:t>Li</w:t>
      </w:r>
      <w:r>
        <w:rPr>
          <w:spacing w:val="-11"/>
        </w:rPr>
        <w:t> </w:t>
      </w:r>
      <w:r>
        <w:rPr/>
        <w:t>vd.,</w:t>
      </w:r>
      <w:r>
        <w:rPr>
          <w:spacing w:val="-11"/>
        </w:rPr>
        <w:t> </w:t>
      </w:r>
      <w:r>
        <w:rPr/>
        <w:t>2015)</w:t>
      </w:r>
      <w:r>
        <w:rPr>
          <w:spacing w:val="-8"/>
        </w:rPr>
        <w:t> </w:t>
      </w:r>
      <w:r>
        <w:rPr/>
        <w:t>tümü</w:t>
      </w:r>
      <w:r>
        <w:rPr>
          <w:spacing w:val="-9"/>
        </w:rPr>
        <w:t> </w:t>
      </w:r>
      <w:r>
        <w:rPr/>
        <w:t>hacim-satış</w:t>
      </w:r>
      <w:r>
        <w:rPr>
          <w:spacing w:val="-9"/>
        </w:rPr>
        <w:t> </w:t>
      </w:r>
      <w:r>
        <w:rPr/>
        <w:t>ilişkisini</w:t>
      </w:r>
      <w:r>
        <w:rPr>
          <w:spacing w:val="-10"/>
        </w:rPr>
        <w:t> </w:t>
      </w:r>
      <w:r>
        <w:rPr/>
        <w:t>göz</w:t>
      </w:r>
      <w:r>
        <w:rPr>
          <w:spacing w:val="-10"/>
        </w:rPr>
        <w:t> </w:t>
      </w:r>
      <w:r>
        <w:rPr/>
        <w:t>ardı ettiğinden, bu çalışmanın toplam yorum sayısı ile satışlar arasındaki pozitif ilişki bulgusu literatür açısından oldukça</w:t>
      </w:r>
      <w:r>
        <w:rPr>
          <w:spacing w:val="-2"/>
        </w:rPr>
        <w:t> </w:t>
      </w:r>
      <w:r>
        <w:rPr/>
        <w:t>önemlidir.</w:t>
      </w:r>
    </w:p>
    <w:p>
      <w:pPr>
        <w:pStyle w:val="BodyText"/>
        <w:spacing w:line="360" w:lineRule="auto"/>
        <w:ind w:right="313" w:firstLine="708"/>
      </w:pPr>
      <w:r>
        <w:rPr/>
        <w:t>Analizler sonucunda ortalama puan ile satışlar arasında negatif ilişki olduğu görülmektedir. Bu bulgu önceki çalışmaların (Zhang ve Zhang, 2011; Li vd., 2015) sonuçlarıyla örtüşmemektedir. Benzer şekilde, elde edilen ilginç bir bulgu da olumsuz yorum-satış ilişkisine aittir. Analiz sonuçları olumsuz yorumlar ile satışlar arasında pozitif ilişki olduğunu göstermektedir. Bu bulgu da önceki çalışmaların (Wei’an vd., 2008; Ye vd., 2009; Zhang ve Zhang, 2011) sonuçlarıyla benzerlik taşımamaktadır.</w:t>
      </w:r>
    </w:p>
    <w:p>
      <w:pPr>
        <w:pStyle w:val="BodyText"/>
        <w:spacing w:line="360" w:lineRule="auto"/>
        <w:ind w:right="310" w:firstLine="708"/>
      </w:pPr>
      <w:r>
        <w:rPr/>
        <w:t>Öte yandan, sonuçlar olumlu ve nötr yorumların satışlarla pozitif ilişkili olduğunu göstermektedir. Olumlu yorumlara dair bulgu çalışmaların (örn. Ye vd., 2009; Li vd., 2015) sonuçları ile örtüşmektedir. Ayrıca, nötr yorumlar ile bulgu ise, iki uç noktada bulunan olumlu</w:t>
      </w:r>
      <w:r>
        <w:rPr>
          <w:spacing w:val="-7"/>
        </w:rPr>
        <w:t> </w:t>
      </w:r>
      <w:r>
        <w:rPr/>
        <w:t>ve</w:t>
      </w:r>
      <w:r>
        <w:rPr>
          <w:spacing w:val="-7"/>
        </w:rPr>
        <w:t> </w:t>
      </w:r>
      <w:r>
        <w:rPr/>
        <w:t>olumsuz</w:t>
      </w:r>
      <w:r>
        <w:rPr>
          <w:spacing w:val="-8"/>
        </w:rPr>
        <w:t> </w:t>
      </w:r>
      <w:r>
        <w:rPr/>
        <w:t>yorumlar</w:t>
      </w:r>
      <w:r>
        <w:rPr>
          <w:spacing w:val="-7"/>
        </w:rPr>
        <w:t> </w:t>
      </w:r>
      <w:r>
        <w:rPr/>
        <w:t>gibi</w:t>
      </w:r>
      <w:r>
        <w:rPr>
          <w:spacing w:val="-7"/>
        </w:rPr>
        <w:t> </w:t>
      </w:r>
      <w:r>
        <w:rPr/>
        <w:t>orta</w:t>
      </w:r>
      <w:r>
        <w:rPr>
          <w:spacing w:val="-7"/>
        </w:rPr>
        <w:t> </w:t>
      </w:r>
      <w:r>
        <w:rPr/>
        <w:t>noktada</w:t>
      </w:r>
      <w:r>
        <w:rPr>
          <w:spacing w:val="-9"/>
        </w:rPr>
        <w:t> </w:t>
      </w:r>
      <w:r>
        <w:rPr/>
        <w:t>bulunan</w:t>
      </w:r>
      <w:r>
        <w:rPr>
          <w:spacing w:val="-7"/>
        </w:rPr>
        <w:t> </w:t>
      </w:r>
      <w:r>
        <w:rPr/>
        <w:t>nötr</w:t>
      </w:r>
      <w:r>
        <w:rPr>
          <w:spacing w:val="-7"/>
        </w:rPr>
        <w:t> </w:t>
      </w:r>
      <w:r>
        <w:rPr/>
        <w:t>yorumların</w:t>
      </w:r>
      <w:r>
        <w:rPr>
          <w:spacing w:val="-7"/>
        </w:rPr>
        <w:t> </w:t>
      </w:r>
      <w:r>
        <w:rPr/>
        <w:t>da</w:t>
      </w:r>
      <w:r>
        <w:rPr>
          <w:spacing w:val="-7"/>
        </w:rPr>
        <w:t> </w:t>
      </w:r>
      <w:r>
        <w:rPr/>
        <w:t>satışları</w:t>
      </w:r>
      <w:r>
        <w:rPr>
          <w:spacing w:val="-7"/>
        </w:rPr>
        <w:t> </w:t>
      </w:r>
      <w:r>
        <w:rPr/>
        <w:t>etkileyen bir unsur olduğuna işaret</w:t>
      </w:r>
      <w:r>
        <w:rPr>
          <w:spacing w:val="-1"/>
        </w:rPr>
        <w:t> </w:t>
      </w:r>
      <w:r>
        <w:rPr/>
        <w:t>etmektedir.</w:t>
      </w:r>
    </w:p>
    <w:p>
      <w:pPr>
        <w:pStyle w:val="BodyText"/>
        <w:spacing w:line="360" w:lineRule="auto" w:before="2"/>
        <w:ind w:right="308" w:firstLine="708"/>
      </w:pPr>
      <w:r>
        <w:rPr/>
        <w:t>Satıcı yorumları ile satışlar arasındaki ilişkinin literatürde daha önce oldukça az ilgi çekmesi göz önüne alındığında, bu uygulama bölümünün tüm bulgularının elektronik ağızdan</w:t>
      </w:r>
      <w:r>
        <w:rPr>
          <w:spacing w:val="-7"/>
        </w:rPr>
        <w:t> </w:t>
      </w:r>
      <w:r>
        <w:rPr/>
        <w:t>ağıza</w:t>
      </w:r>
      <w:r>
        <w:rPr>
          <w:spacing w:val="-10"/>
        </w:rPr>
        <w:t> </w:t>
      </w:r>
      <w:r>
        <w:rPr/>
        <w:t>iletişim</w:t>
      </w:r>
      <w:r>
        <w:rPr>
          <w:spacing w:val="-9"/>
        </w:rPr>
        <w:t> </w:t>
      </w:r>
      <w:r>
        <w:rPr/>
        <w:t>literatürü</w:t>
      </w:r>
      <w:r>
        <w:rPr>
          <w:spacing w:val="-9"/>
        </w:rPr>
        <w:t> </w:t>
      </w:r>
      <w:r>
        <w:rPr/>
        <w:t>için</w:t>
      </w:r>
      <w:r>
        <w:rPr>
          <w:spacing w:val="-9"/>
        </w:rPr>
        <w:t> </w:t>
      </w:r>
      <w:r>
        <w:rPr/>
        <w:t>oldukça</w:t>
      </w:r>
      <w:r>
        <w:rPr>
          <w:spacing w:val="-10"/>
        </w:rPr>
        <w:t> </w:t>
      </w:r>
      <w:r>
        <w:rPr/>
        <w:t>önemli</w:t>
      </w:r>
      <w:r>
        <w:rPr>
          <w:spacing w:val="-9"/>
        </w:rPr>
        <w:t> </w:t>
      </w:r>
      <w:r>
        <w:rPr/>
        <w:t>olduğu</w:t>
      </w:r>
      <w:r>
        <w:rPr>
          <w:spacing w:val="-8"/>
        </w:rPr>
        <w:t> </w:t>
      </w:r>
      <w:r>
        <w:rPr/>
        <w:t>görülmektedir.</w:t>
      </w:r>
      <w:r>
        <w:rPr>
          <w:spacing w:val="-4"/>
        </w:rPr>
        <w:t> </w:t>
      </w:r>
      <w:r>
        <w:rPr/>
        <w:t>Özellikle,</w:t>
      </w:r>
      <w:r>
        <w:rPr>
          <w:spacing w:val="-8"/>
        </w:rPr>
        <w:t> </w:t>
      </w:r>
      <w:r>
        <w:rPr/>
        <w:t>önceki benzer çalışmaların (örn. Wei’an vd., 2008; Ye vd., 2009; Zhang ve Zhang, 2011; Ye vd., 2013; Li vd., 2015) sadece değerlik özelliklerine odaklandığı göz önüne alındığında, toplam yorum sayısı ile satışlar arasındaki ilişkiye dair bulgu çalışmanın en önemli bulgusudur. Sonuçlara göre, ayrıca, geçmiş dönem satışları mevcut dönem satışları üzerinde önemli bir etkiye sahiptir. Bir önceki döneme ait satışların, mevcut dönem satışlarını yorum özelliklerinden daha fazla etkileyen önemli bir faktör olması da çalışmanın önemli bulgularındandır.</w:t>
      </w:r>
    </w:p>
    <w:p>
      <w:pPr>
        <w:pStyle w:val="BodyText"/>
        <w:spacing w:line="360" w:lineRule="auto" w:before="159"/>
        <w:ind w:right="310" w:firstLine="708"/>
      </w:pPr>
      <w:r>
        <w:rPr/>
        <w:t>Bu çalışmanın literatüre sunduğu önemli bulgular aracılığıyla online pazar alanlarında faaliyet gösteren satıcılara yönelik yönetimsel çıkarımlarda bulunmak mümkündür. Özellikle, analiz sonuçları neticesinde elde edilen en büyük katsayının bağımlı değişkenin bir gecikmelisine ait olması sebebiyle bir önceki dönem gerçekleşen satışların mevcut</w:t>
      </w:r>
      <w:r>
        <w:rPr>
          <w:spacing w:val="-12"/>
        </w:rPr>
        <w:t> </w:t>
      </w:r>
      <w:r>
        <w:rPr/>
        <w:t>dönemdeki</w:t>
      </w:r>
      <w:r>
        <w:rPr>
          <w:spacing w:val="-9"/>
        </w:rPr>
        <w:t> </w:t>
      </w:r>
      <w:r>
        <w:rPr/>
        <w:t>satışları</w:t>
      </w:r>
      <w:r>
        <w:rPr>
          <w:spacing w:val="-10"/>
        </w:rPr>
        <w:t> </w:t>
      </w:r>
      <w:r>
        <w:rPr/>
        <w:t>etkileyen</w:t>
      </w:r>
      <w:r>
        <w:rPr>
          <w:spacing w:val="-9"/>
        </w:rPr>
        <w:t> </w:t>
      </w:r>
      <w:r>
        <w:rPr/>
        <w:t>en</w:t>
      </w:r>
      <w:r>
        <w:rPr>
          <w:spacing w:val="-10"/>
        </w:rPr>
        <w:t> </w:t>
      </w:r>
      <w:r>
        <w:rPr/>
        <w:t>önemli</w:t>
      </w:r>
      <w:r>
        <w:rPr>
          <w:spacing w:val="-11"/>
        </w:rPr>
        <w:t> </w:t>
      </w:r>
      <w:r>
        <w:rPr/>
        <w:t>unsur</w:t>
      </w:r>
      <w:r>
        <w:rPr>
          <w:spacing w:val="-13"/>
        </w:rPr>
        <w:t> </w:t>
      </w:r>
      <w:r>
        <w:rPr/>
        <w:t>olduğu</w:t>
      </w:r>
      <w:r>
        <w:rPr>
          <w:spacing w:val="-11"/>
        </w:rPr>
        <w:t> </w:t>
      </w:r>
      <w:r>
        <w:rPr/>
        <w:t>söylenebilir.</w:t>
      </w:r>
      <w:r>
        <w:rPr>
          <w:spacing w:val="-8"/>
        </w:rPr>
        <w:t> </w:t>
      </w:r>
      <w:r>
        <w:rPr/>
        <w:t>Bu</w:t>
      </w:r>
      <w:r>
        <w:rPr>
          <w:spacing w:val="-11"/>
        </w:rPr>
        <w:t> </w:t>
      </w:r>
      <w:r>
        <w:rPr/>
        <w:t>bulgudan</w:t>
      </w:r>
      <w:r>
        <w:rPr>
          <w:spacing w:val="-13"/>
        </w:rPr>
        <w:t> </w:t>
      </w:r>
      <w:r>
        <w:rPr/>
        <w:t>yola çıkarak, haftalık satışların bir sonraki haftalık satışlar üzerinde doğal bir kaldıraç etkisi olduğu belirtilebilir. Dolayısıyla, satış miktarı düşük satıcıların bu kaldıraç</w:t>
      </w:r>
      <w:r>
        <w:rPr>
          <w:spacing w:val="57"/>
        </w:rPr>
        <w:t> </w:t>
      </w:r>
      <w:r>
        <w:rPr/>
        <w:t>etkisinden</w:t>
      </w:r>
    </w:p>
    <w:p>
      <w:pPr>
        <w:spacing w:after="0" w:line="360" w:lineRule="auto"/>
        <w:sectPr>
          <w:pgSz w:w="12240" w:h="15840"/>
          <w:pgMar w:header="718" w:footer="0" w:top="1300" w:bottom="280" w:left="1720" w:right="820"/>
        </w:sectPr>
      </w:pPr>
    </w:p>
    <w:p>
      <w:pPr>
        <w:pStyle w:val="BodyText"/>
        <w:spacing w:line="360" w:lineRule="auto" w:before="100"/>
        <w:ind w:right="313"/>
      </w:pPr>
      <w:r>
        <w:rPr/>
        <w:t>faydalanabilmeleri için indirimler, kuponlar ve çeşitli tutundurma faaliyetleri (reklam gibi) ile satışlarını desteklemeleri gerekmektedir. Araştırma sonuçları, ayrıca, olabildiğince fazla müşteriden yorum almanın satıcılar için oldukça önemli olduğunu göstermektedir. Bu nedenle, satıcıların müşterilerini yorum yapmaya teşvik etmeleri oldukça yararlı olacaktır. Teşvik olarak ürün ile birlikte “yorum yapmayı unutmayın” gibi hatırlatıcı bir not gönderilmesi ya da yorum yapacak müşteriye bir sonraki alışverişinde geçerli bir indirim kuponu vaadedilmesi önerilmektedir.</w:t>
      </w:r>
    </w:p>
    <w:p>
      <w:pPr>
        <w:pStyle w:val="BodyText"/>
        <w:spacing w:line="360" w:lineRule="auto" w:before="120"/>
        <w:ind w:right="312" w:firstLine="708"/>
      </w:pPr>
      <w:r>
        <w:rPr/>
        <w:t>Her iki uygulama bölümü (bk. Bölüm 2 ve Bölüm 3) için yapılan araştırmalar çeşitli kısıtlar çerçevesinde gerçekleştirilmiştir. Her iki uygulamada da modellere dahil edilmeyen unsurlar bulunmaktadır. Örneğin, yorumların sadece sayısal özellikleri modellere dahil edilmiş,</w:t>
      </w:r>
      <w:r>
        <w:rPr>
          <w:spacing w:val="-8"/>
        </w:rPr>
        <w:t> </w:t>
      </w:r>
      <w:r>
        <w:rPr/>
        <w:t>yorum</w:t>
      </w:r>
      <w:r>
        <w:rPr>
          <w:spacing w:val="-10"/>
        </w:rPr>
        <w:t> </w:t>
      </w:r>
      <w:r>
        <w:rPr/>
        <w:t>metinlerinin</w:t>
      </w:r>
      <w:r>
        <w:rPr>
          <w:spacing w:val="-8"/>
        </w:rPr>
        <w:t> </w:t>
      </w:r>
      <w:r>
        <w:rPr/>
        <w:t>içeriği</w:t>
      </w:r>
      <w:r>
        <w:rPr>
          <w:spacing w:val="-7"/>
        </w:rPr>
        <w:t> </w:t>
      </w:r>
      <w:r>
        <w:rPr/>
        <w:t>dahil</w:t>
      </w:r>
      <w:r>
        <w:rPr>
          <w:spacing w:val="-8"/>
        </w:rPr>
        <w:t> </w:t>
      </w:r>
      <w:r>
        <w:rPr/>
        <w:t>edilmemiştir.</w:t>
      </w:r>
      <w:r>
        <w:rPr>
          <w:spacing w:val="-7"/>
        </w:rPr>
        <w:t> </w:t>
      </w:r>
      <w:r>
        <w:rPr/>
        <w:t>Ayrıca,</w:t>
      </w:r>
      <w:r>
        <w:rPr>
          <w:spacing w:val="-7"/>
        </w:rPr>
        <w:t> </w:t>
      </w:r>
      <w:r>
        <w:rPr/>
        <w:t>veri</w:t>
      </w:r>
      <w:r>
        <w:rPr>
          <w:spacing w:val="-9"/>
        </w:rPr>
        <w:t> </w:t>
      </w:r>
      <w:r>
        <w:rPr/>
        <w:t>toplama</w:t>
      </w:r>
      <w:r>
        <w:rPr>
          <w:spacing w:val="-8"/>
        </w:rPr>
        <w:t> </w:t>
      </w:r>
      <w:r>
        <w:rPr/>
        <w:t>süreci</w:t>
      </w:r>
      <w:r>
        <w:rPr>
          <w:spacing w:val="-8"/>
        </w:rPr>
        <w:t> </w:t>
      </w:r>
      <w:r>
        <w:rPr/>
        <w:t>içerisinde satıştan kalkan ürünler ve satışa ara veren satıcılar olması sebebiyle örneklemler küçülmüştür. Bu kısıtlardan yola çıkarak, gelecek çalışmalarda araştırmacıların bu çalışmanın modellerini temel alarak farklı örneklemlerde, yorum metinlerinin içeriği gibi farklı unsurları da dikkate alarak analizleri yapmaları</w:t>
      </w:r>
      <w:r>
        <w:rPr>
          <w:spacing w:val="-1"/>
        </w:rPr>
        <w:t> </w:t>
      </w:r>
      <w:r>
        <w:rPr/>
        <w:t>önerilmektedir.</w:t>
      </w:r>
    </w:p>
    <w:p>
      <w:pPr>
        <w:spacing w:after="0" w:line="360" w:lineRule="auto"/>
        <w:sectPr>
          <w:pgSz w:w="12240" w:h="15840"/>
          <w:pgMar w:header="718" w:footer="0" w:top="1300" w:bottom="280" w:left="1720" w:right="820"/>
        </w:sectPr>
      </w:pPr>
    </w:p>
    <w:p>
      <w:pPr>
        <w:pStyle w:val="Heading1"/>
        <w:spacing w:before="100"/>
        <w:ind w:left="561" w:right="328" w:firstLine="0"/>
        <w:jc w:val="center"/>
      </w:pPr>
      <w:r>
        <w:rPr/>
        <w:t>KAYNAKLAR</w:t>
      </w:r>
    </w:p>
    <w:p>
      <w:pPr>
        <w:pStyle w:val="BodyText"/>
        <w:spacing w:before="4"/>
        <w:ind w:left="0"/>
        <w:jc w:val="left"/>
        <w:rPr>
          <w:b/>
          <w:sz w:val="22"/>
        </w:rPr>
      </w:pPr>
    </w:p>
    <w:p>
      <w:pPr>
        <w:pStyle w:val="BodyText"/>
        <w:ind w:left="1256" w:right="313" w:hanging="708"/>
      </w:pPr>
      <w:r>
        <w:rPr/>
        <w:t>Aggarwal,</w:t>
      </w:r>
      <w:r>
        <w:rPr>
          <w:spacing w:val="-11"/>
        </w:rPr>
        <w:t> </w:t>
      </w:r>
      <w:r>
        <w:rPr/>
        <w:t>R.,</w:t>
      </w:r>
      <w:r>
        <w:rPr>
          <w:spacing w:val="-11"/>
        </w:rPr>
        <w:t> </w:t>
      </w:r>
      <w:r>
        <w:rPr/>
        <w:t>Gopal,</w:t>
      </w:r>
      <w:r>
        <w:rPr>
          <w:spacing w:val="-7"/>
        </w:rPr>
        <w:t> </w:t>
      </w:r>
      <w:r>
        <w:rPr/>
        <w:t>R.,</w:t>
      </w:r>
      <w:r>
        <w:rPr>
          <w:spacing w:val="-9"/>
        </w:rPr>
        <w:t> </w:t>
      </w:r>
      <w:r>
        <w:rPr/>
        <w:t>Gupta,</w:t>
      </w:r>
      <w:r>
        <w:rPr>
          <w:spacing w:val="-10"/>
        </w:rPr>
        <w:t> </w:t>
      </w:r>
      <w:r>
        <w:rPr/>
        <w:t>A.,</w:t>
      </w:r>
      <w:r>
        <w:rPr>
          <w:spacing w:val="-12"/>
        </w:rPr>
        <w:t> </w:t>
      </w:r>
      <w:r>
        <w:rPr/>
        <w:t>&amp;</w:t>
      </w:r>
      <w:r>
        <w:rPr>
          <w:spacing w:val="-7"/>
        </w:rPr>
        <w:t> </w:t>
      </w:r>
      <w:r>
        <w:rPr/>
        <w:t>Singh,</w:t>
      </w:r>
      <w:r>
        <w:rPr>
          <w:spacing w:val="-11"/>
        </w:rPr>
        <w:t> </w:t>
      </w:r>
      <w:r>
        <w:rPr/>
        <w:t>H.</w:t>
      </w:r>
      <w:r>
        <w:rPr>
          <w:spacing w:val="-11"/>
        </w:rPr>
        <w:t> </w:t>
      </w:r>
      <w:r>
        <w:rPr/>
        <w:t>(2012).</w:t>
      </w:r>
      <w:r>
        <w:rPr>
          <w:spacing w:val="-9"/>
        </w:rPr>
        <w:t> </w:t>
      </w:r>
      <w:r>
        <w:rPr/>
        <w:t>“Putting</w:t>
      </w:r>
      <w:r>
        <w:rPr>
          <w:spacing w:val="-10"/>
        </w:rPr>
        <w:t> </w:t>
      </w:r>
      <w:r>
        <w:rPr/>
        <w:t>Money</w:t>
      </w:r>
      <w:r>
        <w:rPr>
          <w:spacing w:val="-9"/>
        </w:rPr>
        <w:t> </w:t>
      </w:r>
      <w:r>
        <w:rPr/>
        <w:t>Where</w:t>
      </w:r>
      <w:r>
        <w:rPr>
          <w:spacing w:val="-9"/>
        </w:rPr>
        <w:t> </w:t>
      </w:r>
      <w:r>
        <w:rPr/>
        <w:t>The</w:t>
      </w:r>
      <w:r>
        <w:rPr>
          <w:spacing w:val="-12"/>
        </w:rPr>
        <w:t> </w:t>
      </w:r>
      <w:r>
        <w:rPr/>
        <w:t>Mouths Are: The Relation Between Venture Financing and Electronic Word-of-Mouth”, </w:t>
      </w:r>
      <w:r>
        <w:rPr>
          <w:i/>
        </w:rPr>
        <w:t>Information Systems Research</w:t>
      </w:r>
      <w:r>
        <w:rPr/>
        <w:t>, 23(3-part-2), 976-992.</w:t>
      </w:r>
      <w:r>
        <w:rPr>
          <w:spacing w:val="-2"/>
        </w:rPr>
        <w:t> </w:t>
      </w:r>
      <w:r>
        <w:rPr/>
        <w:t>doi:10.1287/isre.1110.0402</w:t>
      </w:r>
    </w:p>
    <w:p>
      <w:pPr>
        <w:spacing w:before="120"/>
        <w:ind w:left="1256" w:right="311" w:hanging="708"/>
        <w:jc w:val="both"/>
        <w:rPr>
          <w:sz w:val="24"/>
        </w:rPr>
      </w:pPr>
      <w:r>
        <w:rPr>
          <w:sz w:val="24"/>
        </w:rPr>
        <w:t>Ahmad, S. N., &amp; Laroche, M. (2017). “Analyzing Electronic Word of Mouth: A Social Commerce Construct”, </w:t>
      </w:r>
      <w:r>
        <w:rPr>
          <w:i/>
          <w:sz w:val="24"/>
        </w:rPr>
        <w:t>International Journal of Information Management</w:t>
      </w:r>
      <w:r>
        <w:rPr>
          <w:sz w:val="24"/>
        </w:rPr>
        <w:t>, 37(3), 202-213. doi:10.1016/j.ijinfomgt.2016.08.004</w:t>
      </w:r>
    </w:p>
    <w:p>
      <w:pPr>
        <w:pStyle w:val="BodyText"/>
        <w:spacing w:before="121"/>
        <w:ind w:left="1256" w:right="309" w:hanging="708"/>
      </w:pPr>
      <w:r>
        <w:rPr/>
        <w:t>Alexandrov, A., Lilly, B., &amp; Babakus, E. (2013). “The Effects Of Social-and Self-Motives on The Intentions to Share Positive and Negative Word of Mouth”, </w:t>
      </w:r>
      <w:r>
        <w:rPr>
          <w:i/>
        </w:rPr>
        <w:t>Journal of the </w:t>
      </w:r>
      <w:r>
        <w:rPr>
          <w:i/>
        </w:rPr>
        <w:t>Academy of Marketing Science</w:t>
      </w:r>
      <w:r>
        <w:rPr/>
        <w:t>, 41(5), 531-546. doi: 10.1007/s11747-012-0323-4</w:t>
      </w:r>
    </w:p>
    <w:p>
      <w:pPr>
        <w:spacing w:before="120"/>
        <w:ind w:left="1256" w:right="311" w:hanging="708"/>
        <w:jc w:val="both"/>
        <w:rPr>
          <w:sz w:val="24"/>
        </w:rPr>
      </w:pPr>
      <w:r>
        <w:rPr>
          <w:sz w:val="24"/>
        </w:rPr>
        <w:t>Amblee,</w:t>
      </w:r>
      <w:r>
        <w:rPr>
          <w:spacing w:val="-14"/>
          <w:sz w:val="24"/>
        </w:rPr>
        <w:t> </w:t>
      </w:r>
      <w:r>
        <w:rPr>
          <w:sz w:val="24"/>
        </w:rPr>
        <w:t>N.,</w:t>
      </w:r>
      <w:r>
        <w:rPr>
          <w:spacing w:val="-13"/>
          <w:sz w:val="24"/>
        </w:rPr>
        <w:t> </w:t>
      </w:r>
      <w:r>
        <w:rPr>
          <w:sz w:val="24"/>
        </w:rPr>
        <w:t>&amp;</w:t>
      </w:r>
      <w:r>
        <w:rPr>
          <w:spacing w:val="-14"/>
          <w:sz w:val="24"/>
        </w:rPr>
        <w:t> </w:t>
      </w:r>
      <w:r>
        <w:rPr>
          <w:sz w:val="24"/>
        </w:rPr>
        <w:t>Bui,</w:t>
      </w:r>
      <w:r>
        <w:rPr>
          <w:spacing w:val="-13"/>
          <w:sz w:val="24"/>
        </w:rPr>
        <w:t> </w:t>
      </w:r>
      <w:r>
        <w:rPr>
          <w:sz w:val="24"/>
        </w:rPr>
        <w:t>T.</w:t>
      </w:r>
      <w:r>
        <w:rPr>
          <w:spacing w:val="-14"/>
          <w:sz w:val="24"/>
        </w:rPr>
        <w:t> </w:t>
      </w:r>
      <w:r>
        <w:rPr>
          <w:sz w:val="24"/>
        </w:rPr>
        <w:t>(2008).</w:t>
      </w:r>
      <w:r>
        <w:rPr>
          <w:spacing w:val="-13"/>
          <w:sz w:val="24"/>
        </w:rPr>
        <w:t> </w:t>
      </w:r>
      <w:r>
        <w:rPr>
          <w:sz w:val="24"/>
        </w:rPr>
        <w:t>“Can</w:t>
      </w:r>
      <w:r>
        <w:rPr>
          <w:spacing w:val="-13"/>
          <w:sz w:val="24"/>
        </w:rPr>
        <w:t> </w:t>
      </w:r>
      <w:r>
        <w:rPr>
          <w:sz w:val="24"/>
        </w:rPr>
        <w:t>Brand</w:t>
      </w:r>
      <w:r>
        <w:rPr>
          <w:spacing w:val="-13"/>
          <w:sz w:val="24"/>
        </w:rPr>
        <w:t> </w:t>
      </w:r>
      <w:r>
        <w:rPr>
          <w:sz w:val="24"/>
        </w:rPr>
        <w:t>Reputation</w:t>
      </w:r>
      <w:r>
        <w:rPr>
          <w:spacing w:val="-12"/>
          <w:sz w:val="24"/>
        </w:rPr>
        <w:t> </w:t>
      </w:r>
      <w:r>
        <w:rPr>
          <w:sz w:val="24"/>
        </w:rPr>
        <w:t>Improve</w:t>
      </w:r>
      <w:r>
        <w:rPr>
          <w:spacing w:val="-15"/>
          <w:sz w:val="24"/>
        </w:rPr>
        <w:t> </w:t>
      </w:r>
      <w:r>
        <w:rPr>
          <w:sz w:val="24"/>
        </w:rPr>
        <w:t>The</w:t>
      </w:r>
      <w:r>
        <w:rPr>
          <w:spacing w:val="-14"/>
          <w:sz w:val="24"/>
        </w:rPr>
        <w:t> </w:t>
      </w:r>
      <w:r>
        <w:rPr>
          <w:sz w:val="24"/>
        </w:rPr>
        <w:t>Odds</w:t>
      </w:r>
      <w:r>
        <w:rPr>
          <w:spacing w:val="-14"/>
          <w:sz w:val="24"/>
        </w:rPr>
        <w:t> </w:t>
      </w:r>
      <w:r>
        <w:rPr>
          <w:sz w:val="24"/>
        </w:rPr>
        <w:t>of</w:t>
      </w:r>
      <w:r>
        <w:rPr>
          <w:spacing w:val="-14"/>
          <w:sz w:val="24"/>
        </w:rPr>
        <w:t> </w:t>
      </w:r>
      <w:r>
        <w:rPr>
          <w:sz w:val="24"/>
        </w:rPr>
        <w:t>Being</w:t>
      </w:r>
      <w:r>
        <w:rPr>
          <w:spacing w:val="-13"/>
          <w:sz w:val="24"/>
        </w:rPr>
        <w:t> </w:t>
      </w:r>
      <w:r>
        <w:rPr>
          <w:sz w:val="24"/>
        </w:rPr>
        <w:t>Reviewed On-Line?”, </w:t>
      </w:r>
      <w:r>
        <w:rPr>
          <w:i/>
          <w:sz w:val="24"/>
        </w:rPr>
        <w:t>International Journal of Electronic Commerce</w:t>
      </w:r>
      <w:r>
        <w:rPr>
          <w:sz w:val="24"/>
        </w:rPr>
        <w:t>, 12(3), 11-28. doi:10.2753/JEC1086-4415120302</w:t>
      </w:r>
    </w:p>
    <w:p>
      <w:pPr>
        <w:pStyle w:val="BodyText"/>
        <w:spacing w:before="120"/>
        <w:ind w:left="1256" w:right="310" w:hanging="708"/>
      </w:pPr>
      <w:r>
        <w:rPr/>
        <w:t>Amblee, N., &amp; Bui, T. (2011). “Harnessing The Influence of Social Proof in Online Shopping: The Effect of Electronic Word of Mouth on Sales of Digital Microproducts”, </w:t>
      </w:r>
      <w:r>
        <w:rPr>
          <w:i/>
        </w:rPr>
        <w:t>International Journal of Electronic Commerce</w:t>
      </w:r>
      <w:r>
        <w:rPr/>
        <w:t>, 16(2), 91-114. doi: 10.2753/JEC1086-4415160205</w:t>
      </w:r>
    </w:p>
    <w:p>
      <w:pPr>
        <w:spacing w:before="120"/>
        <w:ind w:left="1256" w:right="312" w:hanging="708"/>
        <w:jc w:val="both"/>
        <w:rPr>
          <w:sz w:val="24"/>
        </w:rPr>
      </w:pPr>
      <w:r>
        <w:rPr>
          <w:sz w:val="24"/>
        </w:rPr>
        <w:t>Anand, O., Srivastava, P. R., &amp; Rakshit, A. (2017). “Assessment, Implication, and Analysis of Online Consumer Reviews: A Literature Review”, </w:t>
      </w:r>
      <w:r>
        <w:rPr>
          <w:i/>
          <w:sz w:val="24"/>
        </w:rPr>
        <w:t>Pacific Asia Journal of the </w:t>
      </w:r>
      <w:r>
        <w:rPr>
          <w:i/>
          <w:sz w:val="24"/>
        </w:rPr>
        <w:t>Association for Information Systems</w:t>
      </w:r>
      <w:r>
        <w:rPr>
          <w:sz w:val="24"/>
        </w:rPr>
        <w:t>, 9(2). 43-74.</w:t>
      </w:r>
    </w:p>
    <w:p>
      <w:pPr>
        <w:pStyle w:val="BodyText"/>
        <w:spacing w:before="120"/>
      </w:pPr>
      <w:r>
        <w:rPr/>
        <w:t>Aral, S., &amp; Eckles, D. (2019). “Protecting Elections from Social Media Manipulation”,</w:t>
      </w:r>
    </w:p>
    <w:p>
      <w:pPr>
        <w:pStyle w:val="BodyText"/>
        <w:ind w:left="1256"/>
      </w:pPr>
      <w:r>
        <w:rPr>
          <w:i/>
        </w:rPr>
        <w:t>Science</w:t>
      </w:r>
      <w:r>
        <w:rPr/>
        <w:t>, 365(6456), 858-861. doi: 10.1126/science.aaw8243</w:t>
      </w:r>
    </w:p>
    <w:p>
      <w:pPr>
        <w:pStyle w:val="BodyText"/>
        <w:spacing w:before="121"/>
        <w:ind w:left="1256" w:right="308" w:hanging="708"/>
      </w:pPr>
      <w:r>
        <w:rPr/>
        <w:t>Aral,</w:t>
      </w:r>
      <w:r>
        <w:rPr>
          <w:spacing w:val="-9"/>
        </w:rPr>
        <w:t> </w:t>
      </w:r>
      <w:r>
        <w:rPr/>
        <w:t>S.,</w:t>
      </w:r>
      <w:r>
        <w:rPr>
          <w:spacing w:val="-10"/>
        </w:rPr>
        <w:t> </w:t>
      </w:r>
      <w:r>
        <w:rPr/>
        <w:t>&amp;</w:t>
      </w:r>
      <w:r>
        <w:rPr>
          <w:spacing w:val="-8"/>
        </w:rPr>
        <w:t> </w:t>
      </w:r>
      <w:r>
        <w:rPr/>
        <w:t>Walker,</w:t>
      </w:r>
      <w:r>
        <w:rPr>
          <w:spacing w:val="-10"/>
        </w:rPr>
        <w:t> </w:t>
      </w:r>
      <w:r>
        <w:rPr/>
        <w:t>D.</w:t>
      </w:r>
      <w:r>
        <w:rPr>
          <w:spacing w:val="-9"/>
        </w:rPr>
        <w:t> </w:t>
      </w:r>
      <w:r>
        <w:rPr/>
        <w:t>(2014).</w:t>
      </w:r>
      <w:r>
        <w:rPr>
          <w:spacing w:val="-9"/>
        </w:rPr>
        <w:t> </w:t>
      </w:r>
      <w:r>
        <w:rPr/>
        <w:t>“Tie</w:t>
      </w:r>
      <w:r>
        <w:rPr>
          <w:spacing w:val="-10"/>
        </w:rPr>
        <w:t> </w:t>
      </w:r>
      <w:r>
        <w:rPr/>
        <w:t>Strength,</w:t>
      </w:r>
      <w:r>
        <w:rPr>
          <w:spacing w:val="-8"/>
        </w:rPr>
        <w:t> </w:t>
      </w:r>
      <w:r>
        <w:rPr/>
        <w:t>Embeddedness,</w:t>
      </w:r>
      <w:r>
        <w:rPr>
          <w:spacing w:val="-9"/>
        </w:rPr>
        <w:t> </w:t>
      </w:r>
      <w:r>
        <w:rPr/>
        <w:t>and</w:t>
      </w:r>
      <w:r>
        <w:rPr>
          <w:spacing w:val="-9"/>
        </w:rPr>
        <w:t> </w:t>
      </w:r>
      <w:r>
        <w:rPr/>
        <w:t>Social</w:t>
      </w:r>
      <w:r>
        <w:rPr>
          <w:spacing w:val="-6"/>
        </w:rPr>
        <w:t> </w:t>
      </w:r>
      <w:r>
        <w:rPr/>
        <w:t>Influence:</w:t>
      </w:r>
      <w:r>
        <w:rPr>
          <w:spacing w:val="-9"/>
        </w:rPr>
        <w:t> </w:t>
      </w:r>
      <w:r>
        <w:rPr/>
        <w:t>A</w:t>
      </w:r>
      <w:r>
        <w:rPr>
          <w:spacing w:val="-9"/>
        </w:rPr>
        <w:t> </w:t>
      </w:r>
      <w:r>
        <w:rPr/>
        <w:t>Large- Scale Networked Experiment”, </w:t>
      </w:r>
      <w:r>
        <w:rPr>
          <w:i/>
        </w:rPr>
        <w:t>Management Science</w:t>
      </w:r>
      <w:r>
        <w:rPr/>
        <w:t>, 60(6), 1352-1370. doi:10.1287/mnsc.2014.1936</w:t>
      </w:r>
    </w:p>
    <w:p>
      <w:pPr>
        <w:pStyle w:val="BodyText"/>
        <w:spacing w:before="120"/>
        <w:ind w:left="1256" w:right="311" w:hanging="708"/>
      </w:pPr>
      <w:r>
        <w:rPr/>
        <w:t>Arellano, M., &amp; Bond, S. (1991). “Some Tests of Specification for Panel Data: Monte</w:t>
      </w:r>
      <w:r>
        <w:rPr>
          <w:spacing w:val="-28"/>
        </w:rPr>
        <w:t> </w:t>
      </w:r>
      <w:r>
        <w:rPr/>
        <w:t>Carlo Evidence and An Application to Employment Equations”, </w:t>
      </w:r>
      <w:r>
        <w:rPr>
          <w:i/>
        </w:rPr>
        <w:t>Review of Economic </w:t>
      </w:r>
      <w:r>
        <w:rPr>
          <w:i/>
        </w:rPr>
        <w:t>Studies</w:t>
      </w:r>
      <w:r>
        <w:rPr/>
        <w:t>, 58(2), 277–297.</w:t>
      </w:r>
      <w:r>
        <w:rPr>
          <w:spacing w:val="1"/>
        </w:rPr>
        <w:t> </w:t>
      </w:r>
      <w:r>
        <w:rPr/>
        <w:t>doi:10.2307/2297968</w:t>
      </w:r>
    </w:p>
    <w:p>
      <w:pPr>
        <w:pStyle w:val="BodyText"/>
        <w:spacing w:before="120"/>
        <w:ind w:left="1256" w:right="308" w:hanging="708"/>
      </w:pPr>
      <w:r>
        <w:rPr/>
        <w:t>Arellano,</w:t>
      </w:r>
      <w:r>
        <w:rPr>
          <w:spacing w:val="-9"/>
        </w:rPr>
        <w:t> </w:t>
      </w:r>
      <w:r>
        <w:rPr/>
        <w:t>M.,</w:t>
      </w:r>
      <w:r>
        <w:rPr>
          <w:spacing w:val="-8"/>
        </w:rPr>
        <w:t> </w:t>
      </w:r>
      <w:r>
        <w:rPr/>
        <w:t>&amp;</w:t>
      </w:r>
      <w:r>
        <w:rPr>
          <w:spacing w:val="-8"/>
        </w:rPr>
        <w:t> </w:t>
      </w:r>
      <w:r>
        <w:rPr/>
        <w:t>Bover,</w:t>
      </w:r>
      <w:r>
        <w:rPr>
          <w:spacing w:val="-8"/>
        </w:rPr>
        <w:t> </w:t>
      </w:r>
      <w:r>
        <w:rPr/>
        <w:t>O.</w:t>
      </w:r>
      <w:r>
        <w:rPr>
          <w:spacing w:val="-9"/>
        </w:rPr>
        <w:t> </w:t>
      </w:r>
      <w:r>
        <w:rPr/>
        <w:t>(1995).</w:t>
      </w:r>
      <w:r>
        <w:rPr>
          <w:spacing w:val="-8"/>
        </w:rPr>
        <w:t> </w:t>
      </w:r>
      <w:r>
        <w:rPr/>
        <w:t>“Another</w:t>
      </w:r>
      <w:r>
        <w:rPr>
          <w:spacing w:val="-6"/>
        </w:rPr>
        <w:t> </w:t>
      </w:r>
      <w:r>
        <w:rPr/>
        <w:t>Look</w:t>
      </w:r>
      <w:r>
        <w:rPr>
          <w:spacing w:val="-6"/>
        </w:rPr>
        <w:t> </w:t>
      </w:r>
      <w:r>
        <w:rPr/>
        <w:t>at</w:t>
      </w:r>
      <w:r>
        <w:rPr>
          <w:spacing w:val="-8"/>
        </w:rPr>
        <w:t> </w:t>
      </w:r>
      <w:r>
        <w:rPr/>
        <w:t>the</w:t>
      </w:r>
      <w:r>
        <w:rPr>
          <w:spacing w:val="-5"/>
        </w:rPr>
        <w:t> </w:t>
      </w:r>
      <w:r>
        <w:rPr/>
        <w:t>Instrumental</w:t>
      </w:r>
      <w:r>
        <w:rPr>
          <w:spacing w:val="-6"/>
        </w:rPr>
        <w:t> </w:t>
      </w:r>
      <w:r>
        <w:rPr/>
        <w:t>Variable</w:t>
      </w:r>
      <w:r>
        <w:rPr>
          <w:spacing w:val="-9"/>
        </w:rPr>
        <w:t> </w:t>
      </w:r>
      <w:r>
        <w:rPr/>
        <w:t>Estimation</w:t>
      </w:r>
      <w:r>
        <w:rPr>
          <w:spacing w:val="-7"/>
        </w:rPr>
        <w:t> </w:t>
      </w:r>
      <w:r>
        <w:rPr/>
        <w:t>of Error-Components Models”, </w:t>
      </w:r>
      <w:r>
        <w:rPr>
          <w:i/>
        </w:rPr>
        <w:t>Journal of Econometrics</w:t>
      </w:r>
      <w:r>
        <w:rPr/>
        <w:t>, 68(1), 29-51. doi:10.1016/0304-4076(94)01642-D</w:t>
      </w:r>
    </w:p>
    <w:p>
      <w:pPr>
        <w:pStyle w:val="BodyText"/>
        <w:spacing w:before="120"/>
        <w:ind w:left="1256" w:right="312" w:hanging="708"/>
      </w:pPr>
      <w:r>
        <w:rPr/>
        <w:t>Arndt J. (1967). "Role of Product-Related Conversations in The Diffusion of A New Product", </w:t>
      </w:r>
      <w:r>
        <w:rPr>
          <w:i/>
        </w:rPr>
        <w:t>Journal of Marketing Research</w:t>
      </w:r>
      <w:r>
        <w:rPr/>
        <w:t>, 4(3), 291-295. doi:10.2307/3149462</w:t>
      </w:r>
    </w:p>
    <w:p>
      <w:pPr>
        <w:pStyle w:val="BodyText"/>
        <w:spacing w:before="121"/>
        <w:ind w:left="1256" w:right="309" w:hanging="708"/>
      </w:pPr>
      <w:r>
        <w:rPr/>
        <w:t>Baek,</w:t>
      </w:r>
      <w:r>
        <w:rPr>
          <w:spacing w:val="-4"/>
        </w:rPr>
        <w:t> </w:t>
      </w:r>
      <w:r>
        <w:rPr/>
        <w:t>H.,</w:t>
      </w:r>
      <w:r>
        <w:rPr>
          <w:spacing w:val="-4"/>
        </w:rPr>
        <w:t> </w:t>
      </w:r>
      <w:r>
        <w:rPr/>
        <w:t>Ahn,</w:t>
      </w:r>
      <w:r>
        <w:rPr>
          <w:spacing w:val="-4"/>
        </w:rPr>
        <w:t> </w:t>
      </w:r>
      <w:r>
        <w:rPr/>
        <w:t>J.,</w:t>
      </w:r>
      <w:r>
        <w:rPr>
          <w:spacing w:val="-3"/>
        </w:rPr>
        <w:t> </w:t>
      </w:r>
      <w:r>
        <w:rPr/>
        <w:t>&amp;</w:t>
      </w:r>
      <w:r>
        <w:rPr>
          <w:spacing w:val="-1"/>
        </w:rPr>
        <w:t> </w:t>
      </w:r>
      <w:r>
        <w:rPr/>
        <w:t>Oh,</w:t>
      </w:r>
      <w:r>
        <w:rPr>
          <w:spacing w:val="-1"/>
        </w:rPr>
        <w:t> </w:t>
      </w:r>
      <w:r>
        <w:rPr/>
        <w:t>S.</w:t>
      </w:r>
      <w:r>
        <w:rPr>
          <w:spacing w:val="-3"/>
        </w:rPr>
        <w:t> </w:t>
      </w:r>
      <w:r>
        <w:rPr/>
        <w:t>(2014).</w:t>
      </w:r>
      <w:r>
        <w:rPr>
          <w:spacing w:val="-3"/>
        </w:rPr>
        <w:t> </w:t>
      </w:r>
      <w:r>
        <w:rPr/>
        <w:t>“Impact</w:t>
      </w:r>
      <w:r>
        <w:rPr>
          <w:spacing w:val="-3"/>
        </w:rPr>
        <w:t> </w:t>
      </w:r>
      <w:r>
        <w:rPr/>
        <w:t>of</w:t>
      </w:r>
      <w:r>
        <w:rPr>
          <w:spacing w:val="-3"/>
        </w:rPr>
        <w:t> </w:t>
      </w:r>
      <w:r>
        <w:rPr/>
        <w:t>Tweets</w:t>
      </w:r>
      <w:r>
        <w:rPr>
          <w:spacing w:val="-3"/>
        </w:rPr>
        <w:t> </w:t>
      </w:r>
      <w:r>
        <w:rPr/>
        <w:t>on</w:t>
      </w:r>
      <w:r>
        <w:rPr>
          <w:spacing w:val="-4"/>
        </w:rPr>
        <w:t> </w:t>
      </w:r>
      <w:r>
        <w:rPr/>
        <w:t>Box</w:t>
      </w:r>
      <w:r>
        <w:rPr>
          <w:spacing w:val="-4"/>
        </w:rPr>
        <w:t> </w:t>
      </w:r>
      <w:r>
        <w:rPr/>
        <w:t>Office</w:t>
      </w:r>
      <w:r>
        <w:rPr>
          <w:spacing w:val="-4"/>
        </w:rPr>
        <w:t> </w:t>
      </w:r>
      <w:r>
        <w:rPr/>
        <w:t>Revenue:</w:t>
      </w:r>
      <w:r>
        <w:rPr>
          <w:spacing w:val="-3"/>
        </w:rPr>
        <w:t> </w:t>
      </w:r>
      <w:r>
        <w:rPr/>
        <w:t>Focusing</w:t>
      </w:r>
      <w:r>
        <w:rPr>
          <w:spacing w:val="-3"/>
        </w:rPr>
        <w:t> </w:t>
      </w:r>
      <w:r>
        <w:rPr/>
        <w:t>on When Tweets are Written”, </w:t>
      </w:r>
      <w:r>
        <w:rPr>
          <w:i/>
        </w:rPr>
        <w:t>ETRI Journal</w:t>
      </w:r>
      <w:r>
        <w:rPr/>
        <w:t>, 36(4), 581-590. doi: 10.4218/etrij.14.0113.0732</w:t>
      </w:r>
    </w:p>
    <w:p>
      <w:pPr>
        <w:pStyle w:val="BodyText"/>
        <w:spacing w:before="120"/>
        <w:ind w:left="1256" w:right="310" w:hanging="708"/>
      </w:pPr>
      <w:r>
        <w:rPr/>
        <w:t>Baek,</w:t>
      </w:r>
      <w:r>
        <w:rPr>
          <w:spacing w:val="-6"/>
        </w:rPr>
        <w:t> </w:t>
      </w:r>
      <w:r>
        <w:rPr/>
        <w:t>H.,</w:t>
      </w:r>
      <w:r>
        <w:rPr>
          <w:spacing w:val="-7"/>
        </w:rPr>
        <w:t> </w:t>
      </w:r>
      <w:r>
        <w:rPr/>
        <w:t>Lee,</w:t>
      </w:r>
      <w:r>
        <w:rPr>
          <w:spacing w:val="-6"/>
        </w:rPr>
        <w:t> </w:t>
      </w:r>
      <w:r>
        <w:rPr/>
        <w:t>S.,</w:t>
      </w:r>
      <w:r>
        <w:rPr>
          <w:spacing w:val="-6"/>
        </w:rPr>
        <w:t> </w:t>
      </w:r>
      <w:r>
        <w:rPr/>
        <w:t>Oh,</w:t>
      </w:r>
      <w:r>
        <w:rPr>
          <w:spacing w:val="-6"/>
        </w:rPr>
        <w:t> </w:t>
      </w:r>
      <w:r>
        <w:rPr/>
        <w:t>S.,</w:t>
      </w:r>
      <w:r>
        <w:rPr>
          <w:spacing w:val="-6"/>
        </w:rPr>
        <w:t> </w:t>
      </w:r>
      <w:r>
        <w:rPr/>
        <w:t>&amp;</w:t>
      </w:r>
      <w:r>
        <w:rPr>
          <w:spacing w:val="-6"/>
        </w:rPr>
        <w:t> </w:t>
      </w:r>
      <w:r>
        <w:rPr/>
        <w:t>Ahn,</w:t>
      </w:r>
      <w:r>
        <w:rPr>
          <w:spacing w:val="-7"/>
        </w:rPr>
        <w:t> </w:t>
      </w:r>
      <w:r>
        <w:rPr/>
        <w:t>J.</w:t>
      </w:r>
      <w:r>
        <w:rPr>
          <w:spacing w:val="-6"/>
        </w:rPr>
        <w:t> </w:t>
      </w:r>
      <w:r>
        <w:rPr/>
        <w:t>(2015).</w:t>
      </w:r>
      <w:r>
        <w:rPr>
          <w:spacing w:val="-4"/>
        </w:rPr>
        <w:t> </w:t>
      </w:r>
      <w:r>
        <w:rPr/>
        <w:t>“Normative</w:t>
      </w:r>
      <w:r>
        <w:rPr>
          <w:spacing w:val="-6"/>
        </w:rPr>
        <w:t> </w:t>
      </w:r>
      <w:r>
        <w:rPr/>
        <w:t>Social</w:t>
      </w:r>
      <w:r>
        <w:rPr>
          <w:spacing w:val="-4"/>
        </w:rPr>
        <w:t> </w:t>
      </w:r>
      <w:r>
        <w:rPr/>
        <w:t>Influence</w:t>
      </w:r>
      <w:r>
        <w:rPr>
          <w:spacing w:val="-7"/>
        </w:rPr>
        <w:t> </w:t>
      </w:r>
      <w:r>
        <w:rPr/>
        <w:t>and</w:t>
      </w:r>
      <w:r>
        <w:rPr>
          <w:spacing w:val="-6"/>
        </w:rPr>
        <w:t> </w:t>
      </w:r>
      <w:r>
        <w:rPr/>
        <w:t>Online</w:t>
      </w:r>
      <w:r>
        <w:rPr>
          <w:spacing w:val="-6"/>
        </w:rPr>
        <w:t> </w:t>
      </w:r>
      <w:r>
        <w:rPr/>
        <w:t>Review Helpfulness: Polynomial Modeling and Response Surface Analysis”, </w:t>
      </w:r>
      <w:r>
        <w:rPr>
          <w:i/>
        </w:rPr>
        <w:t>Journal of </w:t>
      </w:r>
      <w:r>
        <w:rPr>
          <w:i/>
        </w:rPr>
        <w:t>Electronic Commerce Research</w:t>
      </w:r>
      <w:r>
        <w:rPr/>
        <w:t>, 16(4),</w:t>
      </w:r>
      <w:r>
        <w:rPr>
          <w:spacing w:val="-3"/>
        </w:rPr>
        <w:t> </w:t>
      </w:r>
      <w:r>
        <w:rPr/>
        <w:t>290.</w:t>
      </w:r>
    </w:p>
    <w:p>
      <w:pPr>
        <w:spacing w:after="0"/>
        <w:sectPr>
          <w:pgSz w:w="12240" w:h="15840"/>
          <w:pgMar w:header="718" w:footer="0" w:top="1300" w:bottom="280" w:left="1720" w:right="820"/>
        </w:sectPr>
      </w:pPr>
    </w:p>
    <w:p>
      <w:pPr>
        <w:spacing w:before="100"/>
        <w:ind w:left="1256" w:right="308" w:hanging="708"/>
        <w:jc w:val="both"/>
        <w:rPr>
          <w:sz w:val="24"/>
        </w:rPr>
      </w:pPr>
      <w:r>
        <w:rPr>
          <w:sz w:val="24"/>
        </w:rPr>
        <w:t>Balasubramanian, S., &amp; Mahajan, V. (2001). “The Economic Leverage of the Virtual Community”, </w:t>
      </w:r>
      <w:r>
        <w:rPr>
          <w:i/>
          <w:sz w:val="24"/>
        </w:rPr>
        <w:t>International Journal of Electronic Commerce</w:t>
      </w:r>
      <w:r>
        <w:rPr>
          <w:sz w:val="24"/>
        </w:rPr>
        <w:t>, 5(3), 103–138. doi:10.1080/10864415.2001.11044212</w:t>
      </w:r>
    </w:p>
    <w:p>
      <w:pPr>
        <w:pStyle w:val="BodyText"/>
        <w:spacing w:before="121"/>
        <w:ind w:left="1256" w:right="311" w:hanging="708"/>
      </w:pPr>
      <w:r>
        <w:rPr/>
        <w:t>Bansal,</w:t>
      </w:r>
      <w:r>
        <w:rPr>
          <w:spacing w:val="-13"/>
        </w:rPr>
        <w:t> </w:t>
      </w:r>
      <w:r>
        <w:rPr/>
        <w:t>H.</w:t>
      </w:r>
      <w:r>
        <w:rPr>
          <w:spacing w:val="-14"/>
        </w:rPr>
        <w:t> </w:t>
      </w:r>
      <w:r>
        <w:rPr/>
        <w:t>S.,</w:t>
      </w:r>
      <w:r>
        <w:rPr>
          <w:spacing w:val="-13"/>
        </w:rPr>
        <w:t> </w:t>
      </w:r>
      <w:r>
        <w:rPr/>
        <w:t>&amp;</w:t>
      </w:r>
      <w:r>
        <w:rPr>
          <w:spacing w:val="-13"/>
        </w:rPr>
        <w:t> </w:t>
      </w:r>
      <w:r>
        <w:rPr/>
        <w:t>Voyer,</w:t>
      </w:r>
      <w:r>
        <w:rPr>
          <w:spacing w:val="-14"/>
        </w:rPr>
        <w:t> </w:t>
      </w:r>
      <w:r>
        <w:rPr/>
        <w:t>P.</w:t>
      </w:r>
      <w:r>
        <w:rPr>
          <w:spacing w:val="-13"/>
        </w:rPr>
        <w:t> </w:t>
      </w:r>
      <w:r>
        <w:rPr/>
        <w:t>A.</w:t>
      </w:r>
      <w:r>
        <w:rPr>
          <w:spacing w:val="-13"/>
        </w:rPr>
        <w:t> </w:t>
      </w:r>
      <w:r>
        <w:rPr/>
        <w:t>(2000).</w:t>
      </w:r>
      <w:r>
        <w:rPr>
          <w:spacing w:val="-13"/>
        </w:rPr>
        <w:t> </w:t>
      </w:r>
      <w:r>
        <w:rPr/>
        <w:t>“Word-of-Mouth</w:t>
      </w:r>
      <w:r>
        <w:rPr>
          <w:spacing w:val="-13"/>
        </w:rPr>
        <w:t> </w:t>
      </w:r>
      <w:r>
        <w:rPr/>
        <w:t>Processes</w:t>
      </w:r>
      <w:r>
        <w:rPr>
          <w:spacing w:val="-14"/>
        </w:rPr>
        <w:t> </w:t>
      </w:r>
      <w:r>
        <w:rPr/>
        <w:t>Within</w:t>
      </w:r>
      <w:r>
        <w:rPr>
          <w:spacing w:val="-13"/>
        </w:rPr>
        <w:t> </w:t>
      </w:r>
      <w:r>
        <w:rPr/>
        <w:t>a</w:t>
      </w:r>
      <w:r>
        <w:rPr>
          <w:spacing w:val="-12"/>
        </w:rPr>
        <w:t> </w:t>
      </w:r>
      <w:r>
        <w:rPr/>
        <w:t>Services</w:t>
      </w:r>
      <w:r>
        <w:rPr>
          <w:spacing w:val="-13"/>
        </w:rPr>
        <w:t> </w:t>
      </w:r>
      <w:r>
        <w:rPr/>
        <w:t>Purchase Decision Context”, </w:t>
      </w:r>
      <w:r>
        <w:rPr>
          <w:i/>
        </w:rPr>
        <w:t>Journal of Service Research</w:t>
      </w:r>
      <w:r>
        <w:rPr/>
        <w:t>, 3(2), 166-177. doi:10.1177/109467050032005</w:t>
      </w:r>
    </w:p>
    <w:p>
      <w:pPr>
        <w:spacing w:before="120"/>
        <w:ind w:left="1256" w:right="314" w:hanging="708"/>
        <w:jc w:val="both"/>
        <w:rPr>
          <w:sz w:val="24"/>
        </w:rPr>
      </w:pPr>
      <w:r>
        <w:rPr>
          <w:sz w:val="24"/>
        </w:rPr>
        <w:t>Bao, T. T., &amp; Chang, T. L. S. (2016). “The Product and Timing Effects of Ewom in Viral Marketing”, </w:t>
      </w:r>
      <w:r>
        <w:rPr>
          <w:i/>
          <w:sz w:val="24"/>
        </w:rPr>
        <w:t>International Journal of Business</w:t>
      </w:r>
      <w:r>
        <w:rPr>
          <w:sz w:val="24"/>
        </w:rPr>
        <w:t>, 21(2), 99.</w:t>
      </w:r>
    </w:p>
    <w:p>
      <w:pPr>
        <w:pStyle w:val="BodyText"/>
        <w:spacing w:before="120"/>
        <w:ind w:left="1256" w:right="311" w:hanging="708"/>
      </w:pPr>
      <w:r>
        <w:rPr/>
        <w:t>Bao, T., &amp; Chang, T. L. S. (2014b). “Why Amazon Uses Both The New York Times Best Seller List and Customer Reviews: An Empirical Study of Multiplier Effects on Product Sales from Multiple Earned Media”, </w:t>
      </w:r>
      <w:r>
        <w:rPr>
          <w:i/>
        </w:rPr>
        <w:t>Decision Support Systems</w:t>
      </w:r>
      <w:r>
        <w:rPr/>
        <w:t>, 67, 1-8. doi:10.1016/j.dss.2014.07.004</w:t>
      </w:r>
    </w:p>
    <w:p>
      <w:pPr>
        <w:pStyle w:val="BodyText"/>
        <w:spacing w:before="120"/>
        <w:ind w:left="1256" w:right="311" w:hanging="708"/>
      </w:pPr>
      <w:r>
        <w:rPr/>
        <w:t>Bao, T., &amp; Chang, T.L.S. (2014a). “Finding Disseminators via Electronic Word of Mouth Message for Effective Marketing Communications”, </w:t>
      </w:r>
      <w:r>
        <w:rPr>
          <w:i/>
        </w:rPr>
        <w:t>Decision Support Systems</w:t>
      </w:r>
      <w:r>
        <w:rPr/>
        <w:t>, 67, 21-29.</w:t>
      </w:r>
      <w:r>
        <w:rPr>
          <w:spacing w:val="-1"/>
        </w:rPr>
        <w:t> </w:t>
      </w:r>
      <w:r>
        <w:rPr/>
        <w:t>doi:10.1016/j.dss.2014.07.006</w:t>
      </w:r>
    </w:p>
    <w:p>
      <w:pPr>
        <w:pStyle w:val="BodyText"/>
        <w:tabs>
          <w:tab w:pos="3211" w:val="left" w:leader="none"/>
          <w:tab w:pos="4646" w:val="left" w:leader="none"/>
          <w:tab w:pos="5521" w:val="left" w:leader="none"/>
          <w:tab w:pos="7379" w:val="left" w:leader="none"/>
          <w:tab w:pos="8527" w:val="left" w:leader="none"/>
        </w:tabs>
        <w:spacing w:before="120"/>
        <w:ind w:left="1256" w:right="311" w:hanging="708"/>
      </w:pPr>
      <w:r>
        <w:rPr/>
        <w:t>Bao,</w:t>
      </w:r>
      <w:r>
        <w:rPr>
          <w:spacing w:val="-16"/>
        </w:rPr>
        <w:t> </w:t>
      </w:r>
      <w:r>
        <w:rPr/>
        <w:t>T.,</w:t>
      </w:r>
      <w:r>
        <w:rPr>
          <w:spacing w:val="-15"/>
        </w:rPr>
        <w:t> </w:t>
      </w:r>
      <w:r>
        <w:rPr/>
        <w:t>Chang,</w:t>
      </w:r>
      <w:r>
        <w:rPr>
          <w:spacing w:val="-15"/>
        </w:rPr>
        <w:t> </w:t>
      </w:r>
      <w:r>
        <w:rPr/>
        <w:t>T.</w:t>
      </w:r>
      <w:r>
        <w:rPr>
          <w:spacing w:val="-14"/>
        </w:rPr>
        <w:t> </w:t>
      </w:r>
      <w:r>
        <w:rPr/>
        <w:t>L.</w:t>
      </w:r>
      <w:r>
        <w:rPr>
          <w:spacing w:val="-15"/>
        </w:rPr>
        <w:t> </w:t>
      </w:r>
      <w:r>
        <w:rPr/>
        <w:t>S.,</w:t>
      </w:r>
      <w:r>
        <w:rPr>
          <w:spacing w:val="-12"/>
        </w:rPr>
        <w:t> </w:t>
      </w:r>
      <w:r>
        <w:rPr/>
        <w:t>Kim,</w:t>
      </w:r>
      <w:r>
        <w:rPr>
          <w:spacing w:val="-15"/>
        </w:rPr>
        <w:t> </w:t>
      </w:r>
      <w:r>
        <w:rPr/>
        <w:t>A.</w:t>
      </w:r>
      <w:r>
        <w:rPr>
          <w:spacing w:val="-15"/>
        </w:rPr>
        <w:t> </w:t>
      </w:r>
      <w:r>
        <w:rPr/>
        <w:t>J.,</w:t>
      </w:r>
      <w:r>
        <w:rPr>
          <w:spacing w:val="-15"/>
        </w:rPr>
        <w:t> </w:t>
      </w:r>
      <w:r>
        <w:rPr/>
        <w:t>&amp;</w:t>
      </w:r>
      <w:r>
        <w:rPr>
          <w:spacing w:val="-15"/>
        </w:rPr>
        <w:t> </w:t>
      </w:r>
      <w:r>
        <w:rPr/>
        <w:t>Moon,</w:t>
      </w:r>
      <w:r>
        <w:rPr>
          <w:spacing w:val="-15"/>
        </w:rPr>
        <w:t> </w:t>
      </w:r>
      <w:r>
        <w:rPr/>
        <w:t>S.</w:t>
      </w:r>
      <w:r>
        <w:rPr>
          <w:spacing w:val="-15"/>
        </w:rPr>
        <w:t> </w:t>
      </w:r>
      <w:r>
        <w:rPr/>
        <w:t>H.</w:t>
      </w:r>
      <w:r>
        <w:rPr>
          <w:spacing w:val="-16"/>
        </w:rPr>
        <w:t> </w:t>
      </w:r>
      <w:r>
        <w:rPr/>
        <w:t>(2019).</w:t>
      </w:r>
      <w:r>
        <w:rPr>
          <w:spacing w:val="-11"/>
        </w:rPr>
        <w:t> </w:t>
      </w:r>
      <w:r>
        <w:rPr/>
        <w:t>“The</w:t>
      </w:r>
      <w:r>
        <w:rPr>
          <w:spacing w:val="-16"/>
        </w:rPr>
        <w:t> </w:t>
      </w:r>
      <w:r>
        <w:rPr/>
        <w:t>Characteristics</w:t>
      </w:r>
      <w:r>
        <w:rPr>
          <w:spacing w:val="-15"/>
        </w:rPr>
        <w:t> </w:t>
      </w:r>
      <w:r>
        <w:rPr/>
        <w:t>and</w:t>
      </w:r>
      <w:r>
        <w:rPr>
          <w:spacing w:val="-16"/>
        </w:rPr>
        <w:t> </w:t>
      </w:r>
      <w:r>
        <w:rPr/>
        <w:t>Business Impact of Children’s Electronic Word of Mouth in Marketing Communications”, </w:t>
      </w:r>
      <w:r>
        <w:rPr>
          <w:i/>
        </w:rPr>
        <w:t>International</w:t>
        <w:tab/>
        <w:t>Journal</w:t>
        <w:tab/>
        <w:t>of</w:t>
        <w:tab/>
        <w:t>Advertising</w:t>
      </w:r>
      <w:r>
        <w:rPr/>
        <w:t>,</w:t>
        <w:tab/>
        <w:t>8(5),</w:t>
        <w:tab/>
      </w:r>
      <w:r>
        <w:rPr>
          <w:spacing w:val="-4"/>
        </w:rPr>
        <w:t>731-759, </w:t>
      </w:r>
      <w:r>
        <w:rPr/>
        <w:t>doi:10.1080/02650487.2018.1559558</w:t>
      </w:r>
    </w:p>
    <w:p>
      <w:pPr>
        <w:pStyle w:val="BodyText"/>
        <w:spacing w:before="121"/>
        <w:ind w:left="1256" w:right="308" w:hanging="708"/>
      </w:pPr>
      <w:r>
        <w:rPr/>
        <w:t>Baumeister, R. F., Bratslavsky, E., Finkenauer, C., &amp; Vohs, K. D. (2001). “Bad is Stronger Than Good”, </w:t>
      </w:r>
      <w:r>
        <w:rPr>
          <w:i/>
        </w:rPr>
        <w:t>Review of General Psychology</w:t>
      </w:r>
      <w:r>
        <w:rPr/>
        <w:t>, 5(4), 323. doi:10.1037/1089- 2680.5.4.323</w:t>
      </w:r>
    </w:p>
    <w:p>
      <w:pPr>
        <w:spacing w:before="120"/>
        <w:ind w:left="1256" w:right="309" w:hanging="708"/>
        <w:jc w:val="both"/>
        <w:rPr>
          <w:sz w:val="24"/>
        </w:rPr>
      </w:pPr>
      <w:r>
        <w:rPr>
          <w:sz w:val="24"/>
        </w:rPr>
        <w:t>Berger, J. (2013). </w:t>
      </w:r>
      <w:r>
        <w:rPr>
          <w:i/>
          <w:sz w:val="24"/>
        </w:rPr>
        <w:t>Contagious: How to Build Word of Mouth in The Digital Age</w:t>
      </w:r>
      <w:r>
        <w:rPr>
          <w:sz w:val="24"/>
        </w:rPr>
        <w:t>. Simon and Schuster, Londra.</w:t>
      </w:r>
    </w:p>
    <w:p>
      <w:pPr>
        <w:pStyle w:val="BodyText"/>
        <w:spacing w:before="120"/>
        <w:ind w:left="1256" w:right="311" w:hanging="708"/>
      </w:pPr>
      <w:r>
        <w:rPr/>
        <w:t>Berger, J. (2014). “Word of Mouth and Interpersonal Communication: A Review and Directions for Future Research”, </w:t>
      </w:r>
      <w:r>
        <w:rPr>
          <w:i/>
        </w:rPr>
        <w:t>Journal of Consumer Psychology</w:t>
      </w:r>
      <w:r>
        <w:rPr/>
        <w:t>, 24(4), 586-607. doi: 10.1016/j.jcps.2014.05.002</w:t>
      </w:r>
    </w:p>
    <w:p>
      <w:pPr>
        <w:pStyle w:val="BodyText"/>
        <w:spacing w:before="120"/>
        <w:ind w:left="1256" w:right="311" w:hanging="708"/>
      </w:pPr>
      <w:r>
        <w:rPr/>
        <w:t>Berger, J., &amp; Iyengar, R. (2013). “Communication Channels and Word of Mouth: How The Medium Shapes The Message”, </w:t>
      </w:r>
      <w:r>
        <w:rPr>
          <w:i/>
        </w:rPr>
        <w:t>Journal of Consumer Research</w:t>
      </w:r>
      <w:r>
        <w:rPr/>
        <w:t>, 40(3), 567-579. doi:10.1086/671345</w:t>
      </w:r>
    </w:p>
    <w:p>
      <w:pPr>
        <w:pStyle w:val="BodyText"/>
        <w:spacing w:before="120"/>
        <w:ind w:left="1256" w:right="311" w:hanging="708"/>
      </w:pPr>
      <w:r>
        <w:rPr/>
        <w:t>Bettman, J., &amp; Park, C. (1980). “Effects of Prior Knowledge and Experience and Phase of the Choice Process on Consumer Decision Processes: A Protocol Analysis”, </w:t>
      </w:r>
      <w:r>
        <w:rPr>
          <w:i/>
        </w:rPr>
        <w:t>Journal </w:t>
      </w:r>
      <w:r>
        <w:rPr>
          <w:i/>
        </w:rPr>
        <w:t>of Consumer Research</w:t>
      </w:r>
      <w:r>
        <w:rPr/>
        <w:t>, 7(3), 234-248.</w:t>
      </w:r>
    </w:p>
    <w:p>
      <w:pPr>
        <w:pStyle w:val="BodyText"/>
        <w:spacing w:before="120"/>
        <w:ind w:left="1256" w:right="311" w:hanging="708"/>
      </w:pPr>
      <w:r>
        <w:rPr/>
        <w:t>Bharadwaj, N., Noble, C. H., Tower, A., Smith, L. M., &amp; Dong, Y. (2017). “Predicting Innovation Success in The Motion Picture İndustry: The Influence of Multiple Quality Signals”, </w:t>
      </w:r>
      <w:r>
        <w:rPr>
          <w:i/>
        </w:rPr>
        <w:t>Journal of Product Innovation Management</w:t>
      </w:r>
      <w:r>
        <w:rPr/>
        <w:t>, 34(5), 659-680. doi:10.1111/jpim.12404</w:t>
      </w:r>
    </w:p>
    <w:p>
      <w:pPr>
        <w:pStyle w:val="BodyText"/>
        <w:spacing w:before="119"/>
        <w:ind w:left="1256" w:right="309" w:hanging="708"/>
      </w:pPr>
      <w:r>
        <w:rPr/>
        <w:t>Bleier, A., Harmeling, C. M., &amp; Palmatier, R. W. (2019). “Creating Effective Online Customer Experiences”, </w:t>
      </w:r>
      <w:r>
        <w:rPr>
          <w:i/>
        </w:rPr>
        <w:t>Journal of Marketing</w:t>
      </w:r>
      <w:r>
        <w:rPr/>
        <w:t>, 83(2), 98-119. doi: 10.1177/0022242918809930</w:t>
      </w:r>
    </w:p>
    <w:p>
      <w:pPr>
        <w:spacing w:after="0"/>
        <w:sectPr>
          <w:pgSz w:w="12240" w:h="15840"/>
          <w:pgMar w:header="718" w:footer="0" w:top="1300" w:bottom="280" w:left="1720" w:right="820"/>
        </w:sectPr>
      </w:pPr>
    </w:p>
    <w:p>
      <w:pPr>
        <w:pStyle w:val="BodyText"/>
        <w:spacing w:before="100"/>
        <w:ind w:left="1256" w:right="308" w:hanging="708"/>
      </w:pPr>
      <w:r>
        <w:rPr/>
        <w:t>Blundell, R., &amp; Bond, S. (1998). “Initial Conditions and Moment Restrictions in Dynamic Panel Data Models”, </w:t>
      </w:r>
      <w:r>
        <w:rPr>
          <w:i/>
        </w:rPr>
        <w:t>Journal of Econometrics</w:t>
      </w:r>
      <w:r>
        <w:rPr/>
        <w:t>, 87(1), 115-143. doi:10.1016/S0304- 4076(98)00009-8</w:t>
      </w:r>
    </w:p>
    <w:p>
      <w:pPr>
        <w:spacing w:before="121"/>
        <w:ind w:left="1256" w:right="309" w:hanging="708"/>
        <w:jc w:val="both"/>
        <w:rPr>
          <w:sz w:val="24"/>
        </w:rPr>
      </w:pPr>
      <w:r>
        <w:rPr>
          <w:sz w:val="24"/>
        </w:rPr>
        <w:t>Bone, P. F. (1992). “Determinants of Word of Mouth Communications During Product Consumption”, </w:t>
      </w:r>
      <w:r>
        <w:rPr>
          <w:i/>
          <w:sz w:val="24"/>
        </w:rPr>
        <w:t>Advances in Consumer Research</w:t>
      </w:r>
      <w:r>
        <w:rPr>
          <w:sz w:val="24"/>
        </w:rPr>
        <w:t>, 19, 579–583.</w:t>
      </w:r>
    </w:p>
    <w:p>
      <w:pPr>
        <w:pStyle w:val="BodyText"/>
        <w:spacing w:before="120"/>
        <w:ind w:left="1256" w:right="308" w:hanging="708"/>
      </w:pPr>
      <w:r>
        <w:rPr/>
        <w:t>Borgida, E., &amp; Nisbett, R. E. (1977). “The Differential Impact of Abstract vs. Concrete Information</w:t>
      </w:r>
      <w:r>
        <w:rPr>
          <w:spacing w:val="-12"/>
        </w:rPr>
        <w:t> </w:t>
      </w:r>
      <w:r>
        <w:rPr/>
        <w:t>on</w:t>
      </w:r>
      <w:r>
        <w:rPr>
          <w:spacing w:val="-11"/>
        </w:rPr>
        <w:t> </w:t>
      </w:r>
      <w:r>
        <w:rPr/>
        <w:t>Decisions”,</w:t>
      </w:r>
      <w:r>
        <w:rPr>
          <w:spacing w:val="-13"/>
        </w:rPr>
        <w:t> </w:t>
      </w:r>
      <w:r>
        <w:rPr>
          <w:i/>
        </w:rPr>
        <w:t>Journal</w:t>
      </w:r>
      <w:r>
        <w:rPr>
          <w:i/>
          <w:spacing w:val="-13"/>
        </w:rPr>
        <w:t> </w:t>
      </w:r>
      <w:r>
        <w:rPr>
          <w:i/>
        </w:rPr>
        <w:t>of</w:t>
      </w:r>
      <w:r>
        <w:rPr>
          <w:i/>
          <w:spacing w:val="-10"/>
        </w:rPr>
        <w:t> </w:t>
      </w:r>
      <w:r>
        <w:rPr>
          <w:i/>
        </w:rPr>
        <w:t>Applied</w:t>
      </w:r>
      <w:r>
        <w:rPr>
          <w:i/>
          <w:spacing w:val="-13"/>
        </w:rPr>
        <w:t> </w:t>
      </w:r>
      <w:r>
        <w:rPr>
          <w:i/>
        </w:rPr>
        <w:t>Social</w:t>
      </w:r>
      <w:r>
        <w:rPr>
          <w:i/>
          <w:spacing w:val="-13"/>
        </w:rPr>
        <w:t> </w:t>
      </w:r>
      <w:r>
        <w:rPr>
          <w:i/>
        </w:rPr>
        <w:t>Psychology</w:t>
      </w:r>
      <w:r>
        <w:rPr/>
        <w:t>,</w:t>
      </w:r>
      <w:r>
        <w:rPr>
          <w:spacing w:val="-11"/>
        </w:rPr>
        <w:t> </w:t>
      </w:r>
      <w:r>
        <w:rPr/>
        <w:t>7(3),</w:t>
      </w:r>
      <w:r>
        <w:rPr>
          <w:spacing w:val="-11"/>
        </w:rPr>
        <w:t> </w:t>
      </w:r>
      <w:r>
        <w:rPr/>
        <w:t>258-271.</w:t>
      </w:r>
      <w:r>
        <w:rPr>
          <w:spacing w:val="-12"/>
        </w:rPr>
        <w:t> </w:t>
      </w:r>
      <w:r>
        <w:rPr/>
        <w:t>doi: 10.1111/j.1559-1816.1977.tb00750.x</w:t>
      </w:r>
    </w:p>
    <w:p>
      <w:pPr>
        <w:pStyle w:val="BodyText"/>
        <w:spacing w:before="120"/>
        <w:ind w:left="1256" w:right="314" w:hanging="708"/>
      </w:pPr>
      <w:r>
        <w:rPr/>
        <w:t>Brown J., Broderick A. J., Lee N. (2007). “Word of Mouth Communication Within Online Communities: Conceptualizing The Online Social Network”, </w:t>
      </w:r>
      <w:r>
        <w:rPr>
          <w:i/>
        </w:rPr>
        <w:t>Journal of Interactive </w:t>
      </w:r>
      <w:r>
        <w:rPr>
          <w:i/>
        </w:rPr>
        <w:t>Marketing</w:t>
      </w:r>
      <w:r>
        <w:rPr/>
        <w:t>, Cilt 21, Sayı 3, s. 2-</w:t>
      </w:r>
      <w:hyperlink r:id="rId30">
        <w:r>
          <w:rPr/>
          <w:t>20. doi:10.1002/dir.20082</w:t>
        </w:r>
      </w:hyperlink>
    </w:p>
    <w:p>
      <w:pPr>
        <w:pStyle w:val="BodyText"/>
        <w:tabs>
          <w:tab w:pos="3253" w:val="left" w:leader="none"/>
        </w:tabs>
        <w:spacing w:before="120"/>
        <w:ind w:left="1256" w:right="310" w:hanging="708"/>
      </w:pPr>
      <w:r>
        <w:rPr/>
        <w:t>Brown, H., Guskin, E., &amp; Mitchell, A. (2012). “The Role of Social Media in the Arab Uprisings”,</w:t>
        <w:tab/>
        <w:t>htt</w:t>
      </w:r>
      <w:hyperlink r:id="rId31">
        <w:r>
          <w:rPr/>
          <w:t>ps://www.journalism.org/2012/11/28/role</w:t>
        </w:r>
      </w:hyperlink>
      <w:r>
        <w:rPr/>
        <w:t>-</w:t>
      </w:r>
      <w:hyperlink r:id="rId31">
        <w:r>
          <w:rPr/>
          <w:t>social-media-arab-</w:t>
        </w:r>
      </w:hyperlink>
      <w:r>
        <w:rPr/>
        <w:t> uprisings/ (e.t. 08/05/2020)</w:t>
      </w:r>
    </w:p>
    <w:p>
      <w:pPr>
        <w:pStyle w:val="BodyText"/>
        <w:spacing w:before="120"/>
      </w:pPr>
      <w:r>
        <w:rPr/>
        <w:t>Brown, J. J., &amp; Reingen, P. H. (1987). “Social Ties and Word-of-Mouth Referral Behavior”,</w:t>
      </w:r>
    </w:p>
    <w:p>
      <w:pPr>
        <w:spacing w:before="0"/>
        <w:ind w:left="1256" w:right="0" w:firstLine="0"/>
        <w:jc w:val="both"/>
        <w:rPr>
          <w:sz w:val="24"/>
        </w:rPr>
      </w:pPr>
      <w:r>
        <w:rPr>
          <w:i/>
          <w:sz w:val="24"/>
        </w:rPr>
        <w:t>Journal of Consumer Research</w:t>
      </w:r>
      <w:r>
        <w:rPr>
          <w:sz w:val="24"/>
        </w:rPr>
        <w:t>, 14(3), 350-362.</w:t>
      </w:r>
    </w:p>
    <w:p>
      <w:pPr>
        <w:pStyle w:val="BodyText"/>
        <w:spacing w:before="121"/>
        <w:ind w:left="1256" w:right="311" w:hanging="708"/>
      </w:pPr>
      <w:r>
        <w:rPr/>
        <w:t>Brunner, C. B., Ullrich, S., &amp; De Oliveira, M. J. (2019). “The Most Optimal Way to Deal with Negative Consumer Review: Can Positive Brand and Customer Responses Rebuild Product Purchase Intentions?”, </w:t>
      </w:r>
      <w:r>
        <w:rPr>
          <w:i/>
        </w:rPr>
        <w:t>Internet Research</w:t>
      </w:r>
      <w:r>
        <w:rPr/>
        <w:t>, 29(1), 104-122. doi:10.1108/IntR-08-2017-0307</w:t>
      </w:r>
    </w:p>
    <w:p>
      <w:pPr>
        <w:pStyle w:val="BodyText"/>
        <w:spacing w:before="120"/>
        <w:ind w:left="1256" w:right="311" w:hanging="708"/>
      </w:pPr>
      <w:r>
        <w:rPr/>
        <w:t>Brynjolfsson,</w:t>
      </w:r>
      <w:r>
        <w:rPr>
          <w:spacing w:val="-14"/>
        </w:rPr>
        <w:t> </w:t>
      </w:r>
      <w:r>
        <w:rPr/>
        <w:t>E.,</w:t>
      </w:r>
      <w:r>
        <w:rPr>
          <w:spacing w:val="-15"/>
        </w:rPr>
        <w:t> </w:t>
      </w:r>
      <w:r>
        <w:rPr/>
        <w:t>&amp;</w:t>
      </w:r>
      <w:r>
        <w:rPr>
          <w:spacing w:val="-15"/>
        </w:rPr>
        <w:t> </w:t>
      </w:r>
      <w:r>
        <w:rPr/>
        <w:t>Smith,</w:t>
      </w:r>
      <w:r>
        <w:rPr>
          <w:spacing w:val="-14"/>
        </w:rPr>
        <w:t> </w:t>
      </w:r>
      <w:r>
        <w:rPr/>
        <w:t>M.</w:t>
      </w:r>
      <w:r>
        <w:rPr>
          <w:spacing w:val="-13"/>
        </w:rPr>
        <w:t> </w:t>
      </w:r>
      <w:r>
        <w:rPr/>
        <w:t>D.</w:t>
      </w:r>
      <w:r>
        <w:rPr>
          <w:spacing w:val="-15"/>
        </w:rPr>
        <w:t> </w:t>
      </w:r>
      <w:r>
        <w:rPr/>
        <w:t>(2000).</w:t>
      </w:r>
      <w:r>
        <w:rPr>
          <w:spacing w:val="-13"/>
        </w:rPr>
        <w:t> </w:t>
      </w:r>
      <w:r>
        <w:rPr/>
        <w:t>“Frictionless</w:t>
      </w:r>
      <w:r>
        <w:rPr>
          <w:spacing w:val="-14"/>
        </w:rPr>
        <w:t> </w:t>
      </w:r>
      <w:r>
        <w:rPr/>
        <w:t>Commerce?</w:t>
      </w:r>
      <w:r>
        <w:rPr>
          <w:spacing w:val="-14"/>
        </w:rPr>
        <w:t> </w:t>
      </w:r>
      <w:r>
        <w:rPr/>
        <w:t>A</w:t>
      </w:r>
      <w:r>
        <w:rPr>
          <w:spacing w:val="-15"/>
        </w:rPr>
        <w:t> </w:t>
      </w:r>
      <w:r>
        <w:rPr/>
        <w:t>Comparison</w:t>
      </w:r>
      <w:r>
        <w:rPr>
          <w:spacing w:val="-14"/>
        </w:rPr>
        <w:t> </w:t>
      </w:r>
      <w:r>
        <w:rPr/>
        <w:t>of</w:t>
      </w:r>
      <w:r>
        <w:rPr>
          <w:spacing w:val="-14"/>
        </w:rPr>
        <w:t> </w:t>
      </w:r>
      <w:r>
        <w:rPr/>
        <w:t>Internet and Conventional Retailers”, </w:t>
      </w:r>
      <w:r>
        <w:rPr>
          <w:i/>
        </w:rPr>
        <w:t>Management Science</w:t>
      </w:r>
      <w:r>
        <w:rPr/>
        <w:t>, 46(4), 563-585. doi:10.1287/mnsc.46.4.563.12061</w:t>
      </w:r>
    </w:p>
    <w:p>
      <w:pPr>
        <w:pStyle w:val="BodyText"/>
        <w:spacing w:before="120"/>
        <w:ind w:left="1256" w:right="310" w:hanging="708"/>
      </w:pPr>
      <w:r>
        <w:rPr/>
        <w:t>Bulut, Z. A., &amp; Karabulut, A. N. (2018). “Examining The Role of Two Aspects of Ewom in Online Repurchase Intention: An Integrated Trust–Loyalty Perspective” </w:t>
      </w:r>
      <w:r>
        <w:rPr>
          <w:i/>
        </w:rPr>
        <w:t>Journal of </w:t>
      </w:r>
      <w:r>
        <w:rPr>
          <w:i/>
        </w:rPr>
        <w:t>Consumer Behaviour</w:t>
      </w:r>
      <w:r>
        <w:rPr/>
        <w:t>, 17(4), 407-417. doi: 10.1002/cb.1721</w:t>
      </w:r>
    </w:p>
    <w:p>
      <w:pPr>
        <w:pStyle w:val="BodyText"/>
        <w:spacing w:before="120"/>
        <w:ind w:left="1256" w:right="310" w:hanging="708"/>
      </w:pPr>
      <w:r>
        <w:rPr/>
        <w:t>Butler, P., &amp; Peppard, J. (1998). “Consumer Purchasing on the Internet: Processes and Prospects”, </w:t>
      </w:r>
      <w:r>
        <w:rPr>
          <w:i/>
        </w:rPr>
        <w:t>European Management Journal</w:t>
      </w:r>
      <w:r>
        <w:rPr/>
        <w:t>, 16(5), 600-610. doi:10.1016/S0263- 2373(98)00036-X</w:t>
      </w:r>
    </w:p>
    <w:p>
      <w:pPr>
        <w:pStyle w:val="BodyText"/>
        <w:spacing w:before="120"/>
      </w:pPr>
      <w:r>
        <w:rPr/>
        <w:t>Buttle F. A. (1998). “Word of Mouth: Understanding and Managing Referral Marketing”,</w:t>
      </w:r>
    </w:p>
    <w:p>
      <w:pPr>
        <w:spacing w:before="0"/>
        <w:ind w:left="1256" w:right="0" w:firstLine="0"/>
        <w:jc w:val="both"/>
        <w:rPr>
          <w:sz w:val="24"/>
        </w:rPr>
      </w:pPr>
      <w:r>
        <w:rPr>
          <w:i/>
          <w:sz w:val="24"/>
        </w:rPr>
        <w:t>Journal of Strategic Marketing</w:t>
      </w:r>
      <w:r>
        <w:rPr>
          <w:sz w:val="24"/>
        </w:rPr>
        <w:t>, 6 (3), 241-254. doi:10.1080/096525498346658</w:t>
      </w:r>
    </w:p>
    <w:p>
      <w:pPr>
        <w:spacing w:before="120"/>
        <w:ind w:left="1256" w:right="310" w:hanging="708"/>
        <w:jc w:val="both"/>
        <w:rPr>
          <w:sz w:val="24"/>
        </w:rPr>
      </w:pPr>
      <w:r>
        <w:rPr>
          <w:sz w:val="24"/>
        </w:rPr>
        <w:t>Cabral, L. (2012). “Reputation on the Internet”. In M. Peitz &amp; J. Waldfogel (Eds.), </w:t>
      </w:r>
      <w:r>
        <w:rPr>
          <w:i/>
          <w:sz w:val="24"/>
        </w:rPr>
        <w:t>The </w:t>
      </w:r>
      <w:r>
        <w:rPr>
          <w:i/>
          <w:sz w:val="24"/>
        </w:rPr>
        <w:t>Oxford Handbook of the Digital Economy</w:t>
      </w:r>
      <w:r>
        <w:rPr>
          <w:sz w:val="24"/>
        </w:rPr>
        <w:t>. New York, NY: Oxford University</w:t>
      </w:r>
      <w:r>
        <w:rPr>
          <w:spacing w:val="-27"/>
          <w:sz w:val="24"/>
        </w:rPr>
        <w:t> </w:t>
      </w:r>
      <w:r>
        <w:rPr>
          <w:sz w:val="24"/>
        </w:rPr>
        <w:t>Press. 343–354</w:t>
      </w:r>
    </w:p>
    <w:p>
      <w:pPr>
        <w:spacing w:before="119"/>
        <w:ind w:left="1256" w:right="312" w:hanging="708"/>
        <w:jc w:val="both"/>
        <w:rPr>
          <w:sz w:val="24"/>
        </w:rPr>
      </w:pPr>
      <w:r>
        <w:rPr>
          <w:sz w:val="24"/>
        </w:rPr>
        <w:t>Cabral, L., &amp; Hortaçsu, A. (2010). “The Dynamics of Seller Reputation: Evidence from eBay”, </w:t>
      </w:r>
      <w:r>
        <w:rPr>
          <w:i/>
          <w:sz w:val="24"/>
        </w:rPr>
        <w:t>The Journal of Industrial Economics</w:t>
      </w:r>
      <w:r>
        <w:rPr>
          <w:sz w:val="24"/>
        </w:rPr>
        <w:t>, 58(1), 54-78.</w:t>
      </w:r>
    </w:p>
    <w:p>
      <w:pPr>
        <w:pStyle w:val="BodyText"/>
        <w:spacing w:before="120"/>
        <w:ind w:left="1256" w:right="309" w:hanging="708"/>
      </w:pPr>
      <w:r>
        <w:rPr/>
        <w:t>Cao, X., Liu, Y., Zhu, Z., Hu, J., &amp; Chen, X. (2017). “Online Selection of a Physician by Patients: Empirical Study from Elaboration Likelihood Perspective”, </w:t>
      </w:r>
      <w:r>
        <w:rPr>
          <w:i/>
        </w:rPr>
        <w:t>Computers in </w:t>
      </w:r>
      <w:r>
        <w:rPr>
          <w:i/>
        </w:rPr>
        <w:t>Human Behavior</w:t>
      </w:r>
      <w:r>
        <w:rPr/>
        <w:t>, 73, 403-412. doi: 10.1016/j.chb.2017.03.060</w:t>
      </w:r>
    </w:p>
    <w:p>
      <w:pPr>
        <w:spacing w:after="0"/>
        <w:sectPr>
          <w:pgSz w:w="12240" w:h="15840"/>
          <w:pgMar w:header="718" w:footer="0" w:top="1300" w:bottom="280" w:left="1720" w:right="820"/>
        </w:sectPr>
      </w:pPr>
    </w:p>
    <w:p>
      <w:pPr>
        <w:pStyle w:val="BodyText"/>
        <w:tabs>
          <w:tab w:pos="2783" w:val="left" w:leader="none"/>
          <w:tab w:pos="4508" w:val="left" w:leader="none"/>
          <w:tab w:pos="5842" w:val="left" w:leader="none"/>
          <w:tab w:pos="7372" w:val="left" w:leader="none"/>
          <w:tab w:pos="8528" w:val="left" w:leader="none"/>
        </w:tabs>
        <w:spacing w:before="100"/>
        <w:ind w:left="1256" w:right="308" w:hanging="708"/>
        <w:jc w:val="left"/>
      </w:pPr>
      <w:r>
        <w:rPr/>
        <w:t>Cao, Z., Hui, K. L., &amp; Xu, H. (2018). “When Discounts Hurt Sales: The Case of Daily-Deal Markets”,</w:t>
        <w:tab/>
      </w:r>
      <w:r>
        <w:rPr>
          <w:i/>
        </w:rPr>
        <w:t>Information</w:t>
        <w:tab/>
        <w:t>Systems</w:t>
        <w:tab/>
        <w:t>Research</w:t>
      </w:r>
      <w:r>
        <w:rPr/>
        <w:t>,</w:t>
        <w:tab/>
        <w:t>29(3),</w:t>
        <w:tab/>
      </w:r>
      <w:r>
        <w:rPr>
          <w:spacing w:val="-1"/>
        </w:rPr>
        <w:t>567-591.</w:t>
      </w:r>
    </w:p>
    <w:p>
      <w:pPr>
        <w:pStyle w:val="BodyText"/>
        <w:spacing w:before="1"/>
        <w:ind w:left="1256"/>
        <w:jc w:val="left"/>
      </w:pPr>
      <w:r>
        <w:rPr/>
        <w:t>doi:10.1287/isre.2017.0772</w:t>
      </w:r>
    </w:p>
    <w:p>
      <w:pPr>
        <w:pStyle w:val="BodyText"/>
        <w:spacing w:before="120"/>
        <w:ind w:left="1256" w:right="308" w:hanging="708"/>
        <w:jc w:val="left"/>
      </w:pPr>
      <w:r>
        <w:rPr/>
        <w:t>Carlile, C. (5 Mayıs 2019). “History of Successful Boycotts”, </w:t>
      </w:r>
      <w:r>
        <w:rPr>
          <w:i/>
        </w:rPr>
        <w:t>Ethical Consumer</w:t>
      </w:r>
      <w:r>
        <w:rPr/>
        <w:t>. htt</w:t>
      </w:r>
      <w:hyperlink r:id="rId32">
        <w:r>
          <w:rPr/>
          <w:t>ps://www.ethi</w:t>
        </w:r>
      </w:hyperlink>
      <w:r>
        <w:rPr/>
        <w:t>c</w:t>
      </w:r>
      <w:hyperlink r:id="rId32">
        <w:r>
          <w:rPr/>
          <w:t>alconsumer.org/ethicalcampaigns/boycotts/history-successful-</w:t>
        </w:r>
      </w:hyperlink>
      <w:r>
        <w:rPr/>
        <w:t> boycotts (26/03/2020)</w:t>
      </w:r>
    </w:p>
    <w:p>
      <w:pPr>
        <w:pStyle w:val="BodyText"/>
        <w:spacing w:before="120"/>
        <w:ind w:left="1256" w:right="310" w:hanging="708"/>
      </w:pPr>
      <w:r>
        <w:rPr/>
        <w:t>Casaló, L. V., Flavián, C., Guinalíu, M., &amp; Ekinci, Y. (2015). “Avoiding the Dark Side of Positive Online Consumer Reviews: Enhancing Reviews' Usefulness for High Risk- Averse Travelers”, </w:t>
      </w:r>
      <w:r>
        <w:rPr>
          <w:i/>
        </w:rPr>
        <w:t>Journal of Business Research</w:t>
      </w:r>
      <w:r>
        <w:rPr/>
        <w:t>, 68(9), 1829-1835.</w:t>
      </w:r>
    </w:p>
    <w:p>
      <w:pPr>
        <w:pStyle w:val="BodyText"/>
        <w:spacing w:before="120"/>
        <w:ind w:left="1256" w:right="308" w:hanging="708"/>
      </w:pPr>
      <w:r>
        <w:rPr/>
        <w:t>Chang, H. H., &amp; Wong, K. H. (2010). “Adoption of E-Procurement and Participation of E- Marketplace on Firm Performance: Trust as a Moderator”, </w:t>
      </w:r>
      <w:r>
        <w:rPr>
          <w:i/>
        </w:rPr>
        <w:t>Information &amp; </w:t>
      </w:r>
      <w:r>
        <w:rPr>
          <w:i/>
        </w:rPr>
        <w:t>Management</w:t>
      </w:r>
      <w:r>
        <w:rPr/>
        <w:t>, 47(5-6), 262-270. doi:10.1016/j.im.2010.05.002</w:t>
      </w:r>
    </w:p>
    <w:p>
      <w:pPr>
        <w:pStyle w:val="BodyText"/>
        <w:spacing w:before="120"/>
        <w:ind w:left="1256" w:right="308" w:hanging="708"/>
      </w:pPr>
      <w:r>
        <w:rPr/>
        <w:t>Chang, Y. Y., Lin, S. C., Yen, D. C., &amp; Hung, J. W. (2020). “The Trust Model of</w:t>
      </w:r>
      <w:r>
        <w:rPr>
          <w:spacing w:val="-19"/>
        </w:rPr>
        <w:t> </w:t>
      </w:r>
      <w:r>
        <w:rPr/>
        <w:t>Enterprise Purchasing</w:t>
      </w:r>
      <w:r>
        <w:rPr>
          <w:spacing w:val="-8"/>
        </w:rPr>
        <w:t> </w:t>
      </w:r>
      <w:r>
        <w:rPr/>
        <w:t>for</w:t>
      </w:r>
      <w:r>
        <w:rPr>
          <w:spacing w:val="-10"/>
        </w:rPr>
        <w:t> </w:t>
      </w:r>
      <w:r>
        <w:rPr/>
        <w:t>B2B</w:t>
      </w:r>
      <w:r>
        <w:rPr>
          <w:spacing w:val="-7"/>
        </w:rPr>
        <w:t> </w:t>
      </w:r>
      <w:r>
        <w:rPr/>
        <w:t>e-Marketplaces”,</w:t>
      </w:r>
      <w:r>
        <w:rPr>
          <w:spacing w:val="-9"/>
        </w:rPr>
        <w:t> </w:t>
      </w:r>
      <w:r>
        <w:rPr>
          <w:i/>
        </w:rPr>
        <w:t>Computer</w:t>
      </w:r>
      <w:r>
        <w:rPr>
          <w:i/>
          <w:spacing w:val="-7"/>
        </w:rPr>
        <w:t> </w:t>
      </w:r>
      <w:r>
        <w:rPr>
          <w:i/>
        </w:rPr>
        <w:t>Standards</w:t>
      </w:r>
      <w:r>
        <w:rPr>
          <w:i/>
          <w:spacing w:val="-8"/>
        </w:rPr>
        <w:t> </w:t>
      </w:r>
      <w:r>
        <w:rPr>
          <w:i/>
        </w:rPr>
        <w:t>&amp;</w:t>
      </w:r>
      <w:r>
        <w:rPr>
          <w:i/>
          <w:spacing w:val="-7"/>
        </w:rPr>
        <w:t> </w:t>
      </w:r>
      <w:r>
        <w:rPr>
          <w:i/>
        </w:rPr>
        <w:t>Interfaces</w:t>
      </w:r>
      <w:r>
        <w:rPr/>
        <w:t>,</w:t>
      </w:r>
      <w:r>
        <w:rPr>
          <w:spacing w:val="-9"/>
        </w:rPr>
        <w:t> </w:t>
      </w:r>
      <w:r>
        <w:rPr/>
        <w:t>70,</w:t>
      </w:r>
      <w:r>
        <w:rPr>
          <w:spacing w:val="-6"/>
        </w:rPr>
        <w:t> </w:t>
      </w:r>
      <w:r>
        <w:rPr/>
        <w:t>103422. doi:10.1016/j.csi.2020.103422</w:t>
      </w:r>
    </w:p>
    <w:p>
      <w:pPr>
        <w:pStyle w:val="BodyText"/>
        <w:spacing w:before="120"/>
        <w:ind w:left="1256" w:right="309" w:hanging="708"/>
      </w:pPr>
      <w:r>
        <w:rPr/>
        <w:t>Chatterjee, P. (2001), “Online Reviews – Do Consumers Use Them?" </w:t>
      </w:r>
      <w:r>
        <w:rPr>
          <w:i/>
        </w:rPr>
        <w:t>ACR 2001 </w:t>
      </w:r>
      <w:r>
        <w:rPr>
          <w:i/>
        </w:rPr>
        <w:t>Proceedings</w:t>
      </w:r>
      <w:r>
        <w:rPr/>
        <w:t>, eds. M. C. Gilly and J. Myers-Levy, Provo, UT: Association for Consumer Research,</w:t>
      </w:r>
      <w:r>
        <w:rPr>
          <w:spacing w:val="-1"/>
        </w:rPr>
        <w:t> </w:t>
      </w:r>
      <w:r>
        <w:rPr/>
        <w:t>129-134.</w:t>
      </w:r>
    </w:p>
    <w:p>
      <w:pPr>
        <w:pStyle w:val="BodyText"/>
        <w:spacing w:before="121"/>
        <w:ind w:left="1256" w:right="312" w:hanging="708"/>
      </w:pPr>
      <w:r>
        <w:rPr/>
        <w:t>Chen, H., Duan, W., &amp; Zhou, W. (2017). “The Interplay Between Free Sampling and Word of Mouth in the Online Software Market”, </w:t>
      </w:r>
      <w:r>
        <w:rPr>
          <w:i/>
        </w:rPr>
        <w:t>Decision Support Systems</w:t>
      </w:r>
      <w:r>
        <w:rPr/>
        <w:t>, 95, 82-90.</w:t>
      </w:r>
      <w:r>
        <w:rPr>
          <w:spacing w:val="-27"/>
        </w:rPr>
        <w:t> </w:t>
      </w:r>
      <w:r>
        <w:rPr/>
        <w:t>doi: 10.1016/j.dss.2017.01.001</w:t>
      </w:r>
    </w:p>
    <w:p>
      <w:pPr>
        <w:pStyle w:val="BodyText"/>
        <w:spacing w:before="120"/>
        <w:ind w:left="1256" w:right="310" w:hanging="708"/>
      </w:pPr>
      <w:r>
        <w:rPr/>
        <w:t>Chen, K., Luo, P., &amp; Wang, H. (2017). “Investigating Transitive Influences on Wom: From The Product Network Perspective”, </w:t>
      </w:r>
      <w:r>
        <w:rPr>
          <w:i/>
        </w:rPr>
        <w:t>Electronic Commerce Research</w:t>
      </w:r>
      <w:r>
        <w:rPr/>
        <w:t>, 17(1),</w:t>
      </w:r>
      <w:r>
        <w:rPr>
          <w:spacing w:val="-29"/>
        </w:rPr>
        <w:t> </w:t>
      </w:r>
      <w:r>
        <w:rPr/>
        <w:t>149-167. doi:10.1007/s10660-016-9241-8</w:t>
      </w:r>
    </w:p>
    <w:p>
      <w:pPr>
        <w:pStyle w:val="BodyText"/>
        <w:spacing w:before="120"/>
        <w:ind w:left="1256" w:right="312" w:hanging="708"/>
      </w:pPr>
      <w:r>
        <w:rPr/>
        <w:t>Chen, P. Y., Wu, S. Y., &amp; Yoon, J. (2004). “The Impact of Online Recommendations and Consumer Feedback on Sales”, </w:t>
      </w:r>
      <w:r>
        <w:rPr>
          <w:i/>
        </w:rPr>
        <w:t>ICIS 2004 Proceedings</w:t>
      </w:r>
      <w:r>
        <w:rPr/>
        <w:t>, 711-724.</w:t>
      </w:r>
    </w:p>
    <w:p>
      <w:pPr>
        <w:pStyle w:val="BodyText"/>
        <w:spacing w:before="120"/>
      </w:pPr>
      <w:r>
        <w:rPr/>
        <w:t>Chen, Y., &amp; Xie, J. (2005). “Third-Party Product Review and Firm Marketing Strategy”,</w:t>
      </w:r>
    </w:p>
    <w:p>
      <w:pPr>
        <w:spacing w:before="0"/>
        <w:ind w:left="1256" w:right="0" w:firstLine="0"/>
        <w:jc w:val="both"/>
        <w:rPr>
          <w:sz w:val="24"/>
        </w:rPr>
      </w:pPr>
      <w:r>
        <w:rPr>
          <w:i/>
          <w:sz w:val="24"/>
        </w:rPr>
        <w:t>Marketing Science</w:t>
      </w:r>
      <w:r>
        <w:rPr>
          <w:sz w:val="24"/>
        </w:rPr>
        <w:t>, 24(2), 218-240. doi:10.1287/mksc.1040.0089</w:t>
      </w:r>
    </w:p>
    <w:p>
      <w:pPr>
        <w:pStyle w:val="BodyText"/>
        <w:tabs>
          <w:tab w:pos="8525" w:val="left" w:leader="none"/>
        </w:tabs>
        <w:spacing w:before="120"/>
        <w:ind w:left="1256" w:right="311" w:hanging="708"/>
        <w:jc w:val="left"/>
      </w:pPr>
      <w:r>
        <w:rPr/>
        <w:t>Chen, Y., &amp; Xie, J. (2008). “Online Consumer Review: Word-of-Mouth as a New Element of   Marketing   Communication   Mix”,   </w:t>
      </w:r>
      <w:r>
        <w:rPr>
          <w:i/>
        </w:rPr>
        <w:t>Management  </w:t>
      </w:r>
      <w:r>
        <w:rPr>
          <w:i/>
          <w:spacing w:val="39"/>
        </w:rPr>
        <w:t> </w:t>
      </w:r>
      <w:r>
        <w:rPr>
          <w:i/>
        </w:rPr>
        <w:t>Science</w:t>
      </w:r>
      <w:r>
        <w:rPr/>
        <w:t>,  </w:t>
      </w:r>
      <w:r>
        <w:rPr>
          <w:spacing w:val="10"/>
        </w:rPr>
        <w:t> </w:t>
      </w:r>
      <w:r>
        <w:rPr/>
        <w:t>54(3),</w:t>
        <w:tab/>
      </w:r>
      <w:r>
        <w:rPr>
          <w:spacing w:val="-1"/>
        </w:rPr>
        <w:t>477-491.</w:t>
      </w:r>
    </w:p>
    <w:p>
      <w:pPr>
        <w:pStyle w:val="BodyText"/>
        <w:ind w:left="1256"/>
        <w:jc w:val="left"/>
      </w:pPr>
      <w:r>
        <w:rPr/>
        <w:t>doi:10.1287/mnsc.1070.0810</w:t>
      </w:r>
    </w:p>
    <w:p>
      <w:pPr>
        <w:pStyle w:val="BodyText"/>
        <w:spacing w:before="120"/>
        <w:jc w:val="left"/>
      </w:pPr>
      <w:r>
        <w:rPr/>
        <w:t>Chen, Z., &amp; Berger, J. (2013). “When, Why, and How Controversy Causes Conversation”,</w:t>
      </w:r>
    </w:p>
    <w:p>
      <w:pPr>
        <w:spacing w:before="0"/>
        <w:ind w:left="1256" w:right="0" w:firstLine="0"/>
        <w:jc w:val="left"/>
        <w:rPr>
          <w:sz w:val="24"/>
        </w:rPr>
      </w:pPr>
      <w:r>
        <w:rPr>
          <w:i/>
          <w:sz w:val="24"/>
        </w:rPr>
        <w:t>Journal of Consumer Research</w:t>
      </w:r>
      <w:r>
        <w:rPr>
          <w:sz w:val="24"/>
        </w:rPr>
        <w:t>, 40(3), 580–593. doi:10.1086/671465</w:t>
      </w:r>
    </w:p>
    <w:p>
      <w:pPr>
        <w:pStyle w:val="BodyText"/>
        <w:spacing w:before="121"/>
        <w:ind w:left="1256" w:right="313" w:hanging="708"/>
      </w:pPr>
      <w:r>
        <w:rPr/>
        <w:t>Chernev, A. (2003a). “When More Is Less and Less Is More: The Role of Ideal Point Availability and Assortment in Consumer Choice”, </w:t>
      </w:r>
      <w:r>
        <w:rPr>
          <w:i/>
        </w:rPr>
        <w:t>Journal of Consumer Research</w:t>
      </w:r>
      <w:r>
        <w:rPr/>
        <w:t>, 30(2), 170-183. doi:10.1086/376808</w:t>
      </w:r>
    </w:p>
    <w:p>
      <w:pPr>
        <w:spacing w:before="118"/>
        <w:ind w:left="1256" w:right="309" w:hanging="708"/>
        <w:jc w:val="both"/>
        <w:rPr>
          <w:sz w:val="24"/>
        </w:rPr>
      </w:pPr>
      <w:r>
        <w:rPr>
          <w:sz w:val="24"/>
        </w:rPr>
        <w:t>Chernev, A. (2003b). “Product Assortment and Individual Decision Processes”, </w:t>
      </w:r>
      <w:r>
        <w:rPr>
          <w:i/>
          <w:sz w:val="24"/>
        </w:rPr>
        <w:t>Journal of </w:t>
      </w:r>
      <w:r>
        <w:rPr>
          <w:i/>
          <w:sz w:val="24"/>
        </w:rPr>
        <w:t>Personality</w:t>
      </w:r>
      <w:r>
        <w:rPr>
          <w:i/>
          <w:spacing w:val="-13"/>
          <w:sz w:val="24"/>
        </w:rPr>
        <w:t> </w:t>
      </w:r>
      <w:r>
        <w:rPr>
          <w:i/>
          <w:sz w:val="24"/>
        </w:rPr>
        <w:t>and</w:t>
      </w:r>
      <w:r>
        <w:rPr>
          <w:i/>
          <w:spacing w:val="-12"/>
          <w:sz w:val="24"/>
        </w:rPr>
        <w:t> </w:t>
      </w:r>
      <w:r>
        <w:rPr>
          <w:i/>
          <w:sz w:val="24"/>
        </w:rPr>
        <w:t>Social</w:t>
      </w:r>
      <w:r>
        <w:rPr>
          <w:i/>
          <w:spacing w:val="-11"/>
          <w:sz w:val="24"/>
        </w:rPr>
        <w:t> </w:t>
      </w:r>
      <w:r>
        <w:rPr>
          <w:i/>
          <w:sz w:val="24"/>
        </w:rPr>
        <w:t>Psychology</w:t>
      </w:r>
      <w:r>
        <w:rPr>
          <w:sz w:val="24"/>
        </w:rPr>
        <w:t>,</w:t>
      </w:r>
      <w:r>
        <w:rPr>
          <w:spacing w:val="-12"/>
          <w:sz w:val="24"/>
        </w:rPr>
        <w:t> </w:t>
      </w:r>
      <w:r>
        <w:rPr>
          <w:sz w:val="24"/>
        </w:rPr>
        <w:t>85(1),</w:t>
      </w:r>
      <w:r>
        <w:rPr>
          <w:spacing w:val="-11"/>
          <w:sz w:val="24"/>
        </w:rPr>
        <w:t> </w:t>
      </w:r>
      <w:r>
        <w:rPr>
          <w:sz w:val="24"/>
        </w:rPr>
        <w:t>151-162.</w:t>
      </w:r>
      <w:r>
        <w:rPr>
          <w:spacing w:val="-12"/>
          <w:sz w:val="24"/>
        </w:rPr>
        <w:t> </w:t>
      </w:r>
      <w:r>
        <w:rPr>
          <w:sz w:val="24"/>
        </w:rPr>
        <w:t>doi:10.1037/0022-3514.85.1.151</w:t>
      </w:r>
    </w:p>
    <w:p>
      <w:pPr>
        <w:pStyle w:val="BodyText"/>
        <w:spacing w:before="120"/>
        <w:ind w:left="1256" w:right="309" w:hanging="708"/>
      </w:pPr>
      <w:r>
        <w:rPr/>
        <w:t>Cheung, C. M., &amp; Thadani, D. R. (2012). “The Impact of Electronic Word-of-Mouth Communication: A Literature Analysis and Integrative Model”, </w:t>
      </w:r>
      <w:r>
        <w:rPr>
          <w:i/>
        </w:rPr>
        <w:t>Decision Support </w:t>
      </w:r>
      <w:r>
        <w:rPr>
          <w:i/>
        </w:rPr>
        <w:t>Systems</w:t>
      </w:r>
      <w:r>
        <w:rPr/>
        <w:t>, 54(1), 461-470. doi:10.1016/j.dss.2012.06.008</w:t>
      </w:r>
    </w:p>
    <w:p>
      <w:pPr>
        <w:spacing w:after="0"/>
        <w:sectPr>
          <w:pgSz w:w="12240" w:h="15840"/>
          <w:pgMar w:header="718" w:footer="0" w:top="1300" w:bottom="280" w:left="1720" w:right="820"/>
        </w:sectPr>
      </w:pPr>
    </w:p>
    <w:p>
      <w:pPr>
        <w:pStyle w:val="BodyText"/>
        <w:spacing w:before="100"/>
        <w:ind w:left="1256" w:right="310" w:hanging="708"/>
      </w:pPr>
      <w:r>
        <w:rPr/>
        <w:t>Cheung, M. Y., Luo, C., Sia, C. L., &amp; Chen, H. (2009). “Credibility of Electronic Word-of- Mouth: Informational and Normative Determinants of On-Line Consumer Recommendations”, </w:t>
      </w:r>
      <w:r>
        <w:rPr>
          <w:i/>
        </w:rPr>
        <w:t>International Journal of Electronic Commerce</w:t>
      </w:r>
      <w:r>
        <w:rPr/>
        <w:t>, 13(4), 9-38. doi:10.2753/JEC1086-4415130402</w:t>
      </w:r>
    </w:p>
    <w:p>
      <w:pPr>
        <w:pStyle w:val="BodyText"/>
        <w:spacing w:before="121"/>
        <w:ind w:left="1256" w:right="312" w:hanging="708"/>
      </w:pPr>
      <w:r>
        <w:rPr/>
        <w:t>Chevalier,</w:t>
      </w:r>
      <w:r>
        <w:rPr>
          <w:spacing w:val="-14"/>
        </w:rPr>
        <w:t> </w:t>
      </w:r>
      <w:r>
        <w:rPr/>
        <w:t>J.</w:t>
      </w:r>
      <w:r>
        <w:rPr>
          <w:spacing w:val="-10"/>
        </w:rPr>
        <w:t> </w:t>
      </w:r>
      <w:r>
        <w:rPr/>
        <w:t>A.,</w:t>
      </w:r>
      <w:r>
        <w:rPr>
          <w:spacing w:val="-14"/>
        </w:rPr>
        <w:t> </w:t>
      </w:r>
      <w:r>
        <w:rPr/>
        <w:t>&amp;</w:t>
      </w:r>
      <w:r>
        <w:rPr>
          <w:spacing w:val="-12"/>
        </w:rPr>
        <w:t> </w:t>
      </w:r>
      <w:r>
        <w:rPr/>
        <w:t>Mayzlin,</w:t>
      </w:r>
      <w:r>
        <w:rPr>
          <w:spacing w:val="-12"/>
        </w:rPr>
        <w:t> </w:t>
      </w:r>
      <w:r>
        <w:rPr/>
        <w:t>D.</w:t>
      </w:r>
      <w:r>
        <w:rPr>
          <w:spacing w:val="-14"/>
        </w:rPr>
        <w:t> </w:t>
      </w:r>
      <w:r>
        <w:rPr/>
        <w:t>(2006).</w:t>
      </w:r>
      <w:r>
        <w:rPr>
          <w:spacing w:val="-9"/>
        </w:rPr>
        <w:t> </w:t>
      </w:r>
      <w:r>
        <w:rPr/>
        <w:t>“The</w:t>
      </w:r>
      <w:r>
        <w:rPr>
          <w:spacing w:val="-12"/>
        </w:rPr>
        <w:t> </w:t>
      </w:r>
      <w:r>
        <w:rPr/>
        <w:t>Effect</w:t>
      </w:r>
      <w:r>
        <w:rPr>
          <w:spacing w:val="-10"/>
        </w:rPr>
        <w:t> </w:t>
      </w:r>
      <w:r>
        <w:rPr/>
        <w:t>of</w:t>
      </w:r>
      <w:r>
        <w:rPr>
          <w:spacing w:val="-13"/>
        </w:rPr>
        <w:t> </w:t>
      </w:r>
      <w:r>
        <w:rPr/>
        <w:t>Word</w:t>
      </w:r>
      <w:r>
        <w:rPr>
          <w:spacing w:val="-14"/>
        </w:rPr>
        <w:t> </w:t>
      </w:r>
      <w:r>
        <w:rPr/>
        <w:t>of</w:t>
      </w:r>
      <w:r>
        <w:rPr>
          <w:spacing w:val="-11"/>
        </w:rPr>
        <w:t> </w:t>
      </w:r>
      <w:r>
        <w:rPr/>
        <w:t>Mouth</w:t>
      </w:r>
      <w:r>
        <w:rPr>
          <w:spacing w:val="-12"/>
        </w:rPr>
        <w:t> </w:t>
      </w:r>
      <w:r>
        <w:rPr/>
        <w:t>on</w:t>
      </w:r>
      <w:r>
        <w:rPr>
          <w:spacing w:val="-13"/>
        </w:rPr>
        <w:t> </w:t>
      </w:r>
      <w:r>
        <w:rPr/>
        <w:t>Sales:</w:t>
      </w:r>
      <w:r>
        <w:rPr>
          <w:spacing w:val="-12"/>
        </w:rPr>
        <w:t> </w:t>
      </w:r>
      <w:r>
        <w:rPr/>
        <w:t>Online</w:t>
      </w:r>
      <w:r>
        <w:rPr>
          <w:spacing w:val="-14"/>
        </w:rPr>
        <w:t> </w:t>
      </w:r>
      <w:r>
        <w:rPr/>
        <w:t>Book Reviews”, </w:t>
      </w:r>
      <w:r>
        <w:rPr>
          <w:i/>
        </w:rPr>
        <w:t>Journal of Marketing Research</w:t>
      </w:r>
      <w:r>
        <w:rPr/>
        <w:t>, 43(3), 345-354. doi: 10.1509/jmkr.43.3.345</w:t>
      </w:r>
    </w:p>
    <w:p>
      <w:pPr>
        <w:pStyle w:val="BodyText"/>
        <w:spacing w:before="120"/>
        <w:ind w:left="1256" w:right="309" w:hanging="708"/>
      </w:pPr>
      <w:r>
        <w:rPr/>
        <w:t>Chevalier, J., &amp; Goolsbee, A. (2003). “Measuring Prices and Price Competition Online: Amazon.com and BarnesandNoble.com”, </w:t>
      </w:r>
      <w:r>
        <w:rPr>
          <w:i/>
        </w:rPr>
        <w:t>Quantitative Marketing and Economics</w:t>
      </w:r>
      <w:r>
        <w:rPr/>
        <w:t>, 1(2), 203-222. doi:10.1023/A:1024634613982</w:t>
      </w:r>
    </w:p>
    <w:p>
      <w:pPr>
        <w:pStyle w:val="BodyText"/>
        <w:spacing w:before="120"/>
        <w:ind w:left="1256" w:right="310" w:hanging="708"/>
      </w:pPr>
      <w:r>
        <w:rPr/>
        <w:t>Chih, W. H., Wang, K. Y., Hsu, L. C., &amp; Huang, S. C. (2013). “Investigating Electronic Word-of-Mouth Effects on Online Discussion Forums: The Role of Perceived Positive Electronic Word-of-Mouth Review Credibility”, </w:t>
      </w:r>
      <w:r>
        <w:rPr>
          <w:i/>
        </w:rPr>
        <w:t>Cyberpsychology, </w:t>
      </w:r>
      <w:r>
        <w:rPr>
          <w:i/>
        </w:rPr>
        <w:t>Behavior, and Social Networking</w:t>
      </w:r>
      <w:r>
        <w:rPr/>
        <w:t>, 16(9), 658-668. doi: 10.1089/cyber.2012.0364</w:t>
      </w:r>
    </w:p>
    <w:p>
      <w:pPr>
        <w:pStyle w:val="BodyText"/>
        <w:spacing w:before="120"/>
        <w:ind w:left="1256" w:right="311" w:hanging="708"/>
      </w:pPr>
      <w:r>
        <w:rPr/>
        <w:t>Chintagunta, P. K., Gopinath, S., &amp; Venkataraman, S. (2010). “The Effects of Online User Reviews on Movie Box Office Performance: Accounting for Sequential Rollout and Aggregation Across Local Markets”, </w:t>
      </w:r>
      <w:r>
        <w:rPr>
          <w:i/>
        </w:rPr>
        <w:t>Marketing Science</w:t>
      </w:r>
      <w:r>
        <w:rPr/>
        <w:t>, 29(5), 944-957. doi:10.1287/mksc.1100.0572</w:t>
      </w:r>
    </w:p>
    <w:p>
      <w:pPr>
        <w:pStyle w:val="BodyText"/>
        <w:spacing w:before="121"/>
        <w:ind w:left="1256" w:right="311" w:hanging="708"/>
      </w:pPr>
      <w:r>
        <w:rPr/>
        <w:t>Choi, D. H., &amp; Shin, D. H. (2017). “A Dialectic Perspective on The Interactive</w:t>
      </w:r>
      <w:r>
        <w:rPr>
          <w:spacing w:val="-26"/>
        </w:rPr>
        <w:t> </w:t>
      </w:r>
      <w:r>
        <w:rPr/>
        <w:t>Relationship Between Social Media and Civic Participation: The Moderating Role of Social Capital”, </w:t>
      </w:r>
      <w:r>
        <w:rPr>
          <w:i/>
        </w:rPr>
        <w:t>Information, Communication &amp; Society</w:t>
      </w:r>
      <w:r>
        <w:rPr/>
        <w:t>, 20(2), 151-166. doi:10.1080/1369118X.2016.1154586</w:t>
      </w:r>
    </w:p>
    <w:p>
      <w:pPr>
        <w:spacing w:before="120"/>
        <w:ind w:left="1256" w:right="312" w:hanging="708"/>
        <w:jc w:val="both"/>
        <w:rPr>
          <w:sz w:val="24"/>
        </w:rPr>
      </w:pPr>
      <w:r>
        <w:rPr>
          <w:sz w:val="24"/>
        </w:rPr>
        <w:t>Choi, I. (2001). “Unit Root Tests for Panel Data”. </w:t>
      </w:r>
      <w:r>
        <w:rPr>
          <w:i/>
          <w:sz w:val="24"/>
        </w:rPr>
        <w:t>Journal of International Money and </w:t>
      </w:r>
      <w:r>
        <w:rPr>
          <w:i/>
          <w:sz w:val="24"/>
        </w:rPr>
        <w:t>Finance</w:t>
      </w:r>
      <w:r>
        <w:rPr>
          <w:sz w:val="24"/>
        </w:rPr>
        <w:t>, 20(2), 249-272. doi:10.1016/S0261-5606(00)00048-6</w:t>
      </w:r>
    </w:p>
    <w:p>
      <w:pPr>
        <w:pStyle w:val="BodyText"/>
        <w:spacing w:before="120"/>
        <w:ind w:left="1256" w:right="311" w:hanging="708"/>
      </w:pPr>
      <w:r>
        <w:rPr/>
        <w:t>Chong, A. Y. L., Ch’ng, E., Liu, M. J., &amp; Li, B. (2017). “Predicting Consumer Product Demands via Big Data: The Roles of Online Promotional Marketing and Online Reviews”, </w:t>
      </w:r>
      <w:r>
        <w:rPr>
          <w:i/>
        </w:rPr>
        <w:t>International Journal of Production Research</w:t>
      </w:r>
      <w:r>
        <w:rPr/>
        <w:t>, 55(17), 5142-5156. doi:10.1080/00207543.2015.1066519</w:t>
      </w:r>
    </w:p>
    <w:p>
      <w:pPr>
        <w:pStyle w:val="BodyText"/>
        <w:spacing w:before="120"/>
        <w:ind w:left="1256" w:right="310" w:hanging="708"/>
      </w:pPr>
      <w:r>
        <w:rPr/>
        <w:t>Chong,</w:t>
      </w:r>
      <w:r>
        <w:rPr>
          <w:spacing w:val="-6"/>
        </w:rPr>
        <w:t> </w:t>
      </w:r>
      <w:r>
        <w:rPr/>
        <w:t>A.</w:t>
      </w:r>
      <w:r>
        <w:rPr>
          <w:spacing w:val="-6"/>
        </w:rPr>
        <w:t> </w:t>
      </w:r>
      <w:r>
        <w:rPr/>
        <w:t>Y.</w:t>
      </w:r>
      <w:r>
        <w:rPr>
          <w:spacing w:val="-6"/>
        </w:rPr>
        <w:t> </w:t>
      </w:r>
      <w:r>
        <w:rPr/>
        <w:t>L.,</w:t>
      </w:r>
      <w:r>
        <w:rPr>
          <w:spacing w:val="-3"/>
        </w:rPr>
        <w:t> </w:t>
      </w:r>
      <w:r>
        <w:rPr/>
        <w:t>Lacka,</w:t>
      </w:r>
      <w:r>
        <w:rPr>
          <w:spacing w:val="-4"/>
        </w:rPr>
        <w:t> </w:t>
      </w:r>
      <w:r>
        <w:rPr/>
        <w:t>E.,</w:t>
      </w:r>
      <w:r>
        <w:rPr>
          <w:spacing w:val="-5"/>
        </w:rPr>
        <w:t> </w:t>
      </w:r>
      <w:r>
        <w:rPr/>
        <w:t>Boying,</w:t>
      </w:r>
      <w:r>
        <w:rPr>
          <w:spacing w:val="-5"/>
        </w:rPr>
        <w:t> </w:t>
      </w:r>
      <w:r>
        <w:rPr/>
        <w:t>L.,</w:t>
      </w:r>
      <w:r>
        <w:rPr>
          <w:spacing w:val="-5"/>
        </w:rPr>
        <w:t> </w:t>
      </w:r>
      <w:r>
        <w:rPr/>
        <w:t>&amp;</w:t>
      </w:r>
      <w:r>
        <w:rPr>
          <w:spacing w:val="-6"/>
        </w:rPr>
        <w:t> </w:t>
      </w:r>
      <w:r>
        <w:rPr/>
        <w:t>Chan,</w:t>
      </w:r>
      <w:r>
        <w:rPr>
          <w:spacing w:val="-3"/>
        </w:rPr>
        <w:t> </w:t>
      </w:r>
      <w:r>
        <w:rPr/>
        <w:t>H.</w:t>
      </w:r>
      <w:r>
        <w:rPr>
          <w:spacing w:val="-6"/>
        </w:rPr>
        <w:t> </w:t>
      </w:r>
      <w:r>
        <w:rPr/>
        <w:t>K.</w:t>
      </w:r>
      <w:r>
        <w:rPr>
          <w:spacing w:val="-6"/>
        </w:rPr>
        <w:t> </w:t>
      </w:r>
      <w:r>
        <w:rPr/>
        <w:t>(2018).</w:t>
      </w:r>
      <w:r>
        <w:rPr>
          <w:spacing w:val="-4"/>
        </w:rPr>
        <w:t> </w:t>
      </w:r>
      <w:r>
        <w:rPr/>
        <w:t>“The</w:t>
      </w:r>
      <w:r>
        <w:rPr>
          <w:spacing w:val="-7"/>
        </w:rPr>
        <w:t> </w:t>
      </w:r>
      <w:r>
        <w:rPr/>
        <w:t>Role</w:t>
      </w:r>
      <w:r>
        <w:rPr>
          <w:spacing w:val="-3"/>
        </w:rPr>
        <w:t> </w:t>
      </w:r>
      <w:r>
        <w:rPr/>
        <w:t>of</w:t>
      </w:r>
      <w:r>
        <w:rPr>
          <w:spacing w:val="-6"/>
        </w:rPr>
        <w:t> </w:t>
      </w:r>
      <w:r>
        <w:rPr/>
        <w:t>Social</w:t>
      </w:r>
      <w:r>
        <w:rPr>
          <w:spacing w:val="-5"/>
        </w:rPr>
        <w:t> </w:t>
      </w:r>
      <w:r>
        <w:rPr/>
        <w:t>Media</w:t>
      </w:r>
      <w:r>
        <w:rPr>
          <w:spacing w:val="-5"/>
        </w:rPr>
        <w:t> </w:t>
      </w:r>
      <w:r>
        <w:rPr/>
        <w:t>in Enhancing Guanxi and Perceived Effectiveness of E-Commerce Institutional Mechanisms in Online Marketplace”, </w:t>
      </w:r>
      <w:r>
        <w:rPr>
          <w:i/>
        </w:rPr>
        <w:t>Information &amp; Management</w:t>
      </w:r>
      <w:r>
        <w:rPr/>
        <w:t>, 55(5), 621-632. doi:10.1016/j.im.2018.01.003</w:t>
      </w:r>
    </w:p>
    <w:p>
      <w:pPr>
        <w:pStyle w:val="BodyText"/>
        <w:spacing w:before="120"/>
        <w:ind w:left="1256" w:right="310" w:hanging="708"/>
      </w:pPr>
      <w:r>
        <w:rPr/>
        <w:t>Chong,</w:t>
      </w:r>
      <w:r>
        <w:rPr>
          <w:spacing w:val="-9"/>
        </w:rPr>
        <w:t> </w:t>
      </w:r>
      <w:r>
        <w:rPr/>
        <w:t>A.</w:t>
      </w:r>
      <w:r>
        <w:rPr>
          <w:spacing w:val="-9"/>
        </w:rPr>
        <w:t> </w:t>
      </w:r>
      <w:r>
        <w:rPr/>
        <w:t>Y.</w:t>
      </w:r>
      <w:r>
        <w:rPr>
          <w:spacing w:val="-8"/>
        </w:rPr>
        <w:t> </w:t>
      </w:r>
      <w:r>
        <w:rPr/>
        <w:t>L.,</w:t>
      </w:r>
      <w:r>
        <w:rPr>
          <w:spacing w:val="-9"/>
        </w:rPr>
        <w:t> </w:t>
      </w:r>
      <w:r>
        <w:rPr/>
        <w:t>Li,</w:t>
      </w:r>
      <w:r>
        <w:rPr>
          <w:spacing w:val="-7"/>
        </w:rPr>
        <w:t> </w:t>
      </w:r>
      <w:r>
        <w:rPr/>
        <w:t>B.,</w:t>
      </w:r>
      <w:r>
        <w:rPr>
          <w:spacing w:val="-11"/>
        </w:rPr>
        <w:t> </w:t>
      </w:r>
      <w:r>
        <w:rPr/>
        <w:t>Ngai,</w:t>
      </w:r>
      <w:r>
        <w:rPr>
          <w:spacing w:val="-8"/>
        </w:rPr>
        <w:t> </w:t>
      </w:r>
      <w:r>
        <w:rPr/>
        <w:t>E.</w:t>
      </w:r>
      <w:r>
        <w:rPr>
          <w:spacing w:val="-8"/>
        </w:rPr>
        <w:t> </w:t>
      </w:r>
      <w:r>
        <w:rPr/>
        <w:t>W.,</w:t>
      </w:r>
      <w:r>
        <w:rPr>
          <w:spacing w:val="-9"/>
        </w:rPr>
        <w:t> </w:t>
      </w:r>
      <w:r>
        <w:rPr/>
        <w:t>Ch'ng,</w:t>
      </w:r>
      <w:r>
        <w:rPr>
          <w:spacing w:val="-8"/>
        </w:rPr>
        <w:t> </w:t>
      </w:r>
      <w:r>
        <w:rPr/>
        <w:t>E.,</w:t>
      </w:r>
      <w:r>
        <w:rPr>
          <w:spacing w:val="-9"/>
        </w:rPr>
        <w:t> </w:t>
      </w:r>
      <w:r>
        <w:rPr/>
        <w:t>&amp;</w:t>
      </w:r>
      <w:r>
        <w:rPr>
          <w:spacing w:val="-11"/>
        </w:rPr>
        <w:t> </w:t>
      </w:r>
      <w:r>
        <w:rPr/>
        <w:t>Lee,</w:t>
      </w:r>
      <w:r>
        <w:rPr>
          <w:spacing w:val="-8"/>
        </w:rPr>
        <w:t> </w:t>
      </w:r>
      <w:r>
        <w:rPr/>
        <w:t>F.</w:t>
      </w:r>
      <w:r>
        <w:rPr>
          <w:spacing w:val="-9"/>
        </w:rPr>
        <w:t> </w:t>
      </w:r>
      <w:r>
        <w:rPr/>
        <w:t>(2016).</w:t>
      </w:r>
      <w:r>
        <w:rPr>
          <w:spacing w:val="-7"/>
        </w:rPr>
        <w:t> </w:t>
      </w:r>
      <w:r>
        <w:rPr/>
        <w:t>“Predicting</w:t>
      </w:r>
      <w:r>
        <w:rPr>
          <w:spacing w:val="-9"/>
        </w:rPr>
        <w:t> </w:t>
      </w:r>
      <w:r>
        <w:rPr/>
        <w:t>Online</w:t>
      </w:r>
      <w:r>
        <w:rPr>
          <w:spacing w:val="-9"/>
        </w:rPr>
        <w:t> </w:t>
      </w:r>
      <w:r>
        <w:rPr/>
        <w:t>Product Sales via Online Reviews, Sentiments, and Promotion Strategies: A Big Data Architecture and Neural Network Approach”, </w:t>
      </w:r>
      <w:r>
        <w:rPr>
          <w:i/>
        </w:rPr>
        <w:t>International Journal of Operations</w:t>
      </w:r>
      <w:r>
        <w:rPr>
          <w:i/>
          <w:spacing w:val="-41"/>
        </w:rPr>
        <w:t> </w:t>
      </w:r>
      <w:r>
        <w:rPr>
          <w:i/>
        </w:rPr>
        <w:t>&amp; </w:t>
      </w:r>
      <w:r>
        <w:rPr>
          <w:i/>
        </w:rPr>
        <w:t>Production Management</w:t>
      </w:r>
      <w:r>
        <w:rPr/>
        <w:t>, 36(4), 358-383. doi:10.1108/IJOPM-03-2015-0151</w:t>
      </w:r>
    </w:p>
    <w:p>
      <w:pPr>
        <w:pStyle w:val="BodyText"/>
        <w:spacing w:before="119"/>
        <w:ind w:left="1256" w:right="310" w:hanging="708"/>
      </w:pPr>
      <w:r>
        <w:rPr/>
        <w:t>Chu,</w:t>
      </w:r>
      <w:r>
        <w:rPr>
          <w:spacing w:val="-6"/>
        </w:rPr>
        <w:t> </w:t>
      </w:r>
      <w:r>
        <w:rPr/>
        <w:t>S.</w:t>
      </w:r>
      <w:r>
        <w:rPr>
          <w:spacing w:val="-6"/>
        </w:rPr>
        <w:t> </w:t>
      </w:r>
      <w:r>
        <w:rPr/>
        <w:t>C.,</w:t>
      </w:r>
      <w:r>
        <w:rPr>
          <w:spacing w:val="-9"/>
        </w:rPr>
        <w:t> </w:t>
      </w:r>
      <w:r>
        <w:rPr/>
        <w:t>&amp;</w:t>
      </w:r>
      <w:r>
        <w:rPr>
          <w:spacing w:val="-6"/>
        </w:rPr>
        <w:t> </w:t>
      </w:r>
      <w:r>
        <w:rPr/>
        <w:t>Kim,</w:t>
      </w:r>
      <w:r>
        <w:rPr>
          <w:spacing w:val="-6"/>
        </w:rPr>
        <w:t> </w:t>
      </w:r>
      <w:r>
        <w:rPr/>
        <w:t>Y.</w:t>
      </w:r>
      <w:r>
        <w:rPr>
          <w:spacing w:val="-7"/>
        </w:rPr>
        <w:t> </w:t>
      </w:r>
      <w:r>
        <w:rPr/>
        <w:t>(2011).</w:t>
      </w:r>
      <w:r>
        <w:rPr>
          <w:spacing w:val="-6"/>
        </w:rPr>
        <w:t> </w:t>
      </w:r>
      <w:r>
        <w:rPr/>
        <w:t>“Determinants</w:t>
      </w:r>
      <w:r>
        <w:rPr>
          <w:spacing w:val="-6"/>
        </w:rPr>
        <w:t> </w:t>
      </w:r>
      <w:r>
        <w:rPr/>
        <w:t>of</w:t>
      </w:r>
      <w:r>
        <w:rPr>
          <w:spacing w:val="-6"/>
        </w:rPr>
        <w:t> </w:t>
      </w:r>
      <w:r>
        <w:rPr/>
        <w:t>Consumer</w:t>
      </w:r>
      <w:r>
        <w:rPr>
          <w:spacing w:val="-7"/>
        </w:rPr>
        <w:t> </w:t>
      </w:r>
      <w:r>
        <w:rPr/>
        <w:t>Engagement</w:t>
      </w:r>
      <w:r>
        <w:rPr>
          <w:spacing w:val="-5"/>
        </w:rPr>
        <w:t> </w:t>
      </w:r>
      <w:r>
        <w:rPr/>
        <w:t>in</w:t>
      </w:r>
      <w:r>
        <w:rPr>
          <w:spacing w:val="-3"/>
        </w:rPr>
        <w:t> </w:t>
      </w:r>
      <w:r>
        <w:rPr/>
        <w:t>Electronic</w:t>
      </w:r>
      <w:r>
        <w:rPr>
          <w:spacing w:val="-7"/>
        </w:rPr>
        <w:t> </w:t>
      </w:r>
      <w:r>
        <w:rPr/>
        <w:t>Word- of-Mouth (Ewom) in Social Networking Sites”, </w:t>
      </w:r>
      <w:r>
        <w:rPr>
          <w:i/>
        </w:rPr>
        <w:t>International journal of</w:t>
      </w:r>
      <w:r>
        <w:rPr>
          <w:i/>
          <w:spacing w:val="-21"/>
        </w:rPr>
        <w:t> </w:t>
      </w:r>
      <w:r>
        <w:rPr>
          <w:i/>
        </w:rPr>
        <w:t>Advertising</w:t>
      </w:r>
      <w:r>
        <w:rPr/>
        <w:t>, 30(1), 47-75. doi:</w:t>
      </w:r>
      <w:r>
        <w:rPr>
          <w:spacing w:val="-1"/>
        </w:rPr>
        <w:t> </w:t>
      </w:r>
      <w:r>
        <w:rPr/>
        <w:t>10.2501/IJA-30-1-047-075</w:t>
      </w:r>
    </w:p>
    <w:p>
      <w:pPr>
        <w:pStyle w:val="BodyText"/>
        <w:spacing w:before="120"/>
        <w:ind w:left="1256" w:right="313" w:hanging="708"/>
      </w:pPr>
      <w:r>
        <w:rPr/>
        <w:t>Clemons, E. K., Gao, G. G., &amp; Hitt, L. M. (2006). “When Online Reviews Meet Hyperdifferentiation: A Study of The Craft Beer Industry”, </w:t>
      </w:r>
      <w:r>
        <w:rPr>
          <w:i/>
        </w:rPr>
        <w:t>Journal of Management </w:t>
      </w:r>
      <w:r>
        <w:rPr>
          <w:i/>
        </w:rPr>
        <w:t>Information Systems</w:t>
      </w:r>
      <w:r>
        <w:rPr/>
        <w:t>, 23(2), 149-171. doi:10.2753/MIS0742-1222230207</w:t>
      </w:r>
    </w:p>
    <w:p>
      <w:pPr>
        <w:spacing w:after="0"/>
        <w:sectPr>
          <w:pgSz w:w="12240" w:h="15840"/>
          <w:pgMar w:header="718" w:footer="0" w:top="1300" w:bottom="280" w:left="1720" w:right="820"/>
        </w:sectPr>
      </w:pPr>
    </w:p>
    <w:p>
      <w:pPr>
        <w:spacing w:before="100"/>
        <w:ind w:left="1256" w:right="309" w:hanging="708"/>
        <w:jc w:val="both"/>
        <w:rPr>
          <w:sz w:val="24"/>
        </w:rPr>
      </w:pPr>
      <w:r>
        <w:rPr>
          <w:sz w:val="24"/>
        </w:rPr>
        <w:t>Connolly, T. &amp; Zeelenberg, M. (2002). “Regret in Decision Making”. </w:t>
      </w:r>
      <w:r>
        <w:rPr>
          <w:i/>
          <w:sz w:val="24"/>
        </w:rPr>
        <w:t>Current Directions in </w:t>
      </w:r>
      <w:r>
        <w:rPr>
          <w:i/>
          <w:sz w:val="24"/>
        </w:rPr>
        <w:t>Psychological Science</w:t>
      </w:r>
      <w:r>
        <w:rPr>
          <w:sz w:val="24"/>
        </w:rPr>
        <w:t>, 11(6): 212–216. doi:10.1111/1467-8721.00203</w:t>
      </w:r>
    </w:p>
    <w:p>
      <w:pPr>
        <w:pStyle w:val="BodyText"/>
        <w:spacing w:before="121"/>
        <w:ind w:left="1256" w:right="311" w:hanging="708"/>
      </w:pPr>
      <w:r>
        <w:rPr/>
        <w:t>Constantinides, E. (2004). “Influencing the Online Consumer’s Behavior: The Web Experience”, </w:t>
      </w:r>
      <w:r>
        <w:rPr>
          <w:i/>
        </w:rPr>
        <w:t>Internet Research</w:t>
      </w:r>
      <w:r>
        <w:rPr/>
        <w:t>, 14(2), 111-126. doi:10.1108/10662240410530835</w:t>
      </w:r>
    </w:p>
    <w:p>
      <w:pPr>
        <w:pStyle w:val="BodyText"/>
        <w:spacing w:before="120"/>
        <w:ind w:left="1256" w:right="311" w:hanging="708"/>
      </w:pPr>
      <w:r>
        <w:rPr/>
        <w:t>Craig, C. S., Greene, W. H., &amp; Versaci, A. (2015). “E-Word of Mouth: Early Predictor of Audience Engagement: How Pre-Release “E-Wom” Drives Box-Office Outcomes</w:t>
      </w:r>
      <w:r>
        <w:rPr>
          <w:spacing w:val="-42"/>
        </w:rPr>
        <w:t> </w:t>
      </w:r>
      <w:r>
        <w:rPr/>
        <w:t>of Movies</w:t>
      </w:r>
      <w:r>
        <w:rPr>
          <w:i/>
        </w:rPr>
        <w:t>”,</w:t>
      </w:r>
      <w:r>
        <w:rPr>
          <w:i/>
          <w:spacing w:val="-14"/>
        </w:rPr>
        <w:t> </w:t>
      </w:r>
      <w:r>
        <w:rPr>
          <w:i/>
        </w:rPr>
        <w:t>Journal</w:t>
      </w:r>
      <w:r>
        <w:rPr>
          <w:i/>
          <w:spacing w:val="-14"/>
        </w:rPr>
        <w:t> </w:t>
      </w:r>
      <w:r>
        <w:rPr>
          <w:i/>
        </w:rPr>
        <w:t>of</w:t>
      </w:r>
      <w:r>
        <w:rPr>
          <w:i/>
          <w:spacing w:val="-14"/>
        </w:rPr>
        <w:t> </w:t>
      </w:r>
      <w:r>
        <w:rPr>
          <w:i/>
        </w:rPr>
        <w:t>Advertising</w:t>
      </w:r>
      <w:r>
        <w:rPr>
          <w:i/>
          <w:spacing w:val="-14"/>
        </w:rPr>
        <w:t> </w:t>
      </w:r>
      <w:r>
        <w:rPr>
          <w:i/>
        </w:rPr>
        <w:t>Research</w:t>
      </w:r>
      <w:r>
        <w:rPr/>
        <w:t>,</w:t>
      </w:r>
      <w:r>
        <w:rPr>
          <w:spacing w:val="-14"/>
        </w:rPr>
        <w:t> </w:t>
      </w:r>
      <w:r>
        <w:rPr/>
        <w:t>55(1),</w:t>
      </w:r>
      <w:r>
        <w:rPr>
          <w:spacing w:val="-11"/>
        </w:rPr>
        <w:t> </w:t>
      </w:r>
      <w:r>
        <w:rPr/>
        <w:t>62-72.</w:t>
      </w:r>
      <w:r>
        <w:rPr>
          <w:spacing w:val="-14"/>
        </w:rPr>
        <w:t> </w:t>
      </w:r>
      <w:r>
        <w:rPr/>
        <w:t>doi:10.2501/JAR-55-1-062- 072</w:t>
      </w:r>
    </w:p>
    <w:p>
      <w:pPr>
        <w:spacing w:before="120"/>
        <w:ind w:left="1256" w:right="308" w:hanging="708"/>
        <w:jc w:val="both"/>
        <w:rPr>
          <w:sz w:val="24"/>
        </w:rPr>
      </w:pPr>
      <w:r>
        <w:rPr>
          <w:sz w:val="24"/>
        </w:rPr>
        <w:t>Cui, G., Lui, H. K., &amp; Guo, X. (2012). “The Effect of Online Consumer Reviews on New Product Sales”, </w:t>
      </w:r>
      <w:r>
        <w:rPr>
          <w:i/>
          <w:sz w:val="24"/>
        </w:rPr>
        <w:t>International Journal of Electronic Commerce</w:t>
      </w:r>
      <w:r>
        <w:rPr>
          <w:sz w:val="24"/>
        </w:rPr>
        <w:t>, 17(1), 39-58. doi:10.2753/JEC1086-4415170102</w:t>
      </w:r>
    </w:p>
    <w:p>
      <w:pPr>
        <w:pStyle w:val="BodyText"/>
        <w:spacing w:before="120"/>
        <w:ind w:left="1256" w:right="311" w:hanging="708"/>
        <w:jc w:val="left"/>
      </w:pPr>
      <w:r>
        <w:rPr/>
        <w:t>Çalışkan, N. (19.09.2018). “Amazon Türkiye Açıldı. İşte Tüm Özellikleri”. </w:t>
      </w:r>
      <w:r>
        <w:rPr>
          <w:i/>
        </w:rPr>
        <w:t>Haber Türk</w:t>
      </w:r>
      <w:r>
        <w:rPr/>
        <w:t>. htt</w:t>
      </w:r>
      <w:hyperlink r:id="rId33">
        <w:r>
          <w:rPr/>
          <w:t>ps://www.haberturk.c</w:t>
        </w:r>
      </w:hyperlink>
      <w:r>
        <w:rPr/>
        <w:t>o</w:t>
      </w:r>
      <w:hyperlink r:id="rId33">
        <w:r>
          <w:rPr/>
          <w:t>m/amazon-turkiye-acildi-iste-tum-ozellikleri-2147761-</w:t>
        </w:r>
      </w:hyperlink>
      <w:r>
        <w:rPr/>
        <w:t> ekonomi (14/10/2019)</w:t>
      </w:r>
    </w:p>
    <w:p>
      <w:pPr>
        <w:pStyle w:val="BodyText"/>
        <w:spacing w:before="120"/>
        <w:ind w:left="1256" w:right="312" w:hanging="708"/>
      </w:pPr>
      <w:r>
        <w:rPr/>
        <w:t>Davis, A., &amp; Khazanchi, D. (2008). “An Empirical Study of Online Word of Mouth as a </w:t>
      </w:r>
      <w:r>
        <w:rPr>
          <w:w w:val="99"/>
        </w:rPr>
        <w:t>P</w:t>
      </w:r>
      <w:r>
        <w:rPr>
          <w:w w:val="99"/>
        </w:rPr>
        <w:t>redictor  for  Multi</w:t>
      </w:r>
      <w:r>
        <w:rPr>
          <w:w w:val="42"/>
        </w:rPr>
        <w:t>‐</w:t>
      </w:r>
      <w:r>
        <w:rPr>
          <w:w w:val="99"/>
        </w:rPr>
        <w:t>P</w:t>
      </w:r>
      <w:r>
        <w:rPr>
          <w:w w:val="99"/>
        </w:rPr>
        <w:t>roduct  Category  </w:t>
      </w:r>
      <w:r>
        <w:rPr>
          <w:w w:val="67"/>
        </w:rPr>
        <w:t>E‐</w:t>
      </w:r>
      <w:r>
        <w:rPr/>
        <w:t>Commerce  Sales”,  </w:t>
      </w:r>
      <w:r>
        <w:rPr>
          <w:i/>
        </w:rPr>
        <w:t>Electronic  M</w:t>
      </w:r>
      <w:r>
        <w:rPr>
          <w:i/>
          <w:w w:val="99"/>
        </w:rPr>
        <w:t>ark</w:t>
      </w:r>
      <w:r>
        <w:rPr>
          <w:i/>
        </w:rPr>
        <w:t>e</w:t>
      </w:r>
      <w:r>
        <w:rPr>
          <w:i/>
          <w:w w:val="99"/>
        </w:rPr>
        <w:t>ts</w:t>
      </w:r>
      <w:r>
        <w:rPr/>
        <w:t>, 18(2), 130-141.</w:t>
      </w:r>
    </w:p>
    <w:p>
      <w:pPr>
        <w:pStyle w:val="BodyText"/>
        <w:spacing w:before="121"/>
        <w:ind w:left="1256" w:right="313" w:hanging="708"/>
      </w:pPr>
      <w:r>
        <w:rPr/>
        <w:t>Davis, F. D., Bagozzi, R. P., &amp; Warshaw, P. R. (1989). “User Acceptance of Computer Technology: A Comparison of Two Theoretical Models”, </w:t>
      </w:r>
      <w:r>
        <w:rPr>
          <w:i/>
        </w:rPr>
        <w:t>Management Science</w:t>
      </w:r>
      <w:r>
        <w:rPr/>
        <w:t>, 35(8), 982-1003. doi: 10.1287/mnsc.35.8.982</w:t>
      </w:r>
    </w:p>
    <w:p>
      <w:pPr>
        <w:spacing w:before="120"/>
        <w:ind w:left="1256" w:right="311" w:hanging="708"/>
        <w:jc w:val="both"/>
        <w:rPr>
          <w:sz w:val="24"/>
        </w:rPr>
      </w:pPr>
      <w:r>
        <w:rPr>
          <w:sz w:val="24"/>
        </w:rPr>
        <w:t>Day, G. S. (1971). “Attitude Change, Media and Word of Mouth”, </w:t>
      </w:r>
      <w:r>
        <w:rPr>
          <w:i/>
          <w:sz w:val="24"/>
        </w:rPr>
        <w:t>Journal of Advertising </w:t>
      </w:r>
      <w:r>
        <w:rPr>
          <w:i/>
          <w:sz w:val="24"/>
        </w:rPr>
        <w:t>Research</w:t>
      </w:r>
      <w:r>
        <w:rPr>
          <w:sz w:val="24"/>
        </w:rPr>
        <w:t>, 11(6), 31-40.</w:t>
      </w:r>
    </w:p>
    <w:p>
      <w:pPr>
        <w:spacing w:before="120"/>
        <w:ind w:left="1256" w:right="309" w:hanging="708"/>
        <w:jc w:val="both"/>
        <w:rPr>
          <w:sz w:val="24"/>
        </w:rPr>
      </w:pPr>
      <w:r>
        <w:rPr>
          <w:sz w:val="24"/>
        </w:rPr>
        <w:t>De Bruyn, A., &amp; Lilien, G. L. (2008). “A Multi-Stage Model of Word-of-Mouth Influence Through Viral Marketing”, </w:t>
      </w:r>
      <w:r>
        <w:rPr>
          <w:i/>
          <w:sz w:val="24"/>
        </w:rPr>
        <w:t>International Journal of Research in Marketing</w:t>
      </w:r>
      <w:r>
        <w:rPr>
          <w:sz w:val="24"/>
        </w:rPr>
        <w:t>, 25(3), 151-163.</w:t>
      </w:r>
    </w:p>
    <w:p>
      <w:pPr>
        <w:pStyle w:val="BodyText"/>
        <w:spacing w:before="120"/>
        <w:ind w:left="1256" w:right="308" w:hanging="708"/>
      </w:pPr>
      <w:r>
        <w:rPr/>
        <w:t>De Keyzer, F., Dens, N., &amp; De Pelsmacker, P. (2019). “The Impact of Relational Characteristics on Consumer Responses to Word of Mouth on Social Networking Sites”, </w:t>
      </w:r>
      <w:r>
        <w:rPr>
          <w:i/>
        </w:rPr>
        <w:t>International Journal of Electronic Commerce</w:t>
      </w:r>
      <w:r>
        <w:rPr/>
        <w:t>, 23(2), 212-243. doi:10.1080/10864415.2018.1564551</w:t>
      </w:r>
    </w:p>
    <w:p>
      <w:pPr>
        <w:pStyle w:val="BodyText"/>
        <w:spacing w:before="120"/>
        <w:ind w:left="1256" w:right="312" w:hanging="708"/>
      </w:pPr>
      <w:r>
        <w:rPr/>
        <w:t>Dellarocas, C. (2003). “The Digitization of Word of Mouth: Promise and Challenges of Online Feedback Mechanisms”, </w:t>
      </w:r>
      <w:r>
        <w:rPr>
          <w:i/>
        </w:rPr>
        <w:t>Management Science</w:t>
      </w:r>
      <w:r>
        <w:rPr/>
        <w:t>, 49(10), 1407-1424. doi: 10.1287/mnsc.49.10.1407.17308</w:t>
      </w:r>
    </w:p>
    <w:p>
      <w:pPr>
        <w:spacing w:before="120"/>
        <w:ind w:left="1256" w:right="311" w:hanging="708"/>
        <w:jc w:val="both"/>
        <w:rPr>
          <w:sz w:val="24"/>
        </w:rPr>
      </w:pPr>
      <w:r>
        <w:rPr>
          <w:sz w:val="24"/>
        </w:rPr>
        <w:t>Dellarocas, C., &amp; Narayan, R. (2007). “Tall Heads vs. Long Tails: Do Consumer Reviews Increase The Informational Inequality Between Hit and Niche Products?”, </w:t>
      </w:r>
      <w:r>
        <w:rPr>
          <w:i/>
          <w:sz w:val="24"/>
        </w:rPr>
        <w:t>Robert H. </w:t>
      </w:r>
      <w:r>
        <w:rPr>
          <w:i/>
          <w:sz w:val="24"/>
        </w:rPr>
        <w:t>Smith School of Business Research Paper No. 06-056</w:t>
      </w:r>
      <w:r>
        <w:rPr>
          <w:sz w:val="24"/>
        </w:rPr>
        <w:t>. doi: 10.2139/ssrn.1105956</w:t>
      </w:r>
    </w:p>
    <w:p>
      <w:pPr>
        <w:pStyle w:val="BodyText"/>
        <w:spacing w:before="119"/>
        <w:ind w:left="1256" w:right="313" w:hanging="708"/>
      </w:pPr>
      <w:r>
        <w:rPr/>
        <w:t>Dellarocas, C., Zhang, X., &amp; Awad, N. F. (2007). “Exploring The Value of Online Product Reviews in Forecasting Sales: The Case of Motion Pictures”, </w:t>
      </w:r>
      <w:r>
        <w:rPr>
          <w:i/>
        </w:rPr>
        <w:t>Journal of Interactive </w:t>
      </w:r>
      <w:r>
        <w:rPr>
          <w:i/>
        </w:rPr>
        <w:t>Marketing</w:t>
      </w:r>
      <w:r>
        <w:rPr/>
        <w:t>, 21(4), 23-45. doi:10.1002/dir.20087</w:t>
      </w:r>
    </w:p>
    <w:p>
      <w:pPr>
        <w:pStyle w:val="BodyText"/>
        <w:spacing w:before="120"/>
        <w:ind w:left="1256" w:right="311" w:hanging="708"/>
      </w:pPr>
      <w:r>
        <w:rPr/>
        <w:t>Demiray, M., &amp; Burnaz, S. (2019). “Exploring the Impact of Brand Community Identification on Facebook: Firm-Directed and Self-Directed Drivers”, </w:t>
      </w:r>
      <w:r>
        <w:rPr>
          <w:i/>
        </w:rPr>
        <w:t>Journal of </w:t>
      </w:r>
      <w:r>
        <w:rPr>
          <w:i/>
        </w:rPr>
        <w:t>Business Research</w:t>
      </w:r>
      <w:r>
        <w:rPr/>
        <w:t>, 96, 115-124. doi:10.1016/j.jbusres.2018.11.016</w:t>
      </w:r>
    </w:p>
    <w:p>
      <w:pPr>
        <w:spacing w:after="0"/>
        <w:sectPr>
          <w:pgSz w:w="12240" w:h="15840"/>
          <w:pgMar w:header="718" w:footer="0" w:top="1300" w:bottom="280" w:left="1720" w:right="820"/>
        </w:sectPr>
      </w:pPr>
    </w:p>
    <w:p>
      <w:pPr>
        <w:pStyle w:val="BodyText"/>
        <w:tabs>
          <w:tab w:pos="2723" w:val="left" w:leader="none"/>
        </w:tabs>
        <w:spacing w:before="100"/>
        <w:ind w:left="1256" w:right="310" w:hanging="708"/>
      </w:pPr>
      <w:r>
        <w:rPr/>
        <w:t>DePillis, L. &amp; Sherman, I. (4 Ekim 2018). “Amazon's Extraordinary 25-Year Evolution”, </w:t>
      </w:r>
      <w:r>
        <w:rPr>
          <w:i/>
        </w:rPr>
        <w:t>CNN,</w:t>
        <w:tab/>
      </w:r>
      <w:r>
        <w:rPr>
          <w:spacing w:val="-1"/>
        </w:rPr>
        <w:t>https://edition.cnn.com/interactive/2018/10/business/amazon-history- </w:t>
      </w:r>
      <w:r>
        <w:rPr/>
        <w:t>timeline/index.html (8/10/2019)</w:t>
      </w:r>
    </w:p>
    <w:p>
      <w:pPr>
        <w:pStyle w:val="BodyText"/>
        <w:spacing w:before="121"/>
      </w:pPr>
      <w:r>
        <w:rPr/>
        <w:t>Dewan, S., &amp; Ramaprasad, J. (2014). “Social Media, Traditional Media, and Music Sales”,</w:t>
      </w:r>
    </w:p>
    <w:p>
      <w:pPr>
        <w:spacing w:before="0"/>
        <w:ind w:left="1256" w:right="0" w:firstLine="0"/>
        <w:jc w:val="both"/>
        <w:rPr>
          <w:sz w:val="24"/>
        </w:rPr>
      </w:pPr>
      <w:r>
        <w:rPr>
          <w:i/>
          <w:sz w:val="24"/>
        </w:rPr>
        <w:t>MIS Quarterly</w:t>
      </w:r>
      <w:r>
        <w:rPr>
          <w:sz w:val="24"/>
        </w:rPr>
        <w:t>, 38(1), 101-122. doi:10.25300/MISQ/2014/38.1.05</w:t>
      </w:r>
    </w:p>
    <w:p>
      <w:pPr>
        <w:pStyle w:val="BodyText"/>
        <w:spacing w:before="120"/>
        <w:ind w:left="1256" w:right="314" w:hanging="708"/>
      </w:pPr>
      <w:r>
        <w:rPr/>
        <w:t>Dhar, R., &amp; Nowlis, S. M. (1999). “The Effect of Time Pressure on Consumer Choice Deferral”, </w:t>
      </w:r>
      <w:r>
        <w:rPr>
          <w:i/>
        </w:rPr>
        <w:t>Journal of Consumer Research</w:t>
      </w:r>
      <w:r>
        <w:rPr/>
        <w:t>, 25(4), 369-384. doi:10.1086/209545</w:t>
      </w:r>
    </w:p>
    <w:p>
      <w:pPr>
        <w:pStyle w:val="BodyText"/>
        <w:spacing w:before="120"/>
        <w:ind w:left="1256" w:right="308" w:hanging="708"/>
      </w:pPr>
      <w:r>
        <w:rPr/>
        <w:t>Dhar, V., &amp; Chang, E. A. (2009). “Does Chatter Matter? The Impact of User-Generated Content on Music Sales”, </w:t>
      </w:r>
      <w:r>
        <w:rPr>
          <w:i/>
        </w:rPr>
        <w:t>Journal of Interactive Marketing</w:t>
      </w:r>
      <w:r>
        <w:rPr/>
        <w:t>, 23(4), 300-307. doi:10.1016/j.intmar.2009.07.004</w:t>
      </w:r>
    </w:p>
    <w:p>
      <w:pPr>
        <w:spacing w:before="120"/>
        <w:ind w:left="1256" w:right="311" w:hanging="708"/>
        <w:jc w:val="both"/>
        <w:rPr>
          <w:sz w:val="24"/>
        </w:rPr>
      </w:pPr>
      <w:r>
        <w:rPr>
          <w:sz w:val="24"/>
        </w:rPr>
        <w:t>Dichter, E. (1966). “How Word-of-Mouth Advertising Works”, </w:t>
      </w:r>
      <w:r>
        <w:rPr>
          <w:i/>
          <w:sz w:val="24"/>
        </w:rPr>
        <w:t>Harvard Business Review</w:t>
      </w:r>
      <w:r>
        <w:rPr>
          <w:sz w:val="24"/>
        </w:rPr>
        <w:t>, 44(6), 147-160.</w:t>
      </w:r>
    </w:p>
    <w:p>
      <w:pPr>
        <w:pStyle w:val="BodyText"/>
        <w:spacing w:before="120"/>
        <w:ind w:left="1256" w:right="309" w:hanging="708"/>
      </w:pPr>
      <w:r>
        <w:rPr/>
        <w:t>Duan, W., Gu, B., &amp; Whinston, A. B. (2008a). “The Dynamics of Online Word-of-Mouth and Product Sales—An Empirical Investigation of The Movie Industry”, </w:t>
      </w:r>
      <w:r>
        <w:rPr>
          <w:i/>
        </w:rPr>
        <w:t>Journal of </w:t>
      </w:r>
      <w:r>
        <w:rPr>
          <w:i/>
        </w:rPr>
        <w:t>Retailing</w:t>
      </w:r>
      <w:r>
        <w:rPr/>
        <w:t>, 84(2), 233-242. doi: 10.1016/j.jretai.2008.04.005</w:t>
      </w:r>
    </w:p>
    <w:p>
      <w:pPr>
        <w:pStyle w:val="BodyText"/>
        <w:spacing w:before="120"/>
        <w:ind w:left="1256" w:right="311" w:hanging="708"/>
      </w:pPr>
      <w:r>
        <w:rPr/>
        <w:t>Duan,</w:t>
      </w:r>
      <w:r>
        <w:rPr>
          <w:spacing w:val="-6"/>
        </w:rPr>
        <w:t> </w:t>
      </w:r>
      <w:r>
        <w:rPr/>
        <w:t>W.,</w:t>
      </w:r>
      <w:r>
        <w:rPr>
          <w:spacing w:val="-6"/>
        </w:rPr>
        <w:t> </w:t>
      </w:r>
      <w:r>
        <w:rPr/>
        <w:t>Gu,</w:t>
      </w:r>
      <w:r>
        <w:rPr>
          <w:spacing w:val="-6"/>
        </w:rPr>
        <w:t> </w:t>
      </w:r>
      <w:r>
        <w:rPr/>
        <w:t>B.,</w:t>
      </w:r>
      <w:r>
        <w:rPr>
          <w:spacing w:val="-6"/>
        </w:rPr>
        <w:t> </w:t>
      </w:r>
      <w:r>
        <w:rPr/>
        <w:t>&amp;</w:t>
      </w:r>
      <w:r>
        <w:rPr>
          <w:spacing w:val="-5"/>
        </w:rPr>
        <w:t> </w:t>
      </w:r>
      <w:r>
        <w:rPr/>
        <w:t>Whinston,</w:t>
      </w:r>
      <w:r>
        <w:rPr>
          <w:spacing w:val="-6"/>
        </w:rPr>
        <w:t> </w:t>
      </w:r>
      <w:r>
        <w:rPr/>
        <w:t>A.</w:t>
      </w:r>
      <w:r>
        <w:rPr>
          <w:spacing w:val="-6"/>
        </w:rPr>
        <w:t> </w:t>
      </w:r>
      <w:r>
        <w:rPr/>
        <w:t>B.</w:t>
      </w:r>
      <w:r>
        <w:rPr>
          <w:spacing w:val="-6"/>
        </w:rPr>
        <w:t> </w:t>
      </w:r>
      <w:r>
        <w:rPr/>
        <w:t>(2008b).</w:t>
      </w:r>
      <w:r>
        <w:rPr>
          <w:spacing w:val="-6"/>
        </w:rPr>
        <w:t> </w:t>
      </w:r>
      <w:r>
        <w:rPr/>
        <w:t>“Do</w:t>
      </w:r>
      <w:r>
        <w:rPr>
          <w:spacing w:val="-6"/>
        </w:rPr>
        <w:t> </w:t>
      </w:r>
      <w:r>
        <w:rPr/>
        <w:t>Online</w:t>
      </w:r>
      <w:r>
        <w:rPr>
          <w:spacing w:val="-6"/>
        </w:rPr>
        <w:t> </w:t>
      </w:r>
      <w:r>
        <w:rPr/>
        <w:t>Reviews</w:t>
      </w:r>
      <w:r>
        <w:rPr>
          <w:spacing w:val="-6"/>
        </w:rPr>
        <w:t> </w:t>
      </w:r>
      <w:r>
        <w:rPr/>
        <w:t>Matter?—An</w:t>
      </w:r>
      <w:r>
        <w:rPr>
          <w:spacing w:val="-7"/>
        </w:rPr>
        <w:t> </w:t>
      </w:r>
      <w:r>
        <w:rPr/>
        <w:t>Empirical Investigation of Panel Data”, </w:t>
      </w:r>
      <w:r>
        <w:rPr>
          <w:i/>
        </w:rPr>
        <w:t>Decision Support Systems</w:t>
      </w:r>
      <w:r>
        <w:rPr/>
        <w:t>, 45(4), 1007-1016. doi:10.1016/j.dss.2008.04.001</w:t>
      </w:r>
    </w:p>
    <w:p>
      <w:pPr>
        <w:pStyle w:val="BodyText"/>
        <w:spacing w:before="121"/>
        <w:ind w:left="1256" w:right="310" w:hanging="708"/>
      </w:pPr>
      <w:r>
        <w:rPr/>
        <w:t>Dubois, D., Bonezzi, A., &amp; De Angelis, M. (2016). “Sharing with Friends versus Strangers: How Interpersonal Closeness Influences Word-of-Mouth Valence”, </w:t>
      </w:r>
      <w:r>
        <w:rPr>
          <w:i/>
        </w:rPr>
        <w:t>Journal of </w:t>
      </w:r>
      <w:r>
        <w:rPr>
          <w:i/>
        </w:rPr>
        <w:t>Marketing Research</w:t>
      </w:r>
      <w:r>
        <w:rPr/>
        <w:t>, 53(5), 712-727. doi: 10.1509/jmr.13.0312</w:t>
      </w:r>
    </w:p>
    <w:p>
      <w:pPr>
        <w:spacing w:before="120"/>
        <w:ind w:left="1256" w:right="313" w:hanging="708"/>
        <w:jc w:val="both"/>
        <w:rPr>
          <w:sz w:val="24"/>
        </w:rPr>
      </w:pPr>
      <w:r>
        <w:rPr>
          <w:sz w:val="24"/>
        </w:rPr>
        <w:t>Edelman D. C. (2010). “Branding in The Digital Age”, </w:t>
      </w:r>
      <w:r>
        <w:rPr>
          <w:i/>
          <w:sz w:val="24"/>
        </w:rPr>
        <w:t>Harvard Business Review</w:t>
      </w:r>
      <w:r>
        <w:rPr>
          <w:sz w:val="24"/>
        </w:rPr>
        <w:t>, 88(12), 62-69.</w:t>
      </w:r>
    </w:p>
    <w:p>
      <w:pPr>
        <w:spacing w:before="120"/>
        <w:ind w:left="1256" w:right="308" w:hanging="708"/>
        <w:jc w:val="both"/>
        <w:rPr>
          <w:sz w:val="24"/>
        </w:rPr>
      </w:pPr>
      <w:r>
        <w:rPr>
          <w:sz w:val="24"/>
        </w:rPr>
        <w:t>Eldridge, A. (7 Kasım 2019). “Etsy”, </w:t>
      </w:r>
      <w:r>
        <w:rPr>
          <w:i/>
          <w:sz w:val="24"/>
        </w:rPr>
        <w:t>Encyclopædia Britannica</w:t>
      </w:r>
      <w:r>
        <w:rPr>
          <w:sz w:val="24"/>
        </w:rPr>
        <w:t>. htt</w:t>
      </w:r>
      <w:hyperlink r:id="rId34">
        <w:r>
          <w:rPr>
            <w:sz w:val="24"/>
          </w:rPr>
          <w:t>ps://www.britannica.com/topi</w:t>
        </w:r>
      </w:hyperlink>
      <w:r>
        <w:rPr>
          <w:sz w:val="24"/>
        </w:rPr>
        <w:t>c</w:t>
      </w:r>
      <w:hyperlink r:id="rId34">
        <w:r>
          <w:rPr>
            <w:sz w:val="24"/>
          </w:rPr>
          <w:t>/Etsy </w:t>
        </w:r>
      </w:hyperlink>
      <w:r>
        <w:rPr>
          <w:sz w:val="24"/>
        </w:rPr>
        <w:t>(14/01/2020)</w:t>
      </w:r>
    </w:p>
    <w:p>
      <w:pPr>
        <w:pStyle w:val="BodyText"/>
        <w:spacing w:before="120"/>
        <w:ind w:left="1256" w:right="311" w:hanging="708"/>
      </w:pPr>
      <w:r>
        <w:rPr/>
        <w:t>Engel, J. F., Blackwell, R. D. ve Miniard, P. W. (1993). </w:t>
      </w:r>
      <w:r>
        <w:rPr>
          <w:i/>
        </w:rPr>
        <w:t>Consumer Behavior</w:t>
      </w:r>
      <w:r>
        <w:rPr/>
        <w:t>. Dryden Press, Texas.</w:t>
      </w:r>
    </w:p>
    <w:p>
      <w:pPr>
        <w:pStyle w:val="BodyText"/>
        <w:spacing w:before="120"/>
        <w:ind w:left="1256" w:right="310" w:hanging="708"/>
      </w:pPr>
      <w:r>
        <w:rPr/>
        <w:t>Estrella-Ramón, A., &amp; Ellis-Chadwick, F. (2017). “Do Different Kinds of User-Generated Content In Online Brand Communities Really Work?”, </w:t>
      </w:r>
      <w:r>
        <w:rPr>
          <w:i/>
        </w:rPr>
        <w:t>Online Information Review</w:t>
      </w:r>
      <w:r>
        <w:rPr/>
        <w:t>, 41(7), 954-968. doi:10.1108/OIR-08-2016-0229</w:t>
      </w:r>
    </w:p>
    <w:p>
      <w:pPr>
        <w:pStyle w:val="BodyText"/>
        <w:spacing w:before="120"/>
      </w:pPr>
      <w:r>
        <w:rPr/>
        <w:t>Etsy (Ocak 2020). https:/</w:t>
      </w:r>
      <w:hyperlink r:id="rId27">
        <w:r>
          <w:rPr/>
          <w:t>/www.etsy.com </w:t>
        </w:r>
      </w:hyperlink>
      <w:r>
        <w:rPr/>
        <w:t>(15/01/2020)</w:t>
      </w:r>
    </w:p>
    <w:p>
      <w:pPr>
        <w:spacing w:before="120"/>
        <w:ind w:left="1256" w:right="310" w:hanging="708"/>
        <w:jc w:val="both"/>
        <w:rPr>
          <w:sz w:val="24"/>
        </w:rPr>
      </w:pPr>
      <w:r>
        <w:rPr>
          <w:sz w:val="24"/>
        </w:rPr>
        <w:t>Fan, Y., Ju, J., &amp; Xiao, M. (2016). “Reputation Premium and Reputation Management: Evidence from The Largest E-Commerce Platform in China”. </w:t>
      </w:r>
      <w:r>
        <w:rPr>
          <w:i/>
          <w:sz w:val="24"/>
        </w:rPr>
        <w:t>International Journal </w:t>
      </w:r>
      <w:r>
        <w:rPr>
          <w:i/>
          <w:sz w:val="24"/>
        </w:rPr>
        <w:t>of Industrial Organization</w:t>
      </w:r>
      <w:r>
        <w:rPr>
          <w:sz w:val="24"/>
        </w:rPr>
        <w:t>, 46, 63-76. doi:10.1016/j.ijindorg.2016.01.004</w:t>
      </w:r>
    </w:p>
    <w:p>
      <w:pPr>
        <w:pStyle w:val="BodyText"/>
        <w:spacing w:before="119"/>
        <w:ind w:left="1256" w:right="311" w:hanging="708"/>
      </w:pPr>
      <w:r>
        <w:rPr/>
        <w:t>Feick, L. F., Linda L. P., &amp; Robin A. H. (1986). “People Who Use People: The Other Side of Opinion Leadership”. </w:t>
      </w:r>
      <w:r>
        <w:rPr>
          <w:i/>
        </w:rPr>
        <w:t>Advances in Consumer Research</w:t>
      </w:r>
      <w:r>
        <w:rPr/>
        <w:t>, Vol. 13, ed. Richard J. Lutz, Provo, UT: Association for Consumer Research, 301-305.</w:t>
      </w:r>
    </w:p>
    <w:p>
      <w:pPr>
        <w:spacing w:before="120"/>
        <w:ind w:left="1256" w:right="311" w:hanging="708"/>
        <w:jc w:val="both"/>
        <w:rPr>
          <w:sz w:val="24"/>
        </w:rPr>
      </w:pPr>
      <w:r>
        <w:rPr>
          <w:sz w:val="24"/>
        </w:rPr>
        <w:t>Fink, L., Rosenfeld, L., &amp; Ravid, G. (2018). “Longer Online Reviews are not Necessarily Better”, </w:t>
      </w:r>
      <w:r>
        <w:rPr>
          <w:i/>
          <w:sz w:val="24"/>
        </w:rPr>
        <w:t>International Journal of Information Management</w:t>
      </w:r>
      <w:r>
        <w:rPr>
          <w:sz w:val="24"/>
        </w:rPr>
        <w:t>, 39, 30-37. doi:10.1016/j.ijinfomgt.2017.11.002</w:t>
      </w:r>
    </w:p>
    <w:p>
      <w:pPr>
        <w:spacing w:after="0"/>
        <w:jc w:val="both"/>
        <w:rPr>
          <w:sz w:val="24"/>
        </w:rPr>
        <w:sectPr>
          <w:pgSz w:w="12240" w:h="15840"/>
          <w:pgMar w:header="718" w:footer="0" w:top="1300" w:bottom="280" w:left="1720" w:right="820"/>
        </w:sectPr>
      </w:pPr>
    </w:p>
    <w:p>
      <w:pPr>
        <w:pStyle w:val="BodyText"/>
        <w:spacing w:before="100"/>
        <w:ind w:left="1256" w:right="308" w:hanging="708"/>
      </w:pPr>
      <w:r>
        <w:rPr/>
        <w:t>Fitzgerald, M. (10 Şubat 2009). “Most Innovative Companies 2009: Etsy”, </w:t>
      </w:r>
      <w:r>
        <w:rPr>
          <w:i/>
        </w:rPr>
        <w:t>Fast Company</w:t>
      </w:r>
      <w:r>
        <w:rPr/>
        <w:t>. </w:t>
      </w:r>
      <w:hyperlink r:id="rId35">
        <w:r>
          <w:rPr/>
          <w:t>http://www.fastcompany.com/3018043/most-innovative-</w:t>
        </w:r>
      </w:hyperlink>
      <w:r>
        <w:rPr/>
        <w:t> companies-2009/44etsy (14/01/2020)</w:t>
      </w:r>
    </w:p>
    <w:p>
      <w:pPr>
        <w:pStyle w:val="BodyText"/>
        <w:spacing w:before="121"/>
        <w:ind w:left="1256" w:right="309" w:hanging="708"/>
      </w:pPr>
      <w:r>
        <w:rPr/>
        <w:t>Floyd, K., Freling, R., Alhoqail, S., Cho, H. Y., &amp; Freling, T. (2014). “How Online Product Reviews</w:t>
      </w:r>
      <w:r>
        <w:rPr>
          <w:spacing w:val="-14"/>
        </w:rPr>
        <w:t> </w:t>
      </w:r>
      <w:r>
        <w:rPr/>
        <w:t>Affect</w:t>
      </w:r>
      <w:r>
        <w:rPr>
          <w:spacing w:val="-13"/>
        </w:rPr>
        <w:t> </w:t>
      </w:r>
      <w:r>
        <w:rPr/>
        <w:t>Retail</w:t>
      </w:r>
      <w:r>
        <w:rPr>
          <w:spacing w:val="-14"/>
        </w:rPr>
        <w:t> </w:t>
      </w:r>
      <w:r>
        <w:rPr/>
        <w:t>Sales:</w:t>
      </w:r>
      <w:r>
        <w:rPr>
          <w:spacing w:val="-13"/>
        </w:rPr>
        <w:t> </w:t>
      </w:r>
      <w:r>
        <w:rPr/>
        <w:t>A</w:t>
      </w:r>
      <w:r>
        <w:rPr>
          <w:spacing w:val="-14"/>
        </w:rPr>
        <w:t> </w:t>
      </w:r>
      <w:r>
        <w:rPr/>
        <w:t>Meta-Analysis”,</w:t>
      </w:r>
      <w:r>
        <w:rPr>
          <w:spacing w:val="-14"/>
        </w:rPr>
        <w:t> </w:t>
      </w:r>
      <w:r>
        <w:rPr>
          <w:i/>
        </w:rPr>
        <w:t>Journal</w:t>
      </w:r>
      <w:r>
        <w:rPr>
          <w:i/>
          <w:spacing w:val="-13"/>
        </w:rPr>
        <w:t> </w:t>
      </w:r>
      <w:r>
        <w:rPr>
          <w:i/>
        </w:rPr>
        <w:t>of</w:t>
      </w:r>
      <w:r>
        <w:rPr>
          <w:i/>
          <w:spacing w:val="-14"/>
        </w:rPr>
        <w:t> </w:t>
      </w:r>
      <w:r>
        <w:rPr>
          <w:i/>
        </w:rPr>
        <w:t>Retailing</w:t>
      </w:r>
      <w:r>
        <w:rPr/>
        <w:t>,</w:t>
      </w:r>
      <w:r>
        <w:rPr>
          <w:spacing w:val="-13"/>
        </w:rPr>
        <w:t> </w:t>
      </w:r>
      <w:r>
        <w:rPr/>
        <w:t>90(2),</w:t>
      </w:r>
      <w:r>
        <w:rPr>
          <w:spacing w:val="-16"/>
        </w:rPr>
        <w:t> </w:t>
      </w:r>
      <w:r>
        <w:rPr/>
        <w:t>217-232. doi:10.1016/j.jretai.2014.04.004</w:t>
      </w:r>
    </w:p>
    <w:p>
      <w:pPr>
        <w:pStyle w:val="BodyText"/>
        <w:spacing w:before="120"/>
        <w:ind w:left="1256" w:right="312" w:hanging="708"/>
      </w:pPr>
      <w:r>
        <w:rPr/>
        <w:t>Forman, C., Ghose, A., &amp; Wiesenfeld, B. (2008). “Examining The Relationship Between Reviews</w:t>
      </w:r>
      <w:r>
        <w:rPr>
          <w:spacing w:val="-13"/>
        </w:rPr>
        <w:t> </w:t>
      </w:r>
      <w:r>
        <w:rPr/>
        <w:t>and</w:t>
      </w:r>
      <w:r>
        <w:rPr>
          <w:spacing w:val="-11"/>
        </w:rPr>
        <w:t> </w:t>
      </w:r>
      <w:r>
        <w:rPr/>
        <w:t>Sales:</w:t>
      </w:r>
      <w:r>
        <w:rPr>
          <w:spacing w:val="-13"/>
        </w:rPr>
        <w:t> </w:t>
      </w:r>
      <w:r>
        <w:rPr/>
        <w:t>The</w:t>
      </w:r>
      <w:r>
        <w:rPr>
          <w:spacing w:val="-10"/>
        </w:rPr>
        <w:t> </w:t>
      </w:r>
      <w:r>
        <w:rPr/>
        <w:t>Role</w:t>
      </w:r>
      <w:r>
        <w:rPr>
          <w:spacing w:val="-14"/>
        </w:rPr>
        <w:t> </w:t>
      </w:r>
      <w:r>
        <w:rPr/>
        <w:t>of</w:t>
      </w:r>
      <w:r>
        <w:rPr>
          <w:spacing w:val="-14"/>
        </w:rPr>
        <w:t> </w:t>
      </w:r>
      <w:r>
        <w:rPr/>
        <w:t>Reviewer</w:t>
      </w:r>
      <w:r>
        <w:rPr>
          <w:spacing w:val="-6"/>
        </w:rPr>
        <w:t> </w:t>
      </w:r>
      <w:r>
        <w:rPr/>
        <w:t>Identity</w:t>
      </w:r>
      <w:r>
        <w:rPr>
          <w:spacing w:val="-13"/>
        </w:rPr>
        <w:t> </w:t>
      </w:r>
      <w:r>
        <w:rPr/>
        <w:t>Disclosure</w:t>
      </w:r>
      <w:r>
        <w:rPr>
          <w:spacing w:val="-14"/>
        </w:rPr>
        <w:t> </w:t>
      </w:r>
      <w:r>
        <w:rPr/>
        <w:t>in</w:t>
      </w:r>
      <w:r>
        <w:rPr>
          <w:spacing w:val="-11"/>
        </w:rPr>
        <w:t> </w:t>
      </w:r>
      <w:r>
        <w:rPr/>
        <w:t>Electronic</w:t>
      </w:r>
      <w:r>
        <w:rPr>
          <w:spacing w:val="-14"/>
        </w:rPr>
        <w:t> </w:t>
      </w:r>
      <w:r>
        <w:rPr/>
        <w:t>Markets”, </w:t>
      </w:r>
      <w:r>
        <w:rPr>
          <w:i/>
        </w:rPr>
        <w:t>Information Systems Research</w:t>
      </w:r>
      <w:r>
        <w:rPr/>
        <w:t>, 19(3), 291-313. doi:</w:t>
      </w:r>
      <w:r>
        <w:rPr>
          <w:spacing w:val="-1"/>
        </w:rPr>
        <w:t> </w:t>
      </w:r>
      <w:r>
        <w:rPr/>
        <w:t>10.1287/isre.1080.0193</w:t>
      </w:r>
    </w:p>
    <w:p>
      <w:pPr>
        <w:pStyle w:val="BodyText"/>
        <w:spacing w:before="120"/>
        <w:ind w:left="1256" w:right="308" w:hanging="708"/>
        <w:jc w:val="left"/>
      </w:pPr>
      <w:r>
        <w:rPr/>
        <w:t>Gelles, D. (25 Kasım 2017). “Inside the Revolution at Etsy”, </w:t>
      </w:r>
      <w:r>
        <w:rPr>
          <w:i/>
        </w:rPr>
        <w:t>The New York Times</w:t>
      </w:r>
      <w:r>
        <w:rPr/>
        <w:t>. htt</w:t>
      </w:r>
      <w:hyperlink r:id="rId36">
        <w:r>
          <w:rPr/>
          <w:t>ps://www.nytimes.com/2017/11/25/business/etsy</w:t>
        </w:r>
      </w:hyperlink>
      <w:r>
        <w:rPr/>
        <w:t>-</w:t>
      </w:r>
      <w:hyperlink r:id="rId36">
        <w:r>
          <w:rPr/>
          <w:t>josh-silverman.html</w:t>
        </w:r>
      </w:hyperlink>
      <w:r>
        <w:rPr/>
        <w:t> (15/01/2020)</w:t>
      </w:r>
    </w:p>
    <w:p>
      <w:pPr>
        <w:pStyle w:val="BodyText"/>
        <w:spacing w:before="120"/>
        <w:ind w:left="1256" w:right="308" w:hanging="708"/>
      </w:pPr>
      <w:r>
        <w:rPr/>
        <w:t>Gelper,</w:t>
      </w:r>
      <w:r>
        <w:rPr>
          <w:spacing w:val="-7"/>
        </w:rPr>
        <w:t> </w:t>
      </w:r>
      <w:r>
        <w:rPr/>
        <w:t>S.,</w:t>
      </w:r>
      <w:r>
        <w:rPr>
          <w:spacing w:val="-6"/>
        </w:rPr>
        <w:t> </w:t>
      </w:r>
      <w:r>
        <w:rPr/>
        <w:t>Peres,</w:t>
      </w:r>
      <w:r>
        <w:rPr>
          <w:spacing w:val="-6"/>
        </w:rPr>
        <w:t> </w:t>
      </w:r>
      <w:r>
        <w:rPr/>
        <w:t>R.,</w:t>
      </w:r>
      <w:r>
        <w:rPr>
          <w:spacing w:val="-7"/>
        </w:rPr>
        <w:t> </w:t>
      </w:r>
      <w:r>
        <w:rPr/>
        <w:t>&amp;</w:t>
      </w:r>
      <w:r>
        <w:rPr>
          <w:spacing w:val="-6"/>
        </w:rPr>
        <w:t> </w:t>
      </w:r>
      <w:r>
        <w:rPr/>
        <w:t>Eliashberg,</w:t>
      </w:r>
      <w:r>
        <w:rPr>
          <w:spacing w:val="-7"/>
        </w:rPr>
        <w:t> </w:t>
      </w:r>
      <w:r>
        <w:rPr/>
        <w:t>J.</w:t>
      </w:r>
      <w:r>
        <w:rPr>
          <w:spacing w:val="-7"/>
        </w:rPr>
        <w:t> </w:t>
      </w:r>
      <w:r>
        <w:rPr/>
        <w:t>(2018).</w:t>
      </w:r>
      <w:r>
        <w:rPr>
          <w:spacing w:val="-5"/>
        </w:rPr>
        <w:t> </w:t>
      </w:r>
      <w:r>
        <w:rPr/>
        <w:t>“Talk</w:t>
      </w:r>
      <w:r>
        <w:rPr>
          <w:spacing w:val="-6"/>
        </w:rPr>
        <w:t> </w:t>
      </w:r>
      <w:r>
        <w:rPr/>
        <w:t>Bursts:</w:t>
      </w:r>
      <w:r>
        <w:rPr>
          <w:spacing w:val="-7"/>
        </w:rPr>
        <w:t> </w:t>
      </w:r>
      <w:r>
        <w:rPr/>
        <w:t>The</w:t>
      </w:r>
      <w:r>
        <w:rPr>
          <w:spacing w:val="-7"/>
        </w:rPr>
        <w:t> </w:t>
      </w:r>
      <w:r>
        <w:rPr/>
        <w:t>Role</w:t>
      </w:r>
      <w:r>
        <w:rPr>
          <w:spacing w:val="-7"/>
        </w:rPr>
        <w:t> </w:t>
      </w:r>
      <w:r>
        <w:rPr/>
        <w:t>of</w:t>
      </w:r>
      <w:r>
        <w:rPr>
          <w:spacing w:val="-8"/>
        </w:rPr>
        <w:t> </w:t>
      </w:r>
      <w:r>
        <w:rPr/>
        <w:t>Spikes</w:t>
      </w:r>
      <w:r>
        <w:rPr>
          <w:spacing w:val="-6"/>
        </w:rPr>
        <w:t> </w:t>
      </w:r>
      <w:r>
        <w:rPr/>
        <w:t>in</w:t>
      </w:r>
      <w:r>
        <w:rPr>
          <w:spacing w:val="-6"/>
        </w:rPr>
        <w:t> </w:t>
      </w:r>
      <w:r>
        <w:rPr/>
        <w:t>Prerelease Word-of-Mouth Dynamics”, </w:t>
      </w:r>
      <w:r>
        <w:rPr>
          <w:i/>
        </w:rPr>
        <w:t>Journal of Marketing Research</w:t>
      </w:r>
      <w:r>
        <w:rPr/>
        <w:t>, 55(6), 801-817. doi:10.1177/0022243718817007</w:t>
      </w:r>
    </w:p>
    <w:p>
      <w:pPr>
        <w:pStyle w:val="BodyText"/>
        <w:spacing w:before="120"/>
      </w:pPr>
      <w:r>
        <w:rPr/>
        <w:t>Germann, F., Ebbes, P., &amp; Grewal, R. (2015). “The Chief Marketing Officer Matters!”,</w:t>
      </w:r>
    </w:p>
    <w:p>
      <w:pPr>
        <w:spacing w:before="1"/>
        <w:ind w:left="1256" w:right="0" w:firstLine="0"/>
        <w:jc w:val="both"/>
        <w:rPr>
          <w:sz w:val="24"/>
        </w:rPr>
      </w:pPr>
      <w:r>
        <w:rPr>
          <w:i/>
          <w:sz w:val="24"/>
        </w:rPr>
        <w:t>Journal of Marketing</w:t>
      </w:r>
      <w:r>
        <w:rPr>
          <w:sz w:val="24"/>
        </w:rPr>
        <w:t>, 79(3), 1-22. doi:10.1509/jm.14.0244</w:t>
      </w:r>
    </w:p>
    <w:p>
      <w:pPr>
        <w:pStyle w:val="BodyText"/>
        <w:spacing w:before="120"/>
        <w:ind w:left="1256" w:right="310" w:hanging="708"/>
      </w:pPr>
      <w:r>
        <w:rPr/>
        <w:t>Gharib, R. K., Garcia-Perez, A., Dibb, S., &amp; Iskoujina, Z. (2019). “Trust and Reciprocity Effect on Electronic Word-of-Mouth in Online Review Communities”, </w:t>
      </w:r>
      <w:r>
        <w:rPr>
          <w:i/>
        </w:rPr>
        <w:t>Journal of </w:t>
      </w:r>
      <w:r>
        <w:rPr>
          <w:i/>
        </w:rPr>
        <w:t>Enterprise Information Management</w:t>
      </w:r>
      <w:r>
        <w:rPr/>
        <w:t>. doi: 10.1108/JEIM-03-2019-0079</w:t>
      </w:r>
    </w:p>
    <w:p>
      <w:pPr>
        <w:spacing w:before="120"/>
        <w:ind w:left="1256" w:right="311" w:hanging="708"/>
        <w:jc w:val="both"/>
        <w:rPr>
          <w:sz w:val="24"/>
        </w:rPr>
      </w:pPr>
      <w:r>
        <w:rPr>
          <w:sz w:val="24"/>
        </w:rPr>
        <w:t>Ghose, A., &amp; Ipeirotis, P. G. (2011). “Estimating the Helpfulness and Economic Impact of Product</w:t>
      </w:r>
      <w:r>
        <w:rPr>
          <w:spacing w:val="-9"/>
          <w:sz w:val="24"/>
        </w:rPr>
        <w:t> </w:t>
      </w:r>
      <w:r>
        <w:rPr>
          <w:sz w:val="24"/>
        </w:rPr>
        <w:t>Reviews:</w:t>
      </w:r>
      <w:r>
        <w:rPr>
          <w:spacing w:val="-8"/>
          <w:sz w:val="24"/>
        </w:rPr>
        <w:t> </w:t>
      </w:r>
      <w:r>
        <w:rPr>
          <w:sz w:val="24"/>
        </w:rPr>
        <w:t>Mining</w:t>
      </w:r>
      <w:r>
        <w:rPr>
          <w:spacing w:val="-11"/>
          <w:sz w:val="24"/>
        </w:rPr>
        <w:t> </w:t>
      </w:r>
      <w:r>
        <w:rPr>
          <w:sz w:val="24"/>
        </w:rPr>
        <w:t>Text</w:t>
      </w:r>
      <w:r>
        <w:rPr>
          <w:spacing w:val="-9"/>
          <w:sz w:val="24"/>
        </w:rPr>
        <w:t> </w:t>
      </w:r>
      <w:r>
        <w:rPr>
          <w:sz w:val="24"/>
        </w:rPr>
        <w:t>and</w:t>
      </w:r>
      <w:r>
        <w:rPr>
          <w:spacing w:val="-9"/>
          <w:sz w:val="24"/>
        </w:rPr>
        <w:t> </w:t>
      </w:r>
      <w:r>
        <w:rPr>
          <w:sz w:val="24"/>
        </w:rPr>
        <w:t>Reviewer</w:t>
      </w:r>
      <w:r>
        <w:rPr>
          <w:spacing w:val="-9"/>
          <w:sz w:val="24"/>
        </w:rPr>
        <w:t> </w:t>
      </w:r>
      <w:r>
        <w:rPr>
          <w:sz w:val="24"/>
        </w:rPr>
        <w:t>Characteristics”,</w:t>
      </w:r>
      <w:r>
        <w:rPr>
          <w:spacing w:val="-10"/>
          <w:sz w:val="24"/>
        </w:rPr>
        <w:t> </w:t>
      </w:r>
      <w:r>
        <w:rPr>
          <w:i/>
          <w:sz w:val="24"/>
        </w:rPr>
        <w:t>IEEE</w:t>
      </w:r>
      <w:r>
        <w:rPr>
          <w:i/>
          <w:spacing w:val="-9"/>
          <w:sz w:val="24"/>
        </w:rPr>
        <w:t> </w:t>
      </w:r>
      <w:r>
        <w:rPr>
          <w:i/>
          <w:sz w:val="24"/>
        </w:rPr>
        <w:t>Transactions</w:t>
      </w:r>
      <w:r>
        <w:rPr>
          <w:i/>
          <w:spacing w:val="-8"/>
          <w:sz w:val="24"/>
        </w:rPr>
        <w:t> </w:t>
      </w:r>
      <w:r>
        <w:rPr>
          <w:i/>
          <w:sz w:val="24"/>
        </w:rPr>
        <w:t>on </w:t>
      </w:r>
      <w:r>
        <w:rPr>
          <w:i/>
          <w:sz w:val="24"/>
        </w:rPr>
        <w:t>Knowledge</w:t>
      </w:r>
      <w:r>
        <w:rPr>
          <w:i/>
          <w:spacing w:val="-13"/>
          <w:sz w:val="24"/>
        </w:rPr>
        <w:t> </w:t>
      </w:r>
      <w:r>
        <w:rPr>
          <w:i/>
          <w:sz w:val="24"/>
        </w:rPr>
        <w:t>and</w:t>
      </w:r>
      <w:r>
        <w:rPr>
          <w:i/>
          <w:spacing w:val="-11"/>
          <w:sz w:val="24"/>
        </w:rPr>
        <w:t> </w:t>
      </w:r>
      <w:r>
        <w:rPr>
          <w:i/>
          <w:sz w:val="24"/>
        </w:rPr>
        <w:t>Data</w:t>
      </w:r>
      <w:r>
        <w:rPr>
          <w:i/>
          <w:spacing w:val="-11"/>
          <w:sz w:val="24"/>
        </w:rPr>
        <w:t> </w:t>
      </w:r>
      <w:r>
        <w:rPr>
          <w:i/>
          <w:sz w:val="24"/>
        </w:rPr>
        <w:t>Engineering</w:t>
      </w:r>
      <w:r>
        <w:rPr>
          <w:sz w:val="24"/>
        </w:rPr>
        <w:t>,</w:t>
      </w:r>
      <w:r>
        <w:rPr>
          <w:spacing w:val="-10"/>
          <w:sz w:val="24"/>
        </w:rPr>
        <w:t> </w:t>
      </w:r>
      <w:r>
        <w:rPr>
          <w:sz w:val="24"/>
        </w:rPr>
        <w:t>23(10),</w:t>
      </w:r>
      <w:r>
        <w:rPr>
          <w:spacing w:val="-12"/>
          <w:sz w:val="24"/>
        </w:rPr>
        <w:t> </w:t>
      </w:r>
      <w:r>
        <w:rPr>
          <w:sz w:val="24"/>
        </w:rPr>
        <w:t>1498-1512.</w:t>
      </w:r>
      <w:r>
        <w:rPr>
          <w:spacing w:val="-11"/>
          <w:sz w:val="24"/>
        </w:rPr>
        <w:t> </w:t>
      </w:r>
      <w:r>
        <w:rPr>
          <w:sz w:val="24"/>
        </w:rPr>
        <w:t>doi:</w:t>
      </w:r>
      <w:r>
        <w:rPr>
          <w:spacing w:val="-16"/>
          <w:sz w:val="24"/>
        </w:rPr>
        <w:t> </w:t>
      </w:r>
      <w:r>
        <w:rPr>
          <w:sz w:val="24"/>
        </w:rPr>
        <w:t>10.1109/TKDE.2010.188</w:t>
      </w:r>
    </w:p>
    <w:p>
      <w:pPr>
        <w:spacing w:before="120"/>
        <w:ind w:left="1256" w:right="311" w:hanging="708"/>
        <w:jc w:val="both"/>
        <w:rPr>
          <w:sz w:val="24"/>
        </w:rPr>
      </w:pPr>
      <w:r>
        <w:rPr>
          <w:sz w:val="24"/>
        </w:rPr>
        <w:t>Gilly, M. C., Graham, J. L., Wolfinbarger, M. F., &amp; Yale, L. J. (1998). “A Dyadic Study of Interpersonal Information Search”, </w:t>
      </w:r>
      <w:r>
        <w:rPr>
          <w:i/>
          <w:sz w:val="24"/>
        </w:rPr>
        <w:t>Journal of the Academy of Marketing Science</w:t>
      </w:r>
      <w:r>
        <w:rPr>
          <w:sz w:val="24"/>
        </w:rPr>
        <w:t>, 26(2), 83-100. doi:10.1177/0092070398262001</w:t>
      </w:r>
    </w:p>
    <w:p>
      <w:pPr>
        <w:pStyle w:val="BodyText"/>
        <w:spacing w:before="120"/>
        <w:ind w:left="1256" w:right="313" w:hanging="708"/>
      </w:pPr>
      <w:r>
        <w:rPr/>
        <w:t>Godes, D., &amp; Mayzlin, D. (2004). “Using Online Conversations to Study Word-of-Mouth Communication”, </w:t>
      </w:r>
      <w:r>
        <w:rPr>
          <w:i/>
        </w:rPr>
        <w:t>Marketing Science</w:t>
      </w:r>
      <w:r>
        <w:rPr/>
        <w:t>, 23(4), 545-560. doi:10.1287/mksc.1040.0071</w:t>
      </w:r>
    </w:p>
    <w:p>
      <w:pPr>
        <w:pStyle w:val="BodyText"/>
        <w:spacing w:before="120"/>
      </w:pPr>
      <w:r>
        <w:rPr/>
        <w:t>Godes, D., &amp; Silva, J. C. (2012). “Sequential and Temporal Dynamics of Online Opinion”,</w:t>
      </w:r>
    </w:p>
    <w:p>
      <w:pPr>
        <w:spacing w:before="0"/>
        <w:ind w:left="1256" w:right="0" w:firstLine="0"/>
        <w:jc w:val="both"/>
        <w:rPr>
          <w:sz w:val="24"/>
        </w:rPr>
      </w:pPr>
      <w:r>
        <w:rPr>
          <w:i/>
          <w:sz w:val="24"/>
        </w:rPr>
        <w:t>Marketing Science</w:t>
      </w:r>
      <w:r>
        <w:rPr>
          <w:sz w:val="24"/>
        </w:rPr>
        <w:t>, 31(3), 448-473. doi: 10.1287/mksc.1110.0653</w:t>
      </w:r>
    </w:p>
    <w:p>
      <w:pPr>
        <w:pStyle w:val="BodyText"/>
        <w:spacing w:before="120"/>
        <w:ind w:left="1256" w:right="311" w:hanging="708"/>
      </w:pPr>
      <w:r>
        <w:rPr/>
        <w:t>Goh, K. Y., Heng, C. S., &amp; Lin, Z. (2013). “Social Media Brand Community and Consumer Behavior: Quantifying The Relative Impact of User-and Marketer-Generated Content”, </w:t>
      </w:r>
      <w:r>
        <w:rPr>
          <w:i/>
        </w:rPr>
        <w:t>Information Systems Research</w:t>
      </w:r>
      <w:r>
        <w:rPr/>
        <w:t>, 24(1), 88-107. doi:10.1287/isre.1120.0469</w:t>
      </w:r>
    </w:p>
    <w:p>
      <w:pPr>
        <w:pStyle w:val="BodyText"/>
        <w:spacing w:before="121"/>
        <w:ind w:left="1256" w:right="311" w:hanging="708"/>
      </w:pPr>
      <w:r>
        <w:rPr/>
        <w:t>Goldberg, D. M., &amp; Abrahams, A. S. (2018). “A Tabu Search Heuristic for Smoke Term Curation in Safety Defect Discovery”, </w:t>
      </w:r>
      <w:r>
        <w:rPr>
          <w:i/>
        </w:rPr>
        <w:t>Decision Support Systems</w:t>
      </w:r>
      <w:r>
        <w:rPr/>
        <w:t>, 105, 52-65. doi:10.1016/j.dss.2017.10.012</w:t>
      </w:r>
    </w:p>
    <w:p>
      <w:pPr>
        <w:pStyle w:val="BodyText"/>
        <w:spacing w:before="118"/>
        <w:ind w:left="1256" w:right="309" w:hanging="708"/>
      </w:pPr>
      <w:r>
        <w:rPr/>
        <w:t>Gopinath, S., Thomas, J. S., &amp; Krishnamurthi, L. (2014). “Investigating the Relationship Between The Content of Online Word of Mouth, Advertising, and Brand Performance”, </w:t>
      </w:r>
      <w:r>
        <w:rPr>
          <w:i/>
        </w:rPr>
        <w:t>Marketing Science</w:t>
      </w:r>
      <w:r>
        <w:rPr/>
        <w:t>, 33(2), 241-258. doi:10.1287/mksc.2013.0820</w:t>
      </w:r>
    </w:p>
    <w:p>
      <w:pPr>
        <w:spacing w:after="0"/>
        <w:sectPr>
          <w:pgSz w:w="12240" w:h="15840"/>
          <w:pgMar w:header="718" w:footer="0" w:top="1300" w:bottom="280" w:left="1720" w:right="820"/>
        </w:sectPr>
      </w:pPr>
    </w:p>
    <w:p>
      <w:pPr>
        <w:pStyle w:val="BodyText"/>
        <w:spacing w:before="100"/>
        <w:rPr>
          <w:i/>
        </w:rPr>
      </w:pPr>
      <w:r>
        <w:rPr/>
        <w:t>Granitz, N. A., &amp; Ward, J. C. (1996). “Virtual Community: A Sociocognitive Analysis”, </w:t>
      </w:r>
      <w:r>
        <w:rPr>
          <w:i/>
        </w:rPr>
        <w:t>NA</w:t>
      </w:r>
    </w:p>
    <w:p>
      <w:pPr>
        <w:spacing w:before="1"/>
        <w:ind w:left="1256" w:right="312" w:firstLine="0"/>
        <w:jc w:val="both"/>
        <w:rPr>
          <w:sz w:val="24"/>
        </w:rPr>
      </w:pPr>
      <w:r>
        <w:rPr>
          <w:i/>
          <w:sz w:val="24"/>
        </w:rPr>
        <w:t>- Advances in Consumer Research</w:t>
      </w:r>
      <w:r>
        <w:rPr>
          <w:sz w:val="24"/>
        </w:rPr>
        <w:t>, 23, ed. Kim P. Corfman ve John G. Lynch Jr., Provo, UT : Association for Consumer Research. 161-166.</w:t>
      </w:r>
    </w:p>
    <w:p>
      <w:pPr>
        <w:pStyle w:val="BodyText"/>
        <w:spacing w:before="120"/>
        <w:ind w:left="1256" w:right="309" w:hanging="708"/>
      </w:pPr>
      <w:r>
        <w:rPr/>
        <w:t>Grewal,</w:t>
      </w:r>
      <w:r>
        <w:rPr>
          <w:spacing w:val="-23"/>
        </w:rPr>
        <w:t> </w:t>
      </w:r>
      <w:r>
        <w:rPr/>
        <w:t>R.,</w:t>
      </w:r>
      <w:r>
        <w:rPr>
          <w:spacing w:val="-23"/>
        </w:rPr>
        <w:t> </w:t>
      </w:r>
      <w:r>
        <w:rPr/>
        <w:t>Cline,</w:t>
      </w:r>
      <w:r>
        <w:rPr>
          <w:spacing w:val="-23"/>
        </w:rPr>
        <w:t> </w:t>
      </w:r>
      <w:r>
        <w:rPr/>
        <w:t>T.</w:t>
      </w:r>
      <w:r>
        <w:rPr>
          <w:spacing w:val="-22"/>
        </w:rPr>
        <w:t> </w:t>
      </w:r>
      <w:r>
        <w:rPr/>
        <w:t>W.,</w:t>
      </w:r>
      <w:r>
        <w:rPr>
          <w:spacing w:val="-24"/>
        </w:rPr>
        <w:t> </w:t>
      </w:r>
      <w:r>
        <w:rPr/>
        <w:t>&amp;</w:t>
      </w:r>
      <w:r>
        <w:rPr>
          <w:spacing w:val="-23"/>
        </w:rPr>
        <w:t> </w:t>
      </w:r>
      <w:r>
        <w:rPr/>
        <w:t>Davies,</w:t>
      </w:r>
      <w:r>
        <w:rPr>
          <w:spacing w:val="-23"/>
        </w:rPr>
        <w:t> </w:t>
      </w:r>
      <w:r>
        <w:rPr/>
        <w:t>A.</w:t>
      </w:r>
      <w:r>
        <w:rPr>
          <w:spacing w:val="-23"/>
        </w:rPr>
        <w:t> </w:t>
      </w:r>
      <w:r>
        <w:rPr/>
        <w:t>(2003).</w:t>
      </w:r>
      <w:r>
        <w:rPr>
          <w:spacing w:val="-21"/>
        </w:rPr>
        <w:t> </w:t>
      </w:r>
      <w:r>
        <w:rPr/>
        <w:t>“Early‐Entrant</w:t>
      </w:r>
      <w:r>
        <w:rPr>
          <w:spacing w:val="-22"/>
        </w:rPr>
        <w:t> </w:t>
      </w:r>
      <w:r>
        <w:rPr/>
        <w:t>Advantage,</w:t>
      </w:r>
      <w:r>
        <w:rPr>
          <w:spacing w:val="-23"/>
        </w:rPr>
        <w:t> </w:t>
      </w:r>
      <w:r>
        <w:rPr>
          <w:spacing w:val="-11"/>
        </w:rPr>
        <w:t>Word‐of‐Mouth </w:t>
      </w:r>
      <w:r>
        <w:rPr/>
        <w:t>Communication, Brand Similarity, and The Consumer Decision‐Making </w:t>
      </w:r>
      <w:r>
        <w:rPr>
          <w:spacing w:val="-5"/>
        </w:rPr>
        <w:t>Process”, </w:t>
      </w:r>
      <w:r>
        <w:rPr>
          <w:i/>
        </w:rPr>
        <w:t>Journal of Consumer Psychology</w:t>
      </w:r>
      <w:r>
        <w:rPr/>
        <w:t>, 13(3), 187-197. doi: 10.1207/S15327663JCP1303_01</w:t>
      </w:r>
    </w:p>
    <w:p>
      <w:pPr>
        <w:pStyle w:val="BodyText"/>
        <w:spacing w:before="120"/>
        <w:ind w:left="1256" w:right="311" w:hanging="708"/>
      </w:pPr>
      <w:r>
        <w:rPr/>
        <w:t>Griffith, D. A., Krampf, R. F., &amp; Palmer, J. W. (2001). “The Role of Interface in Electronic Commerce: Consumer Involvement with Print Versus On-Line Catalogs”. </w:t>
      </w:r>
      <w:r>
        <w:rPr>
          <w:i/>
        </w:rPr>
        <w:t>International Journal of Electronic Commerce</w:t>
      </w:r>
      <w:r>
        <w:rPr/>
        <w:t>, 5(4), 135-153. doi:10.1080/10864415.2001.11044219</w:t>
      </w:r>
    </w:p>
    <w:p>
      <w:pPr>
        <w:pStyle w:val="BodyText"/>
        <w:spacing w:before="120"/>
        <w:ind w:left="1256" w:right="311" w:hanging="708"/>
      </w:pPr>
      <w:r>
        <w:rPr/>
        <w:t>Gu, B., Tang, Q., &amp; Whinston, A. B. (2013). “The Influence of Online Word-of-Mouth on Long Tail Formation”, </w:t>
      </w:r>
      <w:r>
        <w:rPr>
          <w:i/>
        </w:rPr>
        <w:t>Decision Support Systems</w:t>
      </w:r>
      <w:r>
        <w:rPr/>
        <w:t>, 56, 474-481. doi:10.1016/j.dss.2012.11.004</w:t>
      </w:r>
    </w:p>
    <w:p>
      <w:pPr>
        <w:pStyle w:val="BodyText"/>
        <w:spacing w:before="120"/>
        <w:ind w:left="1256" w:right="311" w:hanging="708"/>
      </w:pPr>
      <w:r>
        <w:rPr/>
        <w:t>Guo, B., &amp; Zhou, S. (2016). “Understanding the Impact of Prior Reviews on Subsequent Reviews: The Role of Rating Volume, Variance and Reviewer Characteristics”, </w:t>
      </w:r>
      <w:r>
        <w:rPr>
          <w:i/>
        </w:rPr>
        <w:t>Electronic Commerce Research and Applications</w:t>
      </w:r>
      <w:r>
        <w:rPr/>
        <w:t>, 20, 147-158. doi:10.1016/j.elerap.2016.10.007</w:t>
      </w:r>
    </w:p>
    <w:p>
      <w:pPr>
        <w:pStyle w:val="BodyText"/>
        <w:spacing w:before="121"/>
        <w:ind w:left="1256" w:right="311" w:hanging="708"/>
      </w:pPr>
      <w:r>
        <w:rPr/>
        <w:t>Gupta, A., Su B. C., Walter Z. (2004). "An Empirical Study of Consumer Switching From Traditional to Electronic Channels: A Purchase-Decision Process Perspective", </w:t>
      </w:r>
      <w:r>
        <w:rPr>
          <w:i/>
        </w:rPr>
        <w:t>International Journal of Electronic Commerce</w:t>
      </w:r>
      <w:r>
        <w:rPr/>
        <w:t>, 8(3), 131-161. doi:10.1080/10864415.2004.11044302</w:t>
      </w:r>
    </w:p>
    <w:p>
      <w:pPr>
        <w:spacing w:before="120"/>
        <w:ind w:left="1256" w:right="308" w:hanging="708"/>
        <w:jc w:val="both"/>
        <w:rPr>
          <w:sz w:val="24"/>
        </w:rPr>
      </w:pPr>
      <w:r>
        <w:rPr>
          <w:sz w:val="24"/>
        </w:rPr>
        <w:t>Hair,</w:t>
      </w:r>
      <w:r>
        <w:rPr>
          <w:spacing w:val="-9"/>
          <w:sz w:val="24"/>
        </w:rPr>
        <w:t> </w:t>
      </w:r>
      <w:r>
        <w:rPr>
          <w:sz w:val="24"/>
        </w:rPr>
        <w:t>J.</w:t>
      </w:r>
      <w:r>
        <w:rPr>
          <w:spacing w:val="-8"/>
          <w:sz w:val="24"/>
        </w:rPr>
        <w:t> </w:t>
      </w:r>
      <w:r>
        <w:rPr>
          <w:sz w:val="24"/>
        </w:rPr>
        <w:t>F.,</w:t>
      </w:r>
      <w:r>
        <w:rPr>
          <w:spacing w:val="-9"/>
          <w:sz w:val="24"/>
        </w:rPr>
        <w:t> </w:t>
      </w:r>
      <w:r>
        <w:rPr>
          <w:sz w:val="24"/>
        </w:rPr>
        <w:t>Black,</w:t>
      </w:r>
      <w:r>
        <w:rPr>
          <w:spacing w:val="-9"/>
          <w:sz w:val="24"/>
        </w:rPr>
        <w:t> </w:t>
      </w:r>
      <w:r>
        <w:rPr>
          <w:sz w:val="24"/>
        </w:rPr>
        <w:t>W.</w:t>
      </w:r>
      <w:r>
        <w:rPr>
          <w:spacing w:val="-8"/>
          <w:sz w:val="24"/>
        </w:rPr>
        <w:t> </w:t>
      </w:r>
      <w:r>
        <w:rPr>
          <w:sz w:val="24"/>
        </w:rPr>
        <w:t>C.,</w:t>
      </w:r>
      <w:r>
        <w:rPr>
          <w:spacing w:val="-9"/>
          <w:sz w:val="24"/>
        </w:rPr>
        <w:t> </w:t>
      </w:r>
      <w:r>
        <w:rPr>
          <w:sz w:val="24"/>
        </w:rPr>
        <w:t>Babin,</w:t>
      </w:r>
      <w:r>
        <w:rPr>
          <w:spacing w:val="-8"/>
          <w:sz w:val="24"/>
        </w:rPr>
        <w:t> </w:t>
      </w:r>
      <w:r>
        <w:rPr>
          <w:sz w:val="24"/>
        </w:rPr>
        <w:t>B.</w:t>
      </w:r>
      <w:r>
        <w:rPr>
          <w:spacing w:val="-9"/>
          <w:sz w:val="24"/>
        </w:rPr>
        <w:t> </w:t>
      </w:r>
      <w:r>
        <w:rPr>
          <w:sz w:val="24"/>
        </w:rPr>
        <w:t>J.,</w:t>
      </w:r>
      <w:r>
        <w:rPr>
          <w:spacing w:val="-11"/>
          <w:sz w:val="24"/>
        </w:rPr>
        <w:t> </w:t>
      </w:r>
      <w:r>
        <w:rPr>
          <w:sz w:val="24"/>
        </w:rPr>
        <w:t>&amp;</w:t>
      </w:r>
      <w:r>
        <w:rPr>
          <w:spacing w:val="-8"/>
          <w:sz w:val="24"/>
        </w:rPr>
        <w:t> </w:t>
      </w:r>
      <w:r>
        <w:rPr>
          <w:sz w:val="24"/>
        </w:rPr>
        <w:t>Anderson,</w:t>
      </w:r>
      <w:r>
        <w:rPr>
          <w:spacing w:val="-9"/>
          <w:sz w:val="24"/>
        </w:rPr>
        <w:t> </w:t>
      </w:r>
      <w:r>
        <w:rPr>
          <w:sz w:val="24"/>
        </w:rPr>
        <w:t>R.</w:t>
      </w:r>
      <w:r>
        <w:rPr>
          <w:spacing w:val="-9"/>
          <w:sz w:val="24"/>
        </w:rPr>
        <w:t> </w:t>
      </w:r>
      <w:r>
        <w:rPr>
          <w:sz w:val="24"/>
        </w:rPr>
        <w:t>E.</w:t>
      </w:r>
      <w:r>
        <w:rPr>
          <w:spacing w:val="-9"/>
          <w:sz w:val="24"/>
        </w:rPr>
        <w:t> </w:t>
      </w:r>
      <w:r>
        <w:rPr>
          <w:sz w:val="24"/>
        </w:rPr>
        <w:t>(2014).</w:t>
      </w:r>
      <w:r>
        <w:rPr>
          <w:spacing w:val="-9"/>
          <w:sz w:val="24"/>
        </w:rPr>
        <w:t> </w:t>
      </w:r>
      <w:r>
        <w:rPr>
          <w:i/>
          <w:sz w:val="24"/>
        </w:rPr>
        <w:t>Multivariate</w:t>
      </w:r>
      <w:r>
        <w:rPr>
          <w:i/>
          <w:spacing w:val="-9"/>
          <w:sz w:val="24"/>
        </w:rPr>
        <w:t> </w:t>
      </w:r>
      <w:r>
        <w:rPr>
          <w:i/>
          <w:sz w:val="24"/>
        </w:rPr>
        <w:t>Data</w:t>
      </w:r>
      <w:r>
        <w:rPr>
          <w:i/>
          <w:spacing w:val="-9"/>
          <w:sz w:val="24"/>
        </w:rPr>
        <w:t> </w:t>
      </w:r>
      <w:r>
        <w:rPr>
          <w:i/>
          <w:sz w:val="24"/>
        </w:rPr>
        <w:t>Analysis</w:t>
      </w:r>
      <w:r>
        <w:rPr>
          <w:sz w:val="24"/>
        </w:rPr>
        <w:t>, Pearson Prentice Hall, Essex.</w:t>
      </w:r>
    </w:p>
    <w:p>
      <w:pPr>
        <w:spacing w:before="120"/>
        <w:ind w:left="548" w:right="0" w:firstLine="0"/>
        <w:jc w:val="both"/>
        <w:rPr>
          <w:i/>
          <w:sz w:val="24"/>
        </w:rPr>
      </w:pPr>
      <w:r>
        <w:rPr>
          <w:sz w:val="24"/>
        </w:rPr>
        <w:t>Hall, M. (25 Temmuz 2019). “Amazon.com”, </w:t>
      </w:r>
      <w:r>
        <w:rPr>
          <w:i/>
          <w:sz w:val="24"/>
        </w:rPr>
        <w:t>Encyclopædia Britannica.</w:t>
      </w:r>
    </w:p>
    <w:p>
      <w:pPr>
        <w:pStyle w:val="BodyText"/>
        <w:ind w:left="1256"/>
      </w:pPr>
      <w:r>
        <w:rPr/>
        <w:t>htt</w:t>
      </w:r>
      <w:hyperlink r:id="rId37">
        <w:r>
          <w:rPr/>
          <w:t>ps://www.britannica.com/topi</w:t>
        </w:r>
      </w:hyperlink>
      <w:r>
        <w:rPr/>
        <w:t>c</w:t>
      </w:r>
      <w:hyperlink r:id="rId37">
        <w:r>
          <w:rPr/>
          <w:t>/Amazoncom </w:t>
        </w:r>
      </w:hyperlink>
      <w:r>
        <w:rPr/>
        <w:t>(8/10/2019)</w:t>
      </w:r>
    </w:p>
    <w:p>
      <w:pPr>
        <w:pStyle w:val="BodyText"/>
        <w:tabs>
          <w:tab w:pos="2508" w:val="left" w:leader="none"/>
          <w:tab w:pos="3544" w:val="left" w:leader="none"/>
          <w:tab w:pos="4557" w:val="left" w:leader="none"/>
          <w:tab w:pos="5022" w:val="left" w:leader="none"/>
          <w:tab w:pos="5780" w:val="left" w:leader="none"/>
          <w:tab w:pos="6416" w:val="left" w:leader="none"/>
          <w:tab w:pos="7502" w:val="left" w:leader="none"/>
          <w:tab w:pos="8646" w:val="left" w:leader="none"/>
        </w:tabs>
        <w:spacing w:before="120"/>
        <w:ind w:left="1256" w:right="311" w:hanging="708"/>
        <w:jc w:val="left"/>
      </w:pPr>
      <w:r>
        <w:rPr/>
        <w:t>Hanbury,</w:t>
      </w:r>
      <w:r>
        <w:rPr>
          <w:spacing w:val="-5"/>
        </w:rPr>
        <w:t> </w:t>
      </w:r>
      <w:r>
        <w:rPr/>
        <w:t>M.</w:t>
      </w:r>
      <w:r>
        <w:rPr>
          <w:spacing w:val="-4"/>
        </w:rPr>
        <w:t> </w:t>
      </w:r>
      <w:r>
        <w:rPr/>
        <w:t>(10</w:t>
      </w:r>
      <w:r>
        <w:rPr>
          <w:spacing w:val="-5"/>
        </w:rPr>
        <w:t> </w:t>
      </w:r>
      <w:r>
        <w:rPr/>
        <w:t>Nisan</w:t>
      </w:r>
      <w:r>
        <w:rPr>
          <w:spacing w:val="-4"/>
        </w:rPr>
        <w:t> </w:t>
      </w:r>
      <w:r>
        <w:rPr/>
        <w:t>2018).</w:t>
      </w:r>
      <w:r>
        <w:rPr>
          <w:spacing w:val="-3"/>
        </w:rPr>
        <w:t> </w:t>
      </w:r>
      <w:r>
        <w:rPr/>
        <w:t>“'I</w:t>
      </w:r>
      <w:r>
        <w:rPr>
          <w:spacing w:val="-7"/>
        </w:rPr>
        <w:t> </w:t>
      </w:r>
      <w:r>
        <w:rPr/>
        <w:t>Keep</w:t>
      </w:r>
      <w:r>
        <w:rPr>
          <w:spacing w:val="-4"/>
        </w:rPr>
        <w:t> </w:t>
      </w:r>
      <w:r>
        <w:rPr/>
        <w:t>Getting</w:t>
      </w:r>
      <w:r>
        <w:rPr>
          <w:spacing w:val="-3"/>
        </w:rPr>
        <w:t> </w:t>
      </w:r>
      <w:r>
        <w:rPr/>
        <w:t>The</w:t>
      </w:r>
      <w:r>
        <w:rPr>
          <w:spacing w:val="-5"/>
        </w:rPr>
        <w:t> </w:t>
      </w:r>
      <w:r>
        <w:rPr/>
        <w:t>Same</w:t>
      </w:r>
      <w:r>
        <w:rPr>
          <w:spacing w:val="-4"/>
        </w:rPr>
        <w:t> </w:t>
      </w:r>
      <w:r>
        <w:rPr/>
        <w:t>Phone</w:t>
      </w:r>
      <w:r>
        <w:rPr>
          <w:spacing w:val="-5"/>
        </w:rPr>
        <w:t> </w:t>
      </w:r>
      <w:r>
        <w:rPr/>
        <w:t>Case</w:t>
      </w:r>
      <w:r>
        <w:rPr>
          <w:spacing w:val="-5"/>
        </w:rPr>
        <w:t> </w:t>
      </w:r>
      <w:r>
        <w:rPr/>
        <w:t>Over</w:t>
      </w:r>
      <w:r>
        <w:rPr>
          <w:spacing w:val="-2"/>
        </w:rPr>
        <w:t> </w:t>
      </w:r>
      <w:r>
        <w:rPr/>
        <w:t>and</w:t>
      </w:r>
      <w:r>
        <w:rPr>
          <w:spacing w:val="-4"/>
        </w:rPr>
        <w:t> </w:t>
      </w:r>
      <w:r>
        <w:rPr/>
        <w:t>Over':</w:t>
      </w:r>
      <w:r>
        <w:rPr>
          <w:spacing w:val="-3"/>
        </w:rPr>
        <w:t> </w:t>
      </w:r>
      <w:r>
        <w:rPr/>
        <w:t>How Amazon's</w:t>
        <w:tab/>
        <w:t>Review</w:t>
        <w:tab/>
        <w:t>System</w:t>
        <w:tab/>
        <w:t>is</w:t>
        <w:tab/>
        <w:t>Ripe</w:t>
        <w:tab/>
        <w:t>For</w:t>
        <w:tab/>
        <w:t>Abuse”,</w:t>
        <w:tab/>
      </w:r>
      <w:r>
        <w:rPr>
          <w:i/>
        </w:rPr>
        <w:t>Business</w:t>
        <w:tab/>
      </w:r>
      <w:r>
        <w:rPr>
          <w:i/>
          <w:spacing w:val="-3"/>
        </w:rPr>
        <w:t>Insider</w:t>
      </w:r>
      <w:r>
        <w:rPr>
          <w:spacing w:val="-3"/>
        </w:rPr>
        <w:t>. </w:t>
      </w:r>
      <w:r>
        <w:rPr/>
        <w:t>htt</w:t>
      </w:r>
      <w:hyperlink r:id="rId38">
        <w:r>
          <w:rPr/>
          <w:t>ps://www.businessinsider.com/</w:t>
        </w:r>
      </w:hyperlink>
      <w:r>
        <w:rPr/>
        <w:t>a</w:t>
      </w:r>
      <w:hyperlink r:id="rId38">
        <w:r>
          <w:rPr/>
          <w:t>mazon-review-system-abuse-2018-4</w:t>
        </w:r>
      </w:hyperlink>
      <w:r>
        <w:rPr/>
        <w:t> (13/11/2019)</w:t>
      </w:r>
    </w:p>
    <w:p>
      <w:pPr>
        <w:pStyle w:val="BodyText"/>
        <w:spacing w:before="120"/>
        <w:ind w:left="1256" w:right="310" w:hanging="708"/>
      </w:pPr>
      <w:r>
        <w:rPr/>
        <w:t>Handley, L. (11 Haziran 2019). “Amazon Beats Apple and Google to Become The World’s Most Valuable Brand”, </w:t>
      </w:r>
      <w:r>
        <w:rPr>
          <w:i/>
        </w:rPr>
        <w:t>CNBC. </w:t>
      </w:r>
      <w:r>
        <w:rPr/>
        <w:t>htt</w:t>
      </w:r>
      <w:hyperlink r:id="rId39">
        <w:r>
          <w:rPr/>
          <w:t>ps://www.cnbc.com/2019/06/11/ama</w:t>
        </w:r>
      </w:hyperlink>
      <w:r>
        <w:rPr/>
        <w:t>z</w:t>
      </w:r>
      <w:hyperlink r:id="rId39">
        <w:r>
          <w:rPr/>
          <w:t>on-beats-</w:t>
        </w:r>
      </w:hyperlink>
      <w:r>
        <w:rPr/>
        <w:t> apple-and-google-to-become-the-worlds-most-valuable-brand.html (14/10/2019)</w:t>
      </w:r>
    </w:p>
    <w:p>
      <w:pPr>
        <w:pStyle w:val="BodyText"/>
        <w:spacing w:before="120"/>
        <w:ind w:left="1256" w:right="308" w:hanging="708"/>
      </w:pPr>
      <w:r>
        <w:rPr/>
        <w:t>Hashim, M. J., Ram, S., &amp; Tang, Z. (2019). “Uncovering The Effects of Digital Movie Format Availability on Physical Movie Sales”, </w:t>
      </w:r>
      <w:r>
        <w:rPr>
          <w:i/>
        </w:rPr>
        <w:t>Decision Support Systems</w:t>
      </w:r>
      <w:r>
        <w:rPr/>
        <w:t>, 117, 75- 86. doi:10.1016/j.dss.2018.10.016</w:t>
      </w:r>
    </w:p>
    <w:p>
      <w:pPr>
        <w:pStyle w:val="BodyText"/>
        <w:spacing w:before="119"/>
        <w:ind w:left="1256" w:right="313" w:hanging="708"/>
      </w:pPr>
      <w:r>
        <w:rPr/>
        <w:t>Hassan, F. H., &amp; Sheriff, N. M. (2006). “Students' Need Recognition for Higher Education At Private Colleges in Malaysia: An Exploratory Perspective”, </w:t>
      </w:r>
      <w:r>
        <w:rPr>
          <w:i/>
        </w:rPr>
        <w:t>Sunway Academic </w:t>
      </w:r>
      <w:r>
        <w:rPr>
          <w:i/>
        </w:rPr>
        <w:t>Journal</w:t>
      </w:r>
      <w:r>
        <w:rPr/>
        <w:t>, 3, 61-71.</w:t>
      </w:r>
    </w:p>
    <w:p>
      <w:pPr>
        <w:spacing w:after="0"/>
        <w:sectPr>
          <w:pgSz w:w="12240" w:h="15840"/>
          <w:pgMar w:header="718" w:footer="0" w:top="1300" w:bottom="280" w:left="1720" w:right="820"/>
        </w:sectPr>
      </w:pPr>
    </w:p>
    <w:p>
      <w:pPr>
        <w:spacing w:before="100"/>
        <w:ind w:left="1256" w:right="311" w:hanging="708"/>
        <w:jc w:val="both"/>
        <w:rPr>
          <w:sz w:val="24"/>
        </w:rPr>
      </w:pPr>
      <w:r>
        <w:rPr>
          <w:sz w:val="24"/>
        </w:rPr>
        <w:t>Hayes, J. R. (1962), "Human Data Processing Limits in Decision Making," </w:t>
      </w:r>
      <w:r>
        <w:rPr>
          <w:i/>
          <w:sz w:val="24"/>
        </w:rPr>
        <w:t>Technical </w:t>
      </w:r>
      <w:r>
        <w:rPr>
          <w:i/>
          <w:sz w:val="24"/>
        </w:rPr>
        <w:t>Documentary Report No. ESDTDR- 62-48</w:t>
      </w:r>
      <w:r>
        <w:rPr>
          <w:sz w:val="24"/>
        </w:rPr>
        <w:t>, Bedford, MA: Air Force Systems Command.</w:t>
      </w:r>
    </w:p>
    <w:p>
      <w:pPr>
        <w:pStyle w:val="BodyText"/>
        <w:spacing w:before="121"/>
        <w:ind w:left="1256" w:right="310" w:hanging="708"/>
      </w:pPr>
      <w:r>
        <w:rPr/>
        <w:t>HBR Ideacast (3 Ocak 2013). “Jeff Bezos on Leading for the Long-Term at Amazon”, </w:t>
      </w:r>
      <w:r>
        <w:rPr>
          <w:i/>
        </w:rPr>
        <w:t>Harvard Business Review</w:t>
      </w:r>
      <w:r>
        <w:rPr/>
        <w:t>, https://hbr.org/ideacast/2013/01/jeff-bezos-on-leading- for-the.html (17/10/2019)</w:t>
      </w:r>
    </w:p>
    <w:p>
      <w:pPr>
        <w:pStyle w:val="BodyText"/>
        <w:spacing w:before="120"/>
        <w:ind w:left="1256" w:right="309" w:hanging="708"/>
      </w:pPr>
      <w:r>
        <w:rPr/>
        <w:t>Hennig-Thurau, T. &amp; Walsh, G. (2003). “Electronic Word of Mouth: Motives for and Consequences of Reading Customer Articulations on the Internet”, </w:t>
      </w:r>
      <w:r>
        <w:rPr>
          <w:i/>
        </w:rPr>
        <w:t>International </w:t>
      </w:r>
      <w:r>
        <w:rPr>
          <w:i/>
        </w:rPr>
        <w:t>Journal</w:t>
      </w:r>
      <w:r>
        <w:rPr>
          <w:i/>
          <w:spacing w:val="-16"/>
        </w:rPr>
        <w:t> </w:t>
      </w:r>
      <w:r>
        <w:rPr>
          <w:i/>
        </w:rPr>
        <w:t>of</w:t>
      </w:r>
      <w:r>
        <w:rPr>
          <w:i/>
          <w:spacing w:val="-16"/>
        </w:rPr>
        <w:t> </w:t>
      </w:r>
      <w:r>
        <w:rPr>
          <w:i/>
        </w:rPr>
        <w:t>Electronic</w:t>
      </w:r>
      <w:r>
        <w:rPr>
          <w:i/>
          <w:spacing w:val="-17"/>
        </w:rPr>
        <w:t> </w:t>
      </w:r>
      <w:r>
        <w:rPr>
          <w:i/>
        </w:rPr>
        <w:t>Commerce</w:t>
      </w:r>
      <w:r>
        <w:rPr/>
        <w:t>,</w:t>
      </w:r>
      <w:r>
        <w:rPr>
          <w:spacing w:val="-17"/>
        </w:rPr>
        <w:t> </w:t>
      </w:r>
      <w:r>
        <w:rPr/>
        <w:t>8(2),</w:t>
      </w:r>
      <w:r>
        <w:rPr>
          <w:spacing w:val="-15"/>
        </w:rPr>
        <w:t> </w:t>
      </w:r>
      <w:r>
        <w:rPr/>
        <w:t>51-74.</w:t>
      </w:r>
      <w:r>
        <w:rPr>
          <w:spacing w:val="-16"/>
        </w:rPr>
        <w:t> </w:t>
      </w:r>
      <w:r>
        <w:rPr/>
        <w:t>doi:10.1080/10864415.2003.11044293</w:t>
      </w:r>
    </w:p>
    <w:p>
      <w:pPr>
        <w:pStyle w:val="BodyText"/>
        <w:spacing w:before="120"/>
        <w:ind w:left="1256" w:right="308" w:hanging="708"/>
      </w:pPr>
      <w:r>
        <w:rPr/>
        <w:t>Hennig-Thurau, T., Gwinner, K. P., Walsh, G. ve Gremler, D. D. (2004). "Electronic Word- Of-Mouth via Consumer-Opinion Platforms: What Motivates Consumers to Articulate Themselves on The Internet?", </w:t>
      </w:r>
      <w:r>
        <w:rPr>
          <w:i/>
        </w:rPr>
        <w:t>Journal Of Interactive Marketing</w:t>
      </w:r>
      <w:r>
        <w:rPr/>
        <w:t>, 18 (1), 38-52. doi:10.1002/dir.10073</w:t>
      </w:r>
    </w:p>
    <w:p>
      <w:pPr>
        <w:pStyle w:val="BodyText"/>
        <w:spacing w:before="120"/>
        <w:ind w:left="1256" w:right="309" w:hanging="708"/>
      </w:pPr>
      <w:r>
        <w:rPr/>
        <w:t>Hennig-Thurau,</w:t>
      </w:r>
      <w:r>
        <w:rPr>
          <w:spacing w:val="-11"/>
        </w:rPr>
        <w:t> </w:t>
      </w:r>
      <w:r>
        <w:rPr/>
        <w:t>T.,</w:t>
      </w:r>
      <w:r>
        <w:rPr>
          <w:spacing w:val="-11"/>
        </w:rPr>
        <w:t> </w:t>
      </w:r>
      <w:r>
        <w:rPr/>
        <w:t>Malthouse,</w:t>
      </w:r>
      <w:r>
        <w:rPr>
          <w:spacing w:val="-11"/>
        </w:rPr>
        <w:t> </w:t>
      </w:r>
      <w:r>
        <w:rPr/>
        <w:t>E.</w:t>
      </w:r>
      <w:r>
        <w:rPr>
          <w:spacing w:val="-11"/>
        </w:rPr>
        <w:t> </w:t>
      </w:r>
      <w:r>
        <w:rPr/>
        <w:t>C.,</w:t>
      </w:r>
      <w:r>
        <w:rPr>
          <w:spacing w:val="-11"/>
        </w:rPr>
        <w:t> </w:t>
      </w:r>
      <w:r>
        <w:rPr/>
        <w:t>Friege,</w:t>
      </w:r>
      <w:r>
        <w:rPr>
          <w:spacing w:val="-11"/>
        </w:rPr>
        <w:t> </w:t>
      </w:r>
      <w:r>
        <w:rPr/>
        <w:t>C.,</w:t>
      </w:r>
      <w:r>
        <w:rPr>
          <w:spacing w:val="-9"/>
        </w:rPr>
        <w:t> </w:t>
      </w:r>
      <w:r>
        <w:rPr/>
        <w:t>Gensler,</w:t>
      </w:r>
      <w:r>
        <w:rPr>
          <w:spacing w:val="-11"/>
        </w:rPr>
        <w:t> </w:t>
      </w:r>
      <w:r>
        <w:rPr/>
        <w:t>S.,</w:t>
      </w:r>
      <w:r>
        <w:rPr>
          <w:spacing w:val="-11"/>
        </w:rPr>
        <w:t> </w:t>
      </w:r>
      <w:r>
        <w:rPr/>
        <w:t>Lobschat,</w:t>
      </w:r>
      <w:r>
        <w:rPr>
          <w:spacing w:val="-11"/>
        </w:rPr>
        <w:t> </w:t>
      </w:r>
      <w:r>
        <w:rPr/>
        <w:t>L.,</w:t>
      </w:r>
      <w:r>
        <w:rPr>
          <w:spacing w:val="-11"/>
        </w:rPr>
        <w:t> </w:t>
      </w:r>
      <w:r>
        <w:rPr/>
        <w:t>Rangaswamy,</w:t>
      </w:r>
      <w:r>
        <w:rPr>
          <w:spacing w:val="-11"/>
        </w:rPr>
        <w:t> </w:t>
      </w:r>
      <w:r>
        <w:rPr/>
        <w:t>A., &amp;</w:t>
      </w:r>
      <w:r>
        <w:rPr>
          <w:spacing w:val="-15"/>
        </w:rPr>
        <w:t> </w:t>
      </w:r>
      <w:r>
        <w:rPr/>
        <w:t>Skiera,</w:t>
      </w:r>
      <w:r>
        <w:rPr>
          <w:spacing w:val="-16"/>
        </w:rPr>
        <w:t> </w:t>
      </w:r>
      <w:r>
        <w:rPr/>
        <w:t>B.</w:t>
      </w:r>
      <w:r>
        <w:rPr>
          <w:spacing w:val="-16"/>
        </w:rPr>
        <w:t> </w:t>
      </w:r>
      <w:r>
        <w:rPr/>
        <w:t>(2010).</w:t>
      </w:r>
      <w:r>
        <w:rPr>
          <w:spacing w:val="-15"/>
        </w:rPr>
        <w:t> </w:t>
      </w:r>
      <w:r>
        <w:rPr/>
        <w:t>“The</w:t>
      </w:r>
      <w:r>
        <w:rPr>
          <w:spacing w:val="-15"/>
        </w:rPr>
        <w:t> </w:t>
      </w:r>
      <w:r>
        <w:rPr/>
        <w:t>Impact</w:t>
      </w:r>
      <w:r>
        <w:rPr>
          <w:spacing w:val="-15"/>
        </w:rPr>
        <w:t> </w:t>
      </w:r>
      <w:r>
        <w:rPr/>
        <w:t>of</w:t>
      </w:r>
      <w:r>
        <w:rPr>
          <w:spacing w:val="-17"/>
        </w:rPr>
        <w:t> </w:t>
      </w:r>
      <w:r>
        <w:rPr/>
        <w:t>New</w:t>
      </w:r>
      <w:r>
        <w:rPr>
          <w:spacing w:val="-16"/>
        </w:rPr>
        <w:t> </w:t>
      </w:r>
      <w:r>
        <w:rPr/>
        <w:t>Media</w:t>
      </w:r>
      <w:r>
        <w:rPr>
          <w:spacing w:val="-16"/>
        </w:rPr>
        <w:t> </w:t>
      </w:r>
      <w:r>
        <w:rPr/>
        <w:t>on</w:t>
      </w:r>
      <w:r>
        <w:rPr>
          <w:spacing w:val="-12"/>
        </w:rPr>
        <w:t> </w:t>
      </w:r>
      <w:r>
        <w:rPr/>
        <w:t>Customer</w:t>
      </w:r>
      <w:r>
        <w:rPr>
          <w:spacing w:val="-17"/>
        </w:rPr>
        <w:t> </w:t>
      </w:r>
      <w:r>
        <w:rPr/>
        <w:t>Relationships”,</w:t>
      </w:r>
      <w:r>
        <w:rPr>
          <w:spacing w:val="-16"/>
        </w:rPr>
        <w:t> </w:t>
      </w:r>
      <w:r>
        <w:rPr>
          <w:i/>
        </w:rPr>
        <w:t>Journal </w:t>
      </w:r>
      <w:r>
        <w:rPr>
          <w:i/>
        </w:rPr>
        <w:t>of Service Research</w:t>
      </w:r>
      <w:r>
        <w:rPr/>
        <w:t>, 13(3), 311-330. doi:</w:t>
      </w:r>
      <w:r>
        <w:rPr>
          <w:spacing w:val="-2"/>
        </w:rPr>
        <w:t> </w:t>
      </w:r>
      <w:r>
        <w:rPr/>
        <w:t>10.1177/1094670510375460</w:t>
      </w:r>
    </w:p>
    <w:p>
      <w:pPr>
        <w:pStyle w:val="BodyText"/>
        <w:spacing w:before="121"/>
        <w:ind w:left="1256" w:right="308" w:hanging="708"/>
      </w:pPr>
      <w:r>
        <w:rPr/>
        <w:t>Herr, P. M., Kardes, F. R., &amp; Kim, J. (1991). “Effects of Word-of-Mouth and Product- Attribute Information on Persuasion: An Accessibility-Diagnosticity Perspective”, </w:t>
      </w:r>
      <w:r>
        <w:rPr>
          <w:i/>
        </w:rPr>
        <w:t>Journal of Consumer Research</w:t>
      </w:r>
      <w:r>
        <w:rPr/>
        <w:t>, 17(4), 454-462. doi:10.1086/208570</w:t>
      </w:r>
    </w:p>
    <w:p>
      <w:pPr>
        <w:spacing w:before="120"/>
        <w:ind w:left="548" w:right="0" w:firstLine="0"/>
        <w:jc w:val="both"/>
        <w:rPr>
          <w:sz w:val="24"/>
        </w:rPr>
      </w:pPr>
      <w:r>
        <w:rPr>
          <w:sz w:val="24"/>
        </w:rPr>
        <w:t>Hill, R. C., Griffiths, W. E., &amp; Lim, G. C. (2011). </w:t>
      </w:r>
      <w:r>
        <w:rPr>
          <w:i/>
          <w:sz w:val="24"/>
        </w:rPr>
        <w:t>Principles of Econometrics-4th edition</w:t>
      </w:r>
      <w:r>
        <w:rPr>
          <w:sz w:val="24"/>
        </w:rPr>
        <w:t>.</w:t>
      </w:r>
    </w:p>
    <w:p>
      <w:pPr>
        <w:pStyle w:val="BodyText"/>
        <w:ind w:left="1256"/>
      </w:pPr>
      <w:r>
        <w:rPr/>
        <w:t>John Wiley &amp; Sons. Hoboken, NJ.</w:t>
      </w:r>
    </w:p>
    <w:p>
      <w:pPr>
        <w:pStyle w:val="BodyText"/>
        <w:spacing w:before="120"/>
        <w:ind w:left="1256" w:right="312" w:hanging="708"/>
      </w:pPr>
      <w:r>
        <w:rPr/>
        <w:t>History.com (2019). “Amazon Opens for Business”, htt</w:t>
      </w:r>
      <w:hyperlink r:id="rId40">
        <w:r>
          <w:rPr/>
          <w:t>ps://www.history.com/thi</w:t>
        </w:r>
      </w:hyperlink>
      <w:r>
        <w:rPr/>
        <w:t>s</w:t>
      </w:r>
      <w:hyperlink r:id="rId40">
        <w:r>
          <w:rPr/>
          <w:t>-day-in-</w:t>
        </w:r>
      </w:hyperlink>
      <w:r>
        <w:rPr/>
        <w:t> history/amazon-opens-for-business (8/10/2019)</w:t>
      </w:r>
    </w:p>
    <w:p>
      <w:pPr>
        <w:pStyle w:val="BodyText"/>
        <w:spacing w:before="120"/>
        <w:ind w:left="1256" w:right="312" w:hanging="708"/>
      </w:pPr>
      <w:r>
        <w:rPr/>
        <w:t>Ho-Dac,</w:t>
      </w:r>
      <w:r>
        <w:rPr>
          <w:spacing w:val="-4"/>
        </w:rPr>
        <w:t> </w:t>
      </w:r>
      <w:r>
        <w:rPr/>
        <w:t>N.</w:t>
      </w:r>
      <w:r>
        <w:rPr>
          <w:spacing w:val="-4"/>
        </w:rPr>
        <w:t> </w:t>
      </w:r>
      <w:r>
        <w:rPr/>
        <w:t>N.,</w:t>
      </w:r>
      <w:r>
        <w:rPr>
          <w:spacing w:val="-3"/>
        </w:rPr>
        <w:t> </w:t>
      </w:r>
      <w:r>
        <w:rPr/>
        <w:t>Carson,</w:t>
      </w:r>
      <w:r>
        <w:rPr>
          <w:spacing w:val="-4"/>
        </w:rPr>
        <w:t> </w:t>
      </w:r>
      <w:r>
        <w:rPr/>
        <w:t>S.</w:t>
      </w:r>
      <w:r>
        <w:rPr>
          <w:spacing w:val="-3"/>
        </w:rPr>
        <w:t> </w:t>
      </w:r>
      <w:r>
        <w:rPr/>
        <w:t>J.,</w:t>
      </w:r>
      <w:r>
        <w:rPr>
          <w:spacing w:val="-4"/>
        </w:rPr>
        <w:t> </w:t>
      </w:r>
      <w:r>
        <w:rPr/>
        <w:t>&amp;</w:t>
      </w:r>
      <w:r>
        <w:rPr>
          <w:spacing w:val="-2"/>
        </w:rPr>
        <w:t> </w:t>
      </w:r>
      <w:r>
        <w:rPr/>
        <w:t>Moore,</w:t>
      </w:r>
      <w:r>
        <w:rPr>
          <w:spacing w:val="-4"/>
        </w:rPr>
        <w:t> </w:t>
      </w:r>
      <w:r>
        <w:rPr/>
        <w:t>W.</w:t>
      </w:r>
      <w:r>
        <w:rPr>
          <w:spacing w:val="-3"/>
        </w:rPr>
        <w:t> </w:t>
      </w:r>
      <w:r>
        <w:rPr/>
        <w:t>L.</w:t>
      </w:r>
      <w:r>
        <w:rPr>
          <w:spacing w:val="-4"/>
        </w:rPr>
        <w:t> </w:t>
      </w:r>
      <w:r>
        <w:rPr/>
        <w:t>(2013).</w:t>
      </w:r>
      <w:r>
        <w:rPr>
          <w:spacing w:val="-2"/>
        </w:rPr>
        <w:t> </w:t>
      </w:r>
      <w:r>
        <w:rPr/>
        <w:t>“The</w:t>
      </w:r>
      <w:r>
        <w:rPr>
          <w:spacing w:val="-5"/>
        </w:rPr>
        <w:t> </w:t>
      </w:r>
      <w:r>
        <w:rPr/>
        <w:t>Effects</w:t>
      </w:r>
      <w:r>
        <w:rPr>
          <w:spacing w:val="-2"/>
        </w:rPr>
        <w:t> </w:t>
      </w:r>
      <w:r>
        <w:rPr/>
        <w:t>of</w:t>
      </w:r>
      <w:r>
        <w:rPr>
          <w:spacing w:val="-5"/>
        </w:rPr>
        <w:t> </w:t>
      </w:r>
      <w:r>
        <w:rPr/>
        <w:t>Positive</w:t>
      </w:r>
      <w:r>
        <w:rPr>
          <w:spacing w:val="-4"/>
        </w:rPr>
        <w:t> </w:t>
      </w:r>
      <w:r>
        <w:rPr/>
        <w:t>and</w:t>
      </w:r>
      <w:r>
        <w:rPr>
          <w:spacing w:val="-4"/>
        </w:rPr>
        <w:t> </w:t>
      </w:r>
      <w:r>
        <w:rPr/>
        <w:t>Negative Online Customer Reviews: Do Brand Strength and Category Maturity Matter?”, </w:t>
      </w:r>
      <w:r>
        <w:rPr>
          <w:i/>
        </w:rPr>
        <w:t>Journal of Marketing</w:t>
      </w:r>
      <w:r>
        <w:rPr/>
        <w:t>, 77(6), 37-53. doi: 10.1509/jm.11.0011</w:t>
      </w:r>
    </w:p>
    <w:p>
      <w:pPr>
        <w:spacing w:before="120"/>
        <w:ind w:left="548" w:right="0" w:firstLine="0"/>
        <w:jc w:val="both"/>
        <w:rPr>
          <w:i/>
          <w:sz w:val="24"/>
        </w:rPr>
      </w:pPr>
      <w:r>
        <w:rPr>
          <w:sz w:val="24"/>
        </w:rPr>
        <w:t>Hogan, K. (2007). </w:t>
      </w:r>
      <w:r>
        <w:rPr>
          <w:i/>
          <w:sz w:val="24"/>
        </w:rPr>
        <w:t>Etkileme Sanatı: İstediğiniz Kişiye 8 Dakikada Nasıl Evet Dedirtirsiniz?</w:t>
      </w:r>
    </w:p>
    <w:p>
      <w:pPr>
        <w:pStyle w:val="BodyText"/>
        <w:ind w:left="1256"/>
      </w:pPr>
      <w:r>
        <w:rPr/>
        <w:t>(çev. Taner Gezer), Yakamoz, İstanbul.</w:t>
      </w:r>
    </w:p>
    <w:p>
      <w:pPr>
        <w:spacing w:before="120"/>
        <w:ind w:left="1256" w:right="312" w:hanging="708"/>
        <w:jc w:val="both"/>
        <w:rPr>
          <w:sz w:val="24"/>
        </w:rPr>
      </w:pPr>
      <w:r>
        <w:rPr>
          <w:sz w:val="24"/>
        </w:rPr>
        <w:t>Holtz-Eakin, D., Newey, W., &amp; Rosen, H. S. (1988). “Estimating Vector Autoregressions with Panel Data”, </w:t>
      </w:r>
      <w:r>
        <w:rPr>
          <w:i/>
          <w:sz w:val="24"/>
        </w:rPr>
        <w:t>Econometrica: Journal of the Econometric Society</w:t>
      </w:r>
      <w:r>
        <w:rPr>
          <w:sz w:val="24"/>
        </w:rPr>
        <w:t>, 1371-1395.</w:t>
      </w:r>
    </w:p>
    <w:p>
      <w:pPr>
        <w:pStyle w:val="BodyText"/>
        <w:tabs>
          <w:tab w:pos="2995" w:val="left" w:leader="none"/>
          <w:tab w:pos="4533" w:val="left" w:leader="none"/>
          <w:tab w:pos="5380" w:val="left" w:leader="none"/>
          <w:tab w:pos="6849" w:val="left" w:leader="none"/>
        </w:tabs>
        <w:spacing w:before="120"/>
        <w:ind w:left="1256" w:right="311" w:hanging="708"/>
      </w:pPr>
      <w:r>
        <w:rPr/>
        <w:t>Hou,</w:t>
      </w:r>
      <w:r>
        <w:rPr>
          <w:spacing w:val="-7"/>
        </w:rPr>
        <w:t> </w:t>
      </w:r>
      <w:r>
        <w:rPr/>
        <w:t>F.,</w:t>
      </w:r>
      <w:r>
        <w:rPr>
          <w:spacing w:val="-5"/>
        </w:rPr>
        <w:t> </w:t>
      </w:r>
      <w:r>
        <w:rPr/>
        <w:t>Li,</w:t>
      </w:r>
      <w:r>
        <w:rPr>
          <w:spacing w:val="-5"/>
        </w:rPr>
        <w:t> </w:t>
      </w:r>
      <w:r>
        <w:rPr/>
        <w:t>B.,</w:t>
      </w:r>
      <w:r>
        <w:rPr>
          <w:spacing w:val="-6"/>
        </w:rPr>
        <w:t> </w:t>
      </w:r>
      <w:r>
        <w:rPr/>
        <w:t>Chong,</w:t>
      </w:r>
      <w:r>
        <w:rPr>
          <w:spacing w:val="-3"/>
        </w:rPr>
        <w:t> </w:t>
      </w:r>
      <w:r>
        <w:rPr/>
        <w:t>A.</w:t>
      </w:r>
      <w:r>
        <w:rPr>
          <w:spacing w:val="-5"/>
        </w:rPr>
        <w:t> </w:t>
      </w:r>
      <w:r>
        <w:rPr/>
        <w:t>Y.</w:t>
      </w:r>
      <w:r>
        <w:rPr>
          <w:spacing w:val="-7"/>
        </w:rPr>
        <w:t> </w:t>
      </w:r>
      <w:r>
        <w:rPr/>
        <w:t>L.,</w:t>
      </w:r>
      <w:r>
        <w:rPr>
          <w:spacing w:val="-5"/>
        </w:rPr>
        <w:t> </w:t>
      </w:r>
      <w:r>
        <w:rPr/>
        <w:t>Yannopoulou,</w:t>
      </w:r>
      <w:r>
        <w:rPr>
          <w:spacing w:val="-5"/>
        </w:rPr>
        <w:t> </w:t>
      </w:r>
      <w:r>
        <w:rPr/>
        <w:t>N.,</w:t>
      </w:r>
      <w:r>
        <w:rPr>
          <w:spacing w:val="-5"/>
        </w:rPr>
        <w:t> </w:t>
      </w:r>
      <w:r>
        <w:rPr/>
        <w:t>&amp;</w:t>
      </w:r>
      <w:r>
        <w:rPr>
          <w:spacing w:val="-5"/>
        </w:rPr>
        <w:t> </w:t>
      </w:r>
      <w:r>
        <w:rPr/>
        <w:t>Liu,</w:t>
      </w:r>
      <w:r>
        <w:rPr>
          <w:spacing w:val="-5"/>
        </w:rPr>
        <w:t> </w:t>
      </w:r>
      <w:r>
        <w:rPr/>
        <w:t>M.</w:t>
      </w:r>
      <w:r>
        <w:rPr>
          <w:spacing w:val="-6"/>
        </w:rPr>
        <w:t> </w:t>
      </w:r>
      <w:r>
        <w:rPr/>
        <w:t>J.</w:t>
      </w:r>
      <w:r>
        <w:rPr>
          <w:spacing w:val="-5"/>
        </w:rPr>
        <w:t> </w:t>
      </w:r>
      <w:r>
        <w:rPr/>
        <w:t>(2017).</w:t>
      </w:r>
      <w:r>
        <w:rPr>
          <w:spacing w:val="-2"/>
        </w:rPr>
        <w:t> </w:t>
      </w:r>
      <w:r>
        <w:rPr/>
        <w:t>“Understanding</w:t>
      </w:r>
      <w:r>
        <w:rPr>
          <w:spacing w:val="-6"/>
        </w:rPr>
        <w:t> </w:t>
      </w:r>
      <w:r>
        <w:rPr/>
        <w:t>and Predicting What Influence Online Product Sales? A Neural Network Approach”, </w:t>
      </w:r>
      <w:r>
        <w:rPr>
          <w:i/>
        </w:rPr>
        <w:t>Production</w:t>
        <w:tab/>
        <w:t>Planning</w:t>
        <w:tab/>
        <w:t>&amp;</w:t>
        <w:tab/>
        <w:t>Control</w:t>
      </w:r>
      <w:r>
        <w:rPr/>
        <w:t>,</w:t>
        <w:tab/>
        <w:t>28(11-12),</w:t>
      </w:r>
      <w:r>
        <w:rPr>
          <w:spacing w:val="4"/>
        </w:rPr>
        <w:t> </w:t>
      </w:r>
      <w:r>
        <w:rPr>
          <w:spacing w:val="-3"/>
        </w:rPr>
        <w:t>964-975.</w:t>
      </w:r>
    </w:p>
    <w:p>
      <w:pPr>
        <w:pStyle w:val="BodyText"/>
        <w:ind w:left="1256"/>
        <w:jc w:val="left"/>
      </w:pPr>
      <w:r>
        <w:rPr/>
        <w:t>doi:10.1080/09537287.2017.1336791</w:t>
      </w:r>
    </w:p>
    <w:p>
      <w:pPr>
        <w:spacing w:before="119"/>
        <w:ind w:left="1256" w:right="310" w:hanging="708"/>
        <w:jc w:val="both"/>
        <w:rPr>
          <w:sz w:val="24"/>
        </w:rPr>
      </w:pPr>
      <w:r>
        <w:rPr>
          <w:sz w:val="24"/>
        </w:rPr>
        <w:t>Houston, M. B., Kupfer, A. K., Hennig-Thurau, T., &amp; Spann, M. (2018). “Pre-release Consumer Buzz”, </w:t>
      </w:r>
      <w:r>
        <w:rPr>
          <w:i/>
          <w:sz w:val="24"/>
        </w:rPr>
        <w:t>Journal of the Academy of Marketing Science</w:t>
      </w:r>
      <w:r>
        <w:rPr>
          <w:sz w:val="24"/>
        </w:rPr>
        <w:t>, 46(2), 338-360. doi:10.1007/s11747-017-0572-3</w:t>
      </w:r>
    </w:p>
    <w:p>
      <w:pPr>
        <w:pStyle w:val="BodyText"/>
        <w:spacing w:before="120"/>
        <w:ind w:left="1256" w:right="311" w:hanging="708"/>
      </w:pPr>
      <w:r>
        <w:rPr/>
        <w:t>Hsu, C. L., &amp; Liao, Y. C. (2014). “Exploring The Linkages Between Perceived Information Accessibility and Microblog Stickiness: The Moderating Role of A Sense of Community”, </w:t>
      </w:r>
      <w:r>
        <w:rPr>
          <w:i/>
        </w:rPr>
        <w:t>Information &amp; Management</w:t>
      </w:r>
      <w:r>
        <w:rPr/>
        <w:t>, 51(7), 833-844.</w:t>
      </w:r>
    </w:p>
    <w:p>
      <w:pPr>
        <w:pStyle w:val="BodyText"/>
        <w:ind w:left="1256"/>
        <w:jc w:val="left"/>
      </w:pPr>
      <w:r>
        <w:rPr/>
        <w:t>doi:10.1016/j.im.2014.08.005</w:t>
      </w:r>
    </w:p>
    <w:p>
      <w:pPr>
        <w:spacing w:after="0"/>
        <w:jc w:val="left"/>
        <w:sectPr>
          <w:pgSz w:w="12240" w:h="15840"/>
          <w:pgMar w:header="718" w:footer="0" w:top="1300" w:bottom="280" w:left="1720" w:right="820"/>
        </w:sectPr>
      </w:pPr>
    </w:p>
    <w:p>
      <w:pPr>
        <w:pStyle w:val="BodyText"/>
        <w:spacing w:before="100"/>
        <w:ind w:left="1256" w:right="311" w:hanging="708"/>
      </w:pPr>
      <w:r>
        <w:rPr/>
        <w:t>Hsu,</w:t>
      </w:r>
      <w:r>
        <w:rPr>
          <w:spacing w:val="-7"/>
        </w:rPr>
        <w:t> </w:t>
      </w:r>
      <w:r>
        <w:rPr/>
        <w:t>C.</w:t>
      </w:r>
      <w:r>
        <w:rPr>
          <w:spacing w:val="-6"/>
        </w:rPr>
        <w:t> </w:t>
      </w:r>
      <w:r>
        <w:rPr/>
        <w:t>L.,</w:t>
      </w:r>
      <w:r>
        <w:rPr>
          <w:spacing w:val="-5"/>
        </w:rPr>
        <w:t> </w:t>
      </w:r>
      <w:r>
        <w:rPr/>
        <w:t>Lin,</w:t>
      </w:r>
      <w:r>
        <w:rPr>
          <w:spacing w:val="-6"/>
        </w:rPr>
        <w:t> </w:t>
      </w:r>
      <w:r>
        <w:rPr/>
        <w:t>J.</w:t>
      </w:r>
      <w:r>
        <w:rPr>
          <w:spacing w:val="-7"/>
        </w:rPr>
        <w:t> </w:t>
      </w:r>
      <w:r>
        <w:rPr/>
        <w:t>C.</w:t>
      </w:r>
      <w:r>
        <w:rPr>
          <w:spacing w:val="-6"/>
        </w:rPr>
        <w:t> </w:t>
      </w:r>
      <w:r>
        <w:rPr/>
        <w:t>C.,</w:t>
      </w:r>
      <w:r>
        <w:rPr>
          <w:spacing w:val="-10"/>
        </w:rPr>
        <w:t> </w:t>
      </w:r>
      <w:r>
        <w:rPr/>
        <w:t>&amp;</w:t>
      </w:r>
      <w:r>
        <w:rPr>
          <w:spacing w:val="-6"/>
        </w:rPr>
        <w:t> </w:t>
      </w:r>
      <w:r>
        <w:rPr/>
        <w:t>Chiang,</w:t>
      </w:r>
      <w:r>
        <w:rPr>
          <w:spacing w:val="-6"/>
        </w:rPr>
        <w:t> </w:t>
      </w:r>
      <w:r>
        <w:rPr/>
        <w:t>H.</w:t>
      </w:r>
      <w:r>
        <w:rPr>
          <w:spacing w:val="-7"/>
        </w:rPr>
        <w:t> </w:t>
      </w:r>
      <w:r>
        <w:rPr/>
        <w:t>S.</w:t>
      </w:r>
      <w:r>
        <w:rPr>
          <w:spacing w:val="-8"/>
        </w:rPr>
        <w:t> </w:t>
      </w:r>
      <w:r>
        <w:rPr/>
        <w:t>(2013).</w:t>
      </w:r>
      <w:r>
        <w:rPr>
          <w:spacing w:val="-5"/>
        </w:rPr>
        <w:t> </w:t>
      </w:r>
      <w:r>
        <w:rPr/>
        <w:t>“The</w:t>
      </w:r>
      <w:r>
        <w:rPr>
          <w:spacing w:val="-6"/>
        </w:rPr>
        <w:t> </w:t>
      </w:r>
      <w:r>
        <w:rPr/>
        <w:t>Effects</w:t>
      </w:r>
      <w:r>
        <w:rPr>
          <w:spacing w:val="-6"/>
        </w:rPr>
        <w:t> </w:t>
      </w:r>
      <w:r>
        <w:rPr/>
        <w:t>of</w:t>
      </w:r>
      <w:r>
        <w:rPr>
          <w:spacing w:val="-6"/>
        </w:rPr>
        <w:t> </w:t>
      </w:r>
      <w:r>
        <w:rPr/>
        <w:t>Blogger</w:t>
      </w:r>
      <w:r>
        <w:rPr>
          <w:spacing w:val="-7"/>
        </w:rPr>
        <w:t> </w:t>
      </w:r>
      <w:r>
        <w:rPr/>
        <w:t>Recommendations on Customers’ Online Shopping Intentions”, </w:t>
      </w:r>
      <w:r>
        <w:rPr>
          <w:i/>
        </w:rPr>
        <w:t>Internet Research</w:t>
      </w:r>
      <w:r>
        <w:rPr/>
        <w:t>, 23(1), 69-88. doi:10.1108/10662241311295782</w:t>
      </w:r>
    </w:p>
    <w:p>
      <w:pPr>
        <w:pStyle w:val="BodyText"/>
        <w:spacing w:before="121"/>
        <w:ind w:left="1256" w:right="311" w:hanging="708"/>
      </w:pPr>
      <w:r>
        <w:rPr/>
        <w:t>Hu, N., Dow, K. E., Chong, A. Y. L., &amp; Liu, L. (2018). “Double Learning or Double Blinding: an İnvestigation of Vendor Private Information Acquisition and Consumer Learning via Online Reviews”, </w:t>
      </w:r>
      <w:r>
        <w:rPr>
          <w:i/>
        </w:rPr>
        <w:t>Annals of Operations Research</w:t>
      </w:r>
      <w:r>
        <w:rPr/>
        <w:t>, 270(1-2), 213-234. doi:10.1007/s10479-016-2243-z</w:t>
      </w:r>
    </w:p>
    <w:p>
      <w:pPr>
        <w:pStyle w:val="BodyText"/>
        <w:spacing w:before="120"/>
        <w:ind w:left="1256" w:right="311" w:hanging="708"/>
      </w:pPr>
      <w:r>
        <w:rPr/>
        <w:t>Hu,</w:t>
      </w:r>
      <w:r>
        <w:rPr>
          <w:spacing w:val="-7"/>
        </w:rPr>
        <w:t> </w:t>
      </w:r>
      <w:r>
        <w:rPr/>
        <w:t>N.,</w:t>
      </w:r>
      <w:r>
        <w:rPr>
          <w:spacing w:val="-7"/>
        </w:rPr>
        <w:t> </w:t>
      </w:r>
      <w:r>
        <w:rPr/>
        <w:t>Koh,</w:t>
      </w:r>
      <w:r>
        <w:rPr>
          <w:spacing w:val="-7"/>
        </w:rPr>
        <w:t> </w:t>
      </w:r>
      <w:r>
        <w:rPr/>
        <w:t>N.</w:t>
      </w:r>
      <w:r>
        <w:rPr>
          <w:spacing w:val="-7"/>
        </w:rPr>
        <w:t> </w:t>
      </w:r>
      <w:r>
        <w:rPr/>
        <w:t>S.,</w:t>
      </w:r>
      <w:r>
        <w:rPr>
          <w:spacing w:val="-9"/>
        </w:rPr>
        <w:t> </w:t>
      </w:r>
      <w:r>
        <w:rPr/>
        <w:t>&amp;</w:t>
      </w:r>
      <w:r>
        <w:rPr>
          <w:spacing w:val="-8"/>
        </w:rPr>
        <w:t> </w:t>
      </w:r>
      <w:r>
        <w:rPr/>
        <w:t>Reddy,</w:t>
      </w:r>
      <w:r>
        <w:rPr>
          <w:spacing w:val="-6"/>
        </w:rPr>
        <w:t> </w:t>
      </w:r>
      <w:r>
        <w:rPr/>
        <w:t>S.</w:t>
      </w:r>
      <w:r>
        <w:rPr>
          <w:spacing w:val="-6"/>
        </w:rPr>
        <w:t> </w:t>
      </w:r>
      <w:r>
        <w:rPr/>
        <w:t>K.</w:t>
      </w:r>
      <w:r>
        <w:rPr>
          <w:spacing w:val="-8"/>
        </w:rPr>
        <w:t> </w:t>
      </w:r>
      <w:r>
        <w:rPr/>
        <w:t>(2014).</w:t>
      </w:r>
      <w:r>
        <w:rPr>
          <w:spacing w:val="-6"/>
        </w:rPr>
        <w:t> </w:t>
      </w:r>
      <w:r>
        <w:rPr/>
        <w:t>“Ratings</w:t>
      </w:r>
      <w:r>
        <w:rPr>
          <w:spacing w:val="-5"/>
        </w:rPr>
        <w:t> </w:t>
      </w:r>
      <w:r>
        <w:rPr/>
        <w:t>Lead</w:t>
      </w:r>
      <w:r>
        <w:rPr>
          <w:spacing w:val="-6"/>
        </w:rPr>
        <w:t> </w:t>
      </w:r>
      <w:r>
        <w:rPr/>
        <w:t>You</w:t>
      </w:r>
      <w:r>
        <w:rPr>
          <w:spacing w:val="-7"/>
        </w:rPr>
        <w:t> </w:t>
      </w:r>
      <w:r>
        <w:rPr/>
        <w:t>to</w:t>
      </w:r>
      <w:r>
        <w:rPr>
          <w:spacing w:val="-6"/>
        </w:rPr>
        <w:t> </w:t>
      </w:r>
      <w:r>
        <w:rPr/>
        <w:t>the</w:t>
      </w:r>
      <w:r>
        <w:rPr>
          <w:spacing w:val="-9"/>
        </w:rPr>
        <w:t> </w:t>
      </w:r>
      <w:r>
        <w:rPr/>
        <w:t>Product,</w:t>
      </w:r>
      <w:r>
        <w:rPr>
          <w:spacing w:val="-6"/>
        </w:rPr>
        <w:t> </w:t>
      </w:r>
      <w:r>
        <w:rPr/>
        <w:t>Reviews</w:t>
      </w:r>
      <w:r>
        <w:rPr>
          <w:spacing w:val="-6"/>
        </w:rPr>
        <w:t> </w:t>
      </w:r>
      <w:r>
        <w:rPr/>
        <w:t>Help You Clinch It? The Mediating Role of Online Review Sentiments on Product</w:t>
      </w:r>
      <w:r>
        <w:rPr>
          <w:spacing w:val="-40"/>
        </w:rPr>
        <w:t> </w:t>
      </w:r>
      <w:r>
        <w:rPr/>
        <w:t>Sales”, </w:t>
      </w:r>
      <w:r>
        <w:rPr>
          <w:i/>
        </w:rPr>
        <w:t>Decision Support Systems</w:t>
      </w:r>
      <w:r>
        <w:rPr/>
        <w:t>, 57, 42-53.</w:t>
      </w:r>
      <w:r>
        <w:rPr>
          <w:spacing w:val="-1"/>
        </w:rPr>
        <w:t> </w:t>
      </w:r>
      <w:r>
        <w:rPr/>
        <w:t>doi:10.1016/j.dss.2013.07.009</w:t>
      </w:r>
    </w:p>
    <w:p>
      <w:pPr>
        <w:pStyle w:val="BodyText"/>
        <w:spacing w:before="120"/>
      </w:pPr>
      <w:r>
        <w:rPr/>
        <w:t>Hu, N., Liu, L., &amp; Sambamurthy, V. (2011). “Fraud Detection in Online Consumer Reviews”,</w:t>
      </w:r>
    </w:p>
    <w:p>
      <w:pPr>
        <w:spacing w:before="0"/>
        <w:ind w:left="1256" w:right="0" w:firstLine="0"/>
        <w:jc w:val="both"/>
        <w:rPr>
          <w:sz w:val="24"/>
        </w:rPr>
      </w:pPr>
      <w:r>
        <w:rPr>
          <w:i/>
          <w:sz w:val="24"/>
        </w:rPr>
        <w:t>Decision Support Systems</w:t>
      </w:r>
      <w:r>
        <w:rPr>
          <w:sz w:val="24"/>
        </w:rPr>
        <w:t>, 50(3), 614-626. doi:10.1016/j.dss.2010.08.012</w:t>
      </w:r>
    </w:p>
    <w:p>
      <w:pPr>
        <w:spacing w:before="120"/>
        <w:ind w:left="1256" w:right="310" w:hanging="708"/>
        <w:jc w:val="both"/>
        <w:rPr>
          <w:sz w:val="24"/>
        </w:rPr>
      </w:pPr>
      <w:r>
        <w:rPr>
          <w:sz w:val="24"/>
        </w:rPr>
        <w:t>Hu, N., Liu, L., Bose, I., &amp; Shen, J. (2010). “Does Sampling Influence Customers In Online Retailing</w:t>
      </w:r>
      <w:r>
        <w:rPr>
          <w:spacing w:val="-12"/>
          <w:sz w:val="24"/>
        </w:rPr>
        <w:t> </w:t>
      </w:r>
      <w:r>
        <w:rPr>
          <w:sz w:val="24"/>
        </w:rPr>
        <w:t>of</w:t>
      </w:r>
      <w:r>
        <w:rPr>
          <w:spacing w:val="-12"/>
          <w:sz w:val="24"/>
        </w:rPr>
        <w:t> </w:t>
      </w:r>
      <w:r>
        <w:rPr>
          <w:sz w:val="24"/>
        </w:rPr>
        <w:t>Digital</w:t>
      </w:r>
      <w:r>
        <w:rPr>
          <w:spacing w:val="-14"/>
          <w:sz w:val="24"/>
        </w:rPr>
        <w:t> </w:t>
      </w:r>
      <w:r>
        <w:rPr>
          <w:sz w:val="24"/>
        </w:rPr>
        <w:t>Music?”,</w:t>
      </w:r>
      <w:r>
        <w:rPr>
          <w:spacing w:val="-11"/>
          <w:sz w:val="24"/>
        </w:rPr>
        <w:t> </w:t>
      </w:r>
      <w:r>
        <w:rPr>
          <w:i/>
          <w:sz w:val="24"/>
        </w:rPr>
        <w:t>Information</w:t>
      </w:r>
      <w:r>
        <w:rPr>
          <w:i/>
          <w:spacing w:val="-12"/>
          <w:sz w:val="24"/>
        </w:rPr>
        <w:t> </w:t>
      </w:r>
      <w:r>
        <w:rPr>
          <w:i/>
          <w:sz w:val="24"/>
        </w:rPr>
        <w:t>Systems</w:t>
      </w:r>
      <w:r>
        <w:rPr>
          <w:i/>
          <w:spacing w:val="-11"/>
          <w:sz w:val="24"/>
        </w:rPr>
        <w:t> </w:t>
      </w:r>
      <w:r>
        <w:rPr>
          <w:i/>
          <w:sz w:val="24"/>
        </w:rPr>
        <w:t>and</w:t>
      </w:r>
      <w:r>
        <w:rPr>
          <w:i/>
          <w:spacing w:val="-12"/>
          <w:sz w:val="24"/>
        </w:rPr>
        <w:t> </w:t>
      </w:r>
      <w:r>
        <w:rPr>
          <w:i/>
          <w:sz w:val="24"/>
        </w:rPr>
        <w:t>e-Business</w:t>
      </w:r>
      <w:r>
        <w:rPr>
          <w:i/>
          <w:spacing w:val="-11"/>
          <w:sz w:val="24"/>
        </w:rPr>
        <w:t> </w:t>
      </w:r>
      <w:r>
        <w:rPr>
          <w:i/>
          <w:sz w:val="24"/>
        </w:rPr>
        <w:t>Management</w:t>
      </w:r>
      <w:r>
        <w:rPr>
          <w:sz w:val="24"/>
        </w:rPr>
        <w:t>,</w:t>
      </w:r>
      <w:r>
        <w:rPr>
          <w:spacing w:val="-11"/>
          <w:sz w:val="24"/>
        </w:rPr>
        <w:t> </w:t>
      </w:r>
      <w:r>
        <w:rPr>
          <w:sz w:val="24"/>
        </w:rPr>
        <w:t>8(4), 357-377. doi: 10.1007/s10257-009-0116-6</w:t>
      </w:r>
    </w:p>
    <w:p>
      <w:pPr>
        <w:spacing w:before="120"/>
        <w:ind w:left="1256" w:right="310" w:hanging="708"/>
        <w:jc w:val="both"/>
        <w:rPr>
          <w:sz w:val="24"/>
        </w:rPr>
      </w:pPr>
      <w:r>
        <w:rPr>
          <w:sz w:val="24"/>
        </w:rPr>
        <w:t>Hu,</w:t>
      </w:r>
      <w:r>
        <w:rPr>
          <w:spacing w:val="-12"/>
          <w:sz w:val="24"/>
        </w:rPr>
        <w:t> </w:t>
      </w:r>
      <w:r>
        <w:rPr>
          <w:sz w:val="24"/>
        </w:rPr>
        <w:t>N.,</w:t>
      </w:r>
      <w:r>
        <w:rPr>
          <w:spacing w:val="-12"/>
          <w:sz w:val="24"/>
        </w:rPr>
        <w:t> </w:t>
      </w:r>
      <w:r>
        <w:rPr>
          <w:sz w:val="24"/>
        </w:rPr>
        <w:t>Pavlou,</w:t>
      </w:r>
      <w:r>
        <w:rPr>
          <w:spacing w:val="-11"/>
          <w:sz w:val="24"/>
        </w:rPr>
        <w:t> </w:t>
      </w:r>
      <w:r>
        <w:rPr>
          <w:sz w:val="24"/>
        </w:rPr>
        <w:t>P.</w:t>
      </w:r>
      <w:r>
        <w:rPr>
          <w:spacing w:val="-11"/>
          <w:sz w:val="24"/>
        </w:rPr>
        <w:t> </w:t>
      </w:r>
      <w:r>
        <w:rPr>
          <w:sz w:val="24"/>
        </w:rPr>
        <w:t>A.,</w:t>
      </w:r>
      <w:r>
        <w:rPr>
          <w:spacing w:val="-12"/>
          <w:sz w:val="24"/>
        </w:rPr>
        <w:t> </w:t>
      </w:r>
      <w:r>
        <w:rPr>
          <w:sz w:val="24"/>
        </w:rPr>
        <w:t>&amp;</w:t>
      </w:r>
      <w:r>
        <w:rPr>
          <w:spacing w:val="-13"/>
          <w:sz w:val="24"/>
        </w:rPr>
        <w:t> </w:t>
      </w:r>
      <w:r>
        <w:rPr>
          <w:sz w:val="24"/>
        </w:rPr>
        <w:t>Zhang,</w:t>
      </w:r>
      <w:r>
        <w:rPr>
          <w:spacing w:val="-11"/>
          <w:sz w:val="24"/>
        </w:rPr>
        <w:t> </w:t>
      </w:r>
      <w:r>
        <w:rPr>
          <w:sz w:val="24"/>
        </w:rPr>
        <w:t>J.</w:t>
      </w:r>
      <w:r>
        <w:rPr>
          <w:spacing w:val="-11"/>
          <w:sz w:val="24"/>
        </w:rPr>
        <w:t> </w:t>
      </w:r>
      <w:r>
        <w:rPr>
          <w:sz w:val="24"/>
        </w:rPr>
        <w:t>(2006,</w:t>
      </w:r>
      <w:r>
        <w:rPr>
          <w:spacing w:val="-10"/>
          <w:sz w:val="24"/>
        </w:rPr>
        <w:t> </w:t>
      </w:r>
      <w:r>
        <w:rPr>
          <w:sz w:val="24"/>
        </w:rPr>
        <w:t>Haziran).</w:t>
      </w:r>
      <w:r>
        <w:rPr>
          <w:spacing w:val="-11"/>
          <w:sz w:val="24"/>
        </w:rPr>
        <w:t> </w:t>
      </w:r>
      <w:r>
        <w:rPr>
          <w:sz w:val="24"/>
        </w:rPr>
        <w:t>“Can</w:t>
      </w:r>
      <w:r>
        <w:rPr>
          <w:spacing w:val="-11"/>
          <w:sz w:val="24"/>
        </w:rPr>
        <w:t> </w:t>
      </w:r>
      <w:r>
        <w:rPr>
          <w:sz w:val="24"/>
        </w:rPr>
        <w:t>Online</w:t>
      </w:r>
      <w:r>
        <w:rPr>
          <w:spacing w:val="-12"/>
          <w:sz w:val="24"/>
        </w:rPr>
        <w:t> </w:t>
      </w:r>
      <w:r>
        <w:rPr>
          <w:sz w:val="24"/>
        </w:rPr>
        <w:t>Reviews</w:t>
      </w:r>
      <w:r>
        <w:rPr>
          <w:spacing w:val="-11"/>
          <w:sz w:val="24"/>
        </w:rPr>
        <w:t> </w:t>
      </w:r>
      <w:r>
        <w:rPr>
          <w:sz w:val="24"/>
        </w:rPr>
        <w:t>Reveal</w:t>
      </w:r>
      <w:r>
        <w:rPr>
          <w:spacing w:val="-11"/>
          <w:sz w:val="24"/>
        </w:rPr>
        <w:t> </w:t>
      </w:r>
      <w:r>
        <w:rPr>
          <w:sz w:val="24"/>
        </w:rPr>
        <w:t>A</w:t>
      </w:r>
      <w:r>
        <w:rPr>
          <w:spacing w:val="-12"/>
          <w:sz w:val="24"/>
        </w:rPr>
        <w:t> </w:t>
      </w:r>
      <w:r>
        <w:rPr>
          <w:sz w:val="24"/>
        </w:rPr>
        <w:t>Product's True Quality?: Empirical Findings and Analytical Modeling of Online Word-of- Mouth Communication”, </w:t>
      </w:r>
      <w:r>
        <w:rPr>
          <w:i/>
          <w:sz w:val="24"/>
        </w:rPr>
        <w:t>In Proceedings of the 7th ACM conference on Electronic </w:t>
      </w:r>
      <w:r>
        <w:rPr>
          <w:i/>
          <w:sz w:val="24"/>
        </w:rPr>
        <w:t>commerce </w:t>
      </w:r>
      <w:r>
        <w:rPr>
          <w:sz w:val="24"/>
        </w:rPr>
        <w:t>.ACM. ss.</w:t>
      </w:r>
      <w:r>
        <w:rPr>
          <w:spacing w:val="-2"/>
          <w:sz w:val="24"/>
        </w:rPr>
        <w:t> </w:t>
      </w:r>
      <w:r>
        <w:rPr>
          <w:sz w:val="24"/>
        </w:rPr>
        <w:t>324-330.</w:t>
      </w:r>
    </w:p>
    <w:p>
      <w:pPr>
        <w:pStyle w:val="BodyText"/>
        <w:spacing w:before="121"/>
        <w:ind w:left="1256" w:right="317" w:hanging="708"/>
      </w:pPr>
      <w:r>
        <w:rPr/>
        <w:t>Hu, N., Pavlou, P. A., &amp; Zhang, J. (2017). “On Self-Selection Biases in Online Product Reviews”, </w:t>
      </w:r>
      <w:r>
        <w:rPr>
          <w:i/>
        </w:rPr>
        <w:t>MIS Quarterly</w:t>
      </w:r>
      <w:r>
        <w:rPr/>
        <w:t>, 41(2), 449-471. doi: 10.25300/MISQ/2017/41.2.06</w:t>
      </w:r>
    </w:p>
    <w:p>
      <w:pPr>
        <w:pStyle w:val="BodyText"/>
        <w:spacing w:before="120"/>
        <w:ind w:left="1256" w:right="312" w:hanging="708"/>
      </w:pPr>
      <w:r>
        <w:rPr/>
        <w:t>Huang, J. H., &amp; Chen, Y. F. (2006). “Herding in Online Product Choice”, </w:t>
      </w:r>
      <w:r>
        <w:rPr>
          <w:i/>
        </w:rPr>
        <w:t>Psychology &amp; </w:t>
      </w:r>
      <w:r>
        <w:rPr>
          <w:i/>
        </w:rPr>
        <w:t>Marketing</w:t>
      </w:r>
      <w:r>
        <w:rPr/>
        <w:t>, 23(5), 413-428. doi:10.1002/mar.20119</w:t>
      </w:r>
    </w:p>
    <w:p>
      <w:pPr>
        <w:pStyle w:val="BodyText"/>
        <w:spacing w:before="120"/>
        <w:ind w:left="1256" w:right="308" w:hanging="708"/>
      </w:pPr>
      <w:r>
        <w:rPr/>
        <w:t>Huang, L., Tan, C. H., Ke, W., &amp; Wei, K. K. (2013). “Comprehension and Assessment of Product Reviews: A Review-Product Congruity Proposition”, </w:t>
      </w:r>
      <w:r>
        <w:rPr>
          <w:i/>
        </w:rPr>
        <w:t>Journal of </w:t>
      </w:r>
      <w:r>
        <w:rPr>
          <w:i/>
        </w:rPr>
        <w:t>Management Information Systems</w:t>
      </w:r>
      <w:r>
        <w:rPr/>
        <w:t>, 30(3), 311-343. doi:10.2753/MIS0742-</w:t>
      </w:r>
    </w:p>
    <w:p>
      <w:pPr>
        <w:pStyle w:val="BodyText"/>
        <w:ind w:left="1256"/>
        <w:jc w:val="left"/>
      </w:pPr>
      <w:r>
        <w:rPr/>
        <w:t>1222300311</w:t>
      </w:r>
    </w:p>
    <w:p>
      <w:pPr>
        <w:pStyle w:val="BodyText"/>
        <w:spacing w:before="120"/>
        <w:ind w:left="1256" w:right="311" w:hanging="708"/>
      </w:pPr>
      <w:r>
        <w:rPr/>
        <w:t>Huang, P., Lurie, N. H., &amp; Mitra, S. (2009). “Searching for Experience on The Web: An Empirical Examination of Consumer Behavior for Search and Experience Goods”, </w:t>
      </w:r>
      <w:r>
        <w:rPr>
          <w:i/>
        </w:rPr>
        <w:t>Journal of Marketing</w:t>
      </w:r>
      <w:r>
        <w:rPr/>
        <w:t>, 73(2), 55-69. doi:10.1509/jmkg.73.2.55</w:t>
      </w:r>
    </w:p>
    <w:p>
      <w:pPr>
        <w:pStyle w:val="BodyText"/>
        <w:spacing w:before="120"/>
        <w:ind w:left="1256" w:right="308" w:hanging="708"/>
      </w:pPr>
      <w:r>
        <w:rPr/>
        <w:t>Huffman, C., &amp; Kahn, B. E. (1998). “Variety for Sale: Mass Customization or Mass Confusion?” </w:t>
      </w:r>
      <w:r>
        <w:rPr>
          <w:i/>
        </w:rPr>
        <w:t>Journal of Retailing</w:t>
      </w:r>
      <w:r>
        <w:rPr/>
        <w:t>, 74(4), 491-513. doi:10.1016/S0022- 4359(99)80105-5</w:t>
      </w:r>
    </w:p>
    <w:p>
      <w:pPr>
        <w:pStyle w:val="BodyText"/>
        <w:spacing w:before="120"/>
        <w:ind w:left="1256" w:right="311" w:hanging="708"/>
      </w:pPr>
      <w:r>
        <w:rPr/>
        <w:t>Hussain, S., Song, X., &amp; Niu, B. (2019). “Consumers’ Motivational Involvement in eWOM for</w:t>
      </w:r>
      <w:r>
        <w:rPr>
          <w:spacing w:val="-14"/>
        </w:rPr>
        <w:t> </w:t>
      </w:r>
      <w:r>
        <w:rPr/>
        <w:t>Information</w:t>
      </w:r>
      <w:r>
        <w:rPr>
          <w:spacing w:val="-13"/>
        </w:rPr>
        <w:t> </w:t>
      </w:r>
      <w:r>
        <w:rPr/>
        <w:t>Adoption:</w:t>
      </w:r>
      <w:r>
        <w:rPr>
          <w:spacing w:val="-13"/>
        </w:rPr>
        <w:t> </w:t>
      </w:r>
      <w:r>
        <w:rPr/>
        <w:t>The</w:t>
      </w:r>
      <w:r>
        <w:rPr>
          <w:spacing w:val="-15"/>
        </w:rPr>
        <w:t> </w:t>
      </w:r>
      <w:r>
        <w:rPr/>
        <w:t>Mediating</w:t>
      </w:r>
      <w:r>
        <w:rPr>
          <w:spacing w:val="-13"/>
        </w:rPr>
        <w:t> </w:t>
      </w:r>
      <w:r>
        <w:rPr/>
        <w:t>Role</w:t>
      </w:r>
      <w:r>
        <w:rPr>
          <w:spacing w:val="-15"/>
        </w:rPr>
        <w:t> </w:t>
      </w:r>
      <w:r>
        <w:rPr/>
        <w:t>of</w:t>
      </w:r>
      <w:r>
        <w:rPr>
          <w:spacing w:val="-14"/>
        </w:rPr>
        <w:t> </w:t>
      </w:r>
      <w:r>
        <w:rPr/>
        <w:t>Organizational</w:t>
      </w:r>
      <w:r>
        <w:rPr>
          <w:spacing w:val="-13"/>
        </w:rPr>
        <w:t> </w:t>
      </w:r>
      <w:r>
        <w:rPr/>
        <w:t>Motives”,</w:t>
      </w:r>
      <w:r>
        <w:rPr>
          <w:spacing w:val="-11"/>
        </w:rPr>
        <w:t> </w:t>
      </w:r>
      <w:r>
        <w:rPr>
          <w:i/>
        </w:rPr>
        <w:t>Frontiers </w:t>
      </w:r>
      <w:r>
        <w:rPr>
          <w:i/>
        </w:rPr>
        <w:t>in Psychology</w:t>
      </w:r>
      <w:r>
        <w:rPr/>
        <w:t>, 10. doi:</w:t>
      </w:r>
      <w:r>
        <w:rPr>
          <w:spacing w:val="-1"/>
        </w:rPr>
        <w:t> </w:t>
      </w:r>
      <w:r>
        <w:rPr/>
        <w:t>10.3389/fpsyg.2019.03055</w:t>
      </w:r>
    </w:p>
    <w:p>
      <w:pPr>
        <w:spacing w:before="119"/>
        <w:ind w:left="1256" w:right="310" w:hanging="708"/>
        <w:jc w:val="both"/>
        <w:rPr>
          <w:sz w:val="24"/>
        </w:rPr>
      </w:pPr>
      <w:r>
        <w:rPr>
          <w:sz w:val="24"/>
        </w:rPr>
        <w:t>Iyengar,</w:t>
      </w:r>
      <w:r>
        <w:rPr>
          <w:spacing w:val="-9"/>
          <w:sz w:val="24"/>
        </w:rPr>
        <w:t> </w:t>
      </w:r>
      <w:r>
        <w:rPr>
          <w:sz w:val="24"/>
        </w:rPr>
        <w:t>S.</w:t>
      </w:r>
      <w:r>
        <w:rPr>
          <w:spacing w:val="-10"/>
          <w:sz w:val="24"/>
        </w:rPr>
        <w:t> </w:t>
      </w:r>
      <w:r>
        <w:rPr>
          <w:sz w:val="24"/>
        </w:rPr>
        <w:t>S.,</w:t>
      </w:r>
      <w:r>
        <w:rPr>
          <w:spacing w:val="-10"/>
          <w:sz w:val="24"/>
        </w:rPr>
        <w:t> </w:t>
      </w:r>
      <w:r>
        <w:rPr>
          <w:sz w:val="24"/>
        </w:rPr>
        <w:t>&amp;</w:t>
      </w:r>
      <w:r>
        <w:rPr>
          <w:spacing w:val="-10"/>
          <w:sz w:val="24"/>
        </w:rPr>
        <w:t> </w:t>
      </w:r>
      <w:r>
        <w:rPr>
          <w:sz w:val="24"/>
        </w:rPr>
        <w:t>Lepper,</w:t>
      </w:r>
      <w:r>
        <w:rPr>
          <w:spacing w:val="-8"/>
          <w:sz w:val="24"/>
        </w:rPr>
        <w:t> </w:t>
      </w:r>
      <w:r>
        <w:rPr>
          <w:sz w:val="24"/>
        </w:rPr>
        <w:t>M.</w:t>
      </w:r>
      <w:r>
        <w:rPr>
          <w:spacing w:val="-10"/>
          <w:sz w:val="24"/>
        </w:rPr>
        <w:t> </w:t>
      </w:r>
      <w:r>
        <w:rPr>
          <w:sz w:val="24"/>
        </w:rPr>
        <w:t>R.</w:t>
      </w:r>
      <w:r>
        <w:rPr>
          <w:spacing w:val="-10"/>
          <w:sz w:val="24"/>
        </w:rPr>
        <w:t> </w:t>
      </w:r>
      <w:r>
        <w:rPr>
          <w:sz w:val="24"/>
        </w:rPr>
        <w:t>(2000).</w:t>
      </w:r>
      <w:r>
        <w:rPr>
          <w:spacing w:val="-7"/>
          <w:sz w:val="24"/>
        </w:rPr>
        <w:t> </w:t>
      </w:r>
      <w:r>
        <w:rPr>
          <w:sz w:val="24"/>
        </w:rPr>
        <w:t>“When</w:t>
      </w:r>
      <w:r>
        <w:rPr>
          <w:spacing w:val="-9"/>
          <w:sz w:val="24"/>
        </w:rPr>
        <w:t> </w:t>
      </w:r>
      <w:r>
        <w:rPr>
          <w:sz w:val="24"/>
        </w:rPr>
        <w:t>Choice</w:t>
      </w:r>
      <w:r>
        <w:rPr>
          <w:spacing w:val="-12"/>
          <w:sz w:val="24"/>
        </w:rPr>
        <w:t> </w:t>
      </w:r>
      <w:r>
        <w:rPr>
          <w:sz w:val="24"/>
        </w:rPr>
        <w:t>is</w:t>
      </w:r>
      <w:r>
        <w:rPr>
          <w:spacing w:val="-9"/>
          <w:sz w:val="24"/>
        </w:rPr>
        <w:t> </w:t>
      </w:r>
      <w:r>
        <w:rPr>
          <w:sz w:val="24"/>
        </w:rPr>
        <w:t>Demotivating:</w:t>
      </w:r>
      <w:r>
        <w:rPr>
          <w:spacing w:val="-11"/>
          <w:sz w:val="24"/>
        </w:rPr>
        <w:t> </w:t>
      </w:r>
      <w:r>
        <w:rPr>
          <w:sz w:val="24"/>
        </w:rPr>
        <w:t>Can</w:t>
      </w:r>
      <w:r>
        <w:rPr>
          <w:spacing w:val="-9"/>
          <w:sz w:val="24"/>
        </w:rPr>
        <w:t> </w:t>
      </w:r>
      <w:r>
        <w:rPr>
          <w:sz w:val="24"/>
        </w:rPr>
        <w:t>One</w:t>
      </w:r>
      <w:r>
        <w:rPr>
          <w:spacing w:val="-9"/>
          <w:sz w:val="24"/>
        </w:rPr>
        <w:t> </w:t>
      </w:r>
      <w:r>
        <w:rPr>
          <w:sz w:val="24"/>
        </w:rPr>
        <w:t>Desire</w:t>
      </w:r>
      <w:r>
        <w:rPr>
          <w:spacing w:val="-11"/>
          <w:sz w:val="24"/>
        </w:rPr>
        <w:t> </w:t>
      </w:r>
      <w:r>
        <w:rPr>
          <w:sz w:val="24"/>
        </w:rPr>
        <w:t>Too Much of a Good Thing?”, </w:t>
      </w:r>
      <w:r>
        <w:rPr>
          <w:i/>
          <w:sz w:val="24"/>
        </w:rPr>
        <w:t>Journal of Personality and Social Psychology</w:t>
      </w:r>
      <w:r>
        <w:rPr>
          <w:sz w:val="24"/>
        </w:rPr>
        <w:t>, 79(6),</w:t>
      </w:r>
      <w:r>
        <w:rPr>
          <w:spacing w:val="-33"/>
          <w:sz w:val="24"/>
        </w:rPr>
        <w:t> </w:t>
      </w:r>
      <w:r>
        <w:rPr>
          <w:sz w:val="24"/>
        </w:rPr>
        <w:t>995- 1006. doi:10.1037/0022-3514.79.6.995</w:t>
      </w:r>
    </w:p>
    <w:p>
      <w:pPr>
        <w:spacing w:after="0"/>
        <w:jc w:val="both"/>
        <w:rPr>
          <w:sz w:val="24"/>
        </w:rPr>
        <w:sectPr>
          <w:pgSz w:w="12240" w:h="15840"/>
          <w:pgMar w:header="718" w:footer="0" w:top="1300" w:bottom="280" w:left="1720" w:right="820"/>
        </w:sectPr>
      </w:pPr>
    </w:p>
    <w:p>
      <w:pPr>
        <w:pStyle w:val="BodyText"/>
        <w:spacing w:before="100"/>
        <w:ind w:left="1256" w:right="310" w:hanging="708"/>
      </w:pPr>
      <w:r>
        <w:rPr/>
        <w:t>Izberk-Bilgin, E. (2012). “Cyber-Jihad: Islamic Consumer Activism on the Web”. </w:t>
      </w:r>
      <w:r>
        <w:rPr>
          <w:i/>
        </w:rPr>
        <w:t>NA - </w:t>
      </w:r>
      <w:r>
        <w:rPr>
          <w:i/>
        </w:rPr>
        <w:t>Advances</w:t>
      </w:r>
      <w:r>
        <w:rPr>
          <w:i/>
          <w:spacing w:val="-5"/>
        </w:rPr>
        <w:t> </w:t>
      </w:r>
      <w:r>
        <w:rPr>
          <w:i/>
        </w:rPr>
        <w:t>in</w:t>
      </w:r>
      <w:r>
        <w:rPr>
          <w:i/>
          <w:spacing w:val="-4"/>
        </w:rPr>
        <w:t> </w:t>
      </w:r>
      <w:r>
        <w:rPr>
          <w:i/>
        </w:rPr>
        <w:t>Consumer</w:t>
      </w:r>
      <w:r>
        <w:rPr>
          <w:i/>
          <w:spacing w:val="-5"/>
        </w:rPr>
        <w:t> </w:t>
      </w:r>
      <w:r>
        <w:rPr>
          <w:i/>
        </w:rPr>
        <w:t>Research</w:t>
      </w:r>
      <w:r>
        <w:rPr>
          <w:i/>
          <w:spacing w:val="-5"/>
        </w:rPr>
        <w:t> </w:t>
      </w:r>
      <w:r>
        <w:rPr>
          <w:i/>
        </w:rPr>
        <w:t>Volume</w:t>
      </w:r>
      <w:r>
        <w:rPr>
          <w:i/>
          <w:spacing w:val="-5"/>
        </w:rPr>
        <w:t> </w:t>
      </w:r>
      <w:r>
        <w:rPr>
          <w:i/>
        </w:rPr>
        <w:t>40</w:t>
      </w:r>
      <w:r>
        <w:rPr/>
        <w:t>,</w:t>
      </w:r>
      <w:r>
        <w:rPr>
          <w:spacing w:val="-5"/>
        </w:rPr>
        <w:t> </w:t>
      </w:r>
      <w:r>
        <w:rPr/>
        <w:t>eds.</w:t>
      </w:r>
      <w:r>
        <w:rPr>
          <w:spacing w:val="-2"/>
        </w:rPr>
        <w:t> </w:t>
      </w:r>
      <w:r>
        <w:rPr/>
        <w:t>Zeynep</w:t>
      </w:r>
      <w:r>
        <w:rPr>
          <w:spacing w:val="-5"/>
        </w:rPr>
        <w:t> </w:t>
      </w:r>
      <w:r>
        <w:rPr/>
        <w:t>Gürhan-Canli,</w:t>
      </w:r>
      <w:r>
        <w:rPr>
          <w:spacing w:val="-4"/>
        </w:rPr>
        <w:t> </w:t>
      </w:r>
      <w:r>
        <w:rPr/>
        <w:t>Cele</w:t>
      </w:r>
      <w:r>
        <w:rPr>
          <w:spacing w:val="-5"/>
        </w:rPr>
        <w:t> </w:t>
      </w:r>
      <w:r>
        <w:rPr/>
        <w:t>Otnes, and Rui (Juliet) Zhu, Duluth, MN : Association for Consumer Research,</w:t>
      </w:r>
      <w:r>
        <w:rPr>
          <w:spacing w:val="-4"/>
        </w:rPr>
        <w:t> </w:t>
      </w:r>
      <w:r>
        <w:rPr/>
        <w:t>532-539.</w:t>
      </w:r>
    </w:p>
    <w:p>
      <w:pPr>
        <w:pStyle w:val="BodyText"/>
        <w:spacing w:before="121"/>
        <w:ind w:left="1256" w:right="312" w:hanging="708"/>
      </w:pPr>
      <w:r>
        <w:rPr/>
        <w:t>Jabr,</w:t>
      </w:r>
      <w:r>
        <w:rPr>
          <w:spacing w:val="-12"/>
        </w:rPr>
        <w:t> </w:t>
      </w:r>
      <w:r>
        <w:rPr/>
        <w:t>W.,</w:t>
      </w:r>
      <w:r>
        <w:rPr>
          <w:spacing w:val="-11"/>
        </w:rPr>
        <w:t> </w:t>
      </w:r>
      <w:r>
        <w:rPr/>
        <w:t>&amp;</w:t>
      </w:r>
      <w:r>
        <w:rPr>
          <w:spacing w:val="-11"/>
        </w:rPr>
        <w:t> </w:t>
      </w:r>
      <w:r>
        <w:rPr/>
        <w:t>Zheng,</w:t>
      </w:r>
      <w:r>
        <w:rPr>
          <w:spacing w:val="-10"/>
        </w:rPr>
        <w:t> </w:t>
      </w:r>
      <w:r>
        <w:rPr/>
        <w:t>Z.</w:t>
      </w:r>
      <w:r>
        <w:rPr>
          <w:spacing w:val="-11"/>
        </w:rPr>
        <w:t> </w:t>
      </w:r>
      <w:r>
        <w:rPr/>
        <w:t>(2014).</w:t>
      </w:r>
      <w:r>
        <w:rPr>
          <w:spacing w:val="-11"/>
        </w:rPr>
        <w:t> </w:t>
      </w:r>
      <w:r>
        <w:rPr/>
        <w:t>“Know</w:t>
      </w:r>
      <w:r>
        <w:rPr>
          <w:spacing w:val="-9"/>
        </w:rPr>
        <w:t> </w:t>
      </w:r>
      <w:r>
        <w:rPr/>
        <w:t>Yourself</w:t>
      </w:r>
      <w:r>
        <w:rPr>
          <w:spacing w:val="-9"/>
        </w:rPr>
        <w:t> </w:t>
      </w:r>
      <w:r>
        <w:rPr/>
        <w:t>and</w:t>
      </w:r>
      <w:r>
        <w:rPr>
          <w:spacing w:val="-9"/>
        </w:rPr>
        <w:t> </w:t>
      </w:r>
      <w:r>
        <w:rPr/>
        <w:t>Know</w:t>
      </w:r>
      <w:r>
        <w:rPr>
          <w:spacing w:val="-11"/>
        </w:rPr>
        <w:t> </w:t>
      </w:r>
      <w:r>
        <w:rPr/>
        <w:t>Your</w:t>
      </w:r>
      <w:r>
        <w:rPr>
          <w:spacing w:val="-12"/>
        </w:rPr>
        <w:t> </w:t>
      </w:r>
      <w:r>
        <w:rPr/>
        <w:t>Enemy:</w:t>
      </w:r>
      <w:r>
        <w:rPr>
          <w:spacing w:val="-10"/>
        </w:rPr>
        <w:t> </w:t>
      </w:r>
      <w:r>
        <w:rPr/>
        <w:t>An</w:t>
      </w:r>
      <w:r>
        <w:rPr>
          <w:spacing w:val="-8"/>
        </w:rPr>
        <w:t> </w:t>
      </w:r>
      <w:r>
        <w:rPr/>
        <w:t>Analysis</w:t>
      </w:r>
      <w:r>
        <w:rPr>
          <w:spacing w:val="-11"/>
        </w:rPr>
        <w:t> </w:t>
      </w:r>
      <w:r>
        <w:rPr/>
        <w:t>of</w:t>
      </w:r>
      <w:r>
        <w:rPr>
          <w:spacing w:val="-12"/>
        </w:rPr>
        <w:t> </w:t>
      </w:r>
      <w:r>
        <w:rPr/>
        <w:t>Firm Recommendations and Consumer Reviews in a Competitive Environment”, </w:t>
      </w:r>
      <w:r>
        <w:rPr>
          <w:i/>
        </w:rPr>
        <w:t>MIS </w:t>
      </w:r>
      <w:r>
        <w:rPr>
          <w:i/>
        </w:rPr>
        <w:t>Quarterly</w:t>
      </w:r>
      <w:r>
        <w:rPr/>
        <w:t>, 38(3), 635-654.</w:t>
      </w:r>
      <w:r>
        <w:rPr>
          <w:spacing w:val="-1"/>
        </w:rPr>
        <w:t> </w:t>
      </w:r>
      <w:r>
        <w:rPr/>
        <w:t>doi:10.25300/MISQ/2014/38.3.01</w:t>
      </w:r>
    </w:p>
    <w:p>
      <w:pPr>
        <w:pStyle w:val="BodyText"/>
        <w:spacing w:before="120"/>
        <w:ind w:left="1256" w:right="313" w:hanging="708"/>
      </w:pPr>
      <w:r>
        <w:rPr/>
        <w:t>Jacoby, J., Szybillo, G., &amp; Berning, C. (1976). “Time and Consumer Behavior: An Interdisciplinary Overview”, </w:t>
      </w:r>
      <w:r>
        <w:rPr>
          <w:i/>
        </w:rPr>
        <w:t>Journal of Consumer Research</w:t>
      </w:r>
      <w:r>
        <w:rPr/>
        <w:t>, 2(4), 320-339. doi:10.1086/208644</w:t>
      </w:r>
    </w:p>
    <w:p>
      <w:pPr>
        <w:pStyle w:val="BodyText"/>
        <w:spacing w:before="120"/>
        <w:ind w:left="1256" w:right="313" w:hanging="708"/>
      </w:pPr>
      <w:r>
        <w:rPr/>
        <w:t>Jaikumar, S. (2019). “How Do Consumers Choose Sellers In E-Marketplaces?: The Role of Display</w:t>
      </w:r>
      <w:r>
        <w:rPr>
          <w:spacing w:val="-9"/>
        </w:rPr>
        <w:t> </w:t>
      </w:r>
      <w:r>
        <w:rPr/>
        <w:t>Price</w:t>
      </w:r>
      <w:r>
        <w:rPr>
          <w:spacing w:val="-10"/>
        </w:rPr>
        <w:t> </w:t>
      </w:r>
      <w:r>
        <w:rPr/>
        <w:t>And</w:t>
      </w:r>
      <w:r>
        <w:rPr>
          <w:spacing w:val="-6"/>
        </w:rPr>
        <w:t> </w:t>
      </w:r>
      <w:r>
        <w:rPr/>
        <w:t>Sellers'</w:t>
      </w:r>
      <w:r>
        <w:rPr>
          <w:spacing w:val="-8"/>
        </w:rPr>
        <w:t> </w:t>
      </w:r>
      <w:r>
        <w:rPr/>
        <w:t>Review</w:t>
      </w:r>
      <w:r>
        <w:rPr>
          <w:spacing w:val="-10"/>
        </w:rPr>
        <w:t> </w:t>
      </w:r>
      <w:r>
        <w:rPr/>
        <w:t>Volume”,</w:t>
      </w:r>
      <w:r>
        <w:rPr>
          <w:spacing w:val="-8"/>
        </w:rPr>
        <w:t> </w:t>
      </w:r>
      <w:r>
        <w:rPr>
          <w:i/>
        </w:rPr>
        <w:t>Journal</w:t>
      </w:r>
      <w:r>
        <w:rPr>
          <w:i/>
          <w:spacing w:val="-8"/>
        </w:rPr>
        <w:t> </w:t>
      </w:r>
      <w:r>
        <w:rPr>
          <w:i/>
        </w:rPr>
        <w:t>of</w:t>
      </w:r>
      <w:r>
        <w:rPr>
          <w:i/>
          <w:spacing w:val="-7"/>
        </w:rPr>
        <w:t> </w:t>
      </w:r>
      <w:r>
        <w:rPr>
          <w:i/>
        </w:rPr>
        <w:t>Advertising</w:t>
      </w:r>
      <w:r>
        <w:rPr>
          <w:i/>
          <w:spacing w:val="-8"/>
        </w:rPr>
        <w:t> </w:t>
      </w:r>
      <w:r>
        <w:rPr>
          <w:i/>
        </w:rPr>
        <w:t>Research</w:t>
      </w:r>
      <w:r>
        <w:rPr/>
        <w:t>,</w:t>
      </w:r>
      <w:r>
        <w:rPr>
          <w:spacing w:val="-9"/>
        </w:rPr>
        <w:t> </w:t>
      </w:r>
      <w:r>
        <w:rPr/>
        <w:t>59(2), 232-241.</w:t>
      </w:r>
      <w:r>
        <w:rPr>
          <w:spacing w:val="-1"/>
        </w:rPr>
        <w:t> </w:t>
      </w:r>
      <w:r>
        <w:rPr/>
        <w:t>doi:10.2501/JAR-2018-028</w:t>
      </w:r>
    </w:p>
    <w:p>
      <w:pPr>
        <w:spacing w:before="120"/>
        <w:ind w:left="1256" w:right="314" w:hanging="708"/>
        <w:jc w:val="both"/>
        <w:rPr>
          <w:sz w:val="24"/>
        </w:rPr>
      </w:pPr>
      <w:r>
        <w:rPr>
          <w:sz w:val="24"/>
        </w:rPr>
        <w:t>Jansen, B. J., Zhang, M., Sobel, K., &amp; Chowdury, A. (2009). “Twitter Power: Tweets as Electronic Word of Mouth”, </w:t>
      </w:r>
      <w:r>
        <w:rPr>
          <w:i/>
          <w:sz w:val="24"/>
        </w:rPr>
        <w:t>Journal of the Association for Information Science and </w:t>
      </w:r>
      <w:r>
        <w:rPr>
          <w:i/>
          <w:sz w:val="24"/>
        </w:rPr>
        <w:t>Technology</w:t>
      </w:r>
      <w:r>
        <w:rPr>
          <w:sz w:val="24"/>
        </w:rPr>
        <w:t>, 60(11), 2169-2188. doi:10.1002/asi.21149</w:t>
      </w:r>
    </w:p>
    <w:p>
      <w:pPr>
        <w:pStyle w:val="BodyText"/>
        <w:spacing w:before="120"/>
        <w:ind w:left="1256" w:right="311" w:hanging="708"/>
      </w:pPr>
      <w:r>
        <w:rPr/>
        <w:t>Jiménez, F. R., &amp; Mendoza, N. A. (2013). “Too Popular to Ignore: The Influence of Online Reviews on Purchase Intentions of Search and Experience Products”, </w:t>
      </w:r>
      <w:r>
        <w:rPr>
          <w:i/>
        </w:rPr>
        <w:t>Journal of </w:t>
      </w:r>
      <w:r>
        <w:rPr>
          <w:i/>
        </w:rPr>
        <w:t>Interactive Marketing</w:t>
      </w:r>
      <w:r>
        <w:rPr/>
        <w:t>, 27(3), 226-235. doi:10.1016/j.intmar.2013.04.004</w:t>
      </w:r>
    </w:p>
    <w:p>
      <w:pPr>
        <w:pStyle w:val="BodyText"/>
        <w:spacing w:before="121"/>
        <w:ind w:left="1256" w:right="311" w:hanging="708"/>
        <w:jc w:val="left"/>
      </w:pPr>
      <w:r>
        <w:rPr/>
        <w:t>Kadak, Ş. (15 Aralık 2018). “Rekor Büyümenin Sırrı Temizlikçi Kadınlar Mı?”, </w:t>
      </w:r>
      <w:r>
        <w:rPr>
          <w:i/>
        </w:rPr>
        <w:t>Sabah </w:t>
      </w:r>
      <w:r>
        <w:rPr/>
        <w:t>htt</w:t>
      </w:r>
      <w:hyperlink r:id="rId41">
        <w:r>
          <w:rPr/>
          <w:t>ps://www.sabah.com.tr/ya</w:t>
        </w:r>
      </w:hyperlink>
      <w:r>
        <w:rPr/>
        <w:t>z</w:t>
      </w:r>
      <w:hyperlink r:id="rId41">
        <w:r>
          <w:rPr/>
          <w:t>arlar/kadak/2018/12/15/rekor-buyumenin-sirri-</w:t>
        </w:r>
      </w:hyperlink>
      <w:r>
        <w:rPr/>
        <w:t> temizlikci-kadinlar-mi (21.12.2018)</w:t>
      </w:r>
    </w:p>
    <w:p>
      <w:pPr>
        <w:pStyle w:val="BodyText"/>
        <w:spacing w:before="120"/>
        <w:ind w:left="1256" w:right="312" w:hanging="708"/>
        <w:jc w:val="left"/>
      </w:pPr>
      <w:r>
        <w:rPr/>
        <w:t>Kahneman, D., &amp; Tversky, A. (1979) “Prospect Theory: An Analysis of Decision Under Risk”, </w:t>
      </w:r>
      <w:r>
        <w:rPr>
          <w:i/>
        </w:rPr>
        <w:t>Econometrica</w:t>
      </w:r>
      <w:r>
        <w:rPr/>
        <w:t>, 47(2), 263–291.</w:t>
      </w:r>
    </w:p>
    <w:p>
      <w:pPr>
        <w:pStyle w:val="BodyText"/>
        <w:spacing w:before="120"/>
        <w:ind w:left="1256" w:right="312" w:hanging="708"/>
        <w:jc w:val="left"/>
      </w:pPr>
      <w:r>
        <w:rPr/>
        <w:t>Kardes, F. R., Cronley, M. L., &amp; Cline, T. W. (2011). </w:t>
      </w:r>
      <w:r>
        <w:rPr>
          <w:i/>
        </w:rPr>
        <w:t>Consumer Behavior</w:t>
      </w:r>
      <w:r>
        <w:rPr/>
        <w:t>, South-Western, Cengage Learning, Mason, OH.</w:t>
      </w:r>
    </w:p>
    <w:p>
      <w:pPr>
        <w:pStyle w:val="BodyText"/>
        <w:spacing w:before="120"/>
        <w:ind w:left="1256" w:right="312" w:hanging="708"/>
        <w:jc w:val="left"/>
      </w:pPr>
      <w:r>
        <w:rPr/>
        <w:t>Keeney, R. (1999). “The Value of Internet Commerce to the Customer”, </w:t>
      </w:r>
      <w:r>
        <w:rPr>
          <w:i/>
        </w:rPr>
        <w:t>Management </w:t>
      </w:r>
      <w:r>
        <w:rPr>
          <w:i/>
        </w:rPr>
        <w:t>Science</w:t>
      </w:r>
      <w:r>
        <w:rPr/>
        <w:t>, 45(4), 533-542. doi:10.1287/mnsc.45.4.533</w:t>
      </w:r>
    </w:p>
    <w:p>
      <w:pPr>
        <w:pStyle w:val="BodyText"/>
        <w:spacing w:before="120"/>
        <w:ind w:left="1256" w:right="309" w:hanging="708"/>
        <w:jc w:val="left"/>
      </w:pPr>
      <w:r>
        <w:rPr/>
        <w:t>Kemp, S. (17 Temmuz 2019). “Global Social Media Users Pass 3.5 Billion”, https://wearesocial.com/blog/2019/07/global-social-media-users-pass-3-5-billion (04/09/2019)</w:t>
      </w:r>
    </w:p>
    <w:p>
      <w:pPr>
        <w:pStyle w:val="BodyText"/>
        <w:spacing w:before="120"/>
        <w:ind w:left="1256" w:right="311" w:hanging="708"/>
      </w:pPr>
      <w:r>
        <w:rPr/>
        <w:t>Kim, D. J., Ferrin, D. L., &amp; Rao, H. R. (2008). “A Trust-Based Consumer Decision-Making Model in Electronic Commerce: The Role of Trust, Perceived Risk, and Their Antecedents”, </w:t>
      </w:r>
      <w:r>
        <w:rPr>
          <w:i/>
        </w:rPr>
        <w:t>Decision Support Systems</w:t>
      </w:r>
      <w:r>
        <w:rPr/>
        <w:t>, 44(2), 544-564.</w:t>
      </w:r>
    </w:p>
    <w:p>
      <w:pPr>
        <w:pStyle w:val="BodyText"/>
        <w:ind w:left="1256"/>
        <w:jc w:val="left"/>
      </w:pPr>
      <w:r>
        <w:rPr/>
        <w:t>doi:10.1016/j.dss.2007.07.001</w:t>
      </w:r>
    </w:p>
    <w:p>
      <w:pPr>
        <w:spacing w:before="119"/>
        <w:ind w:left="1256" w:right="311" w:hanging="708"/>
        <w:jc w:val="both"/>
        <w:rPr>
          <w:sz w:val="24"/>
        </w:rPr>
      </w:pPr>
      <w:r>
        <w:rPr>
          <w:sz w:val="24"/>
        </w:rPr>
        <w:t>Kim, W. G., &amp; Park, S. A. (2017). “Social Media Review Rating Versus Traditional Customer Satisfaction: Which One Has More İncremental Predictive Power in Explaining</w:t>
      </w:r>
      <w:r>
        <w:rPr>
          <w:spacing w:val="-9"/>
          <w:sz w:val="24"/>
        </w:rPr>
        <w:t> </w:t>
      </w:r>
      <w:r>
        <w:rPr>
          <w:sz w:val="24"/>
        </w:rPr>
        <w:t>Hotel</w:t>
      </w:r>
      <w:r>
        <w:rPr>
          <w:spacing w:val="-7"/>
          <w:sz w:val="24"/>
        </w:rPr>
        <w:t> </w:t>
      </w:r>
      <w:r>
        <w:rPr>
          <w:sz w:val="24"/>
        </w:rPr>
        <w:t>Performance?”,</w:t>
      </w:r>
      <w:r>
        <w:rPr>
          <w:spacing w:val="-9"/>
          <w:sz w:val="24"/>
        </w:rPr>
        <w:t> </w:t>
      </w:r>
      <w:r>
        <w:rPr>
          <w:i/>
          <w:sz w:val="24"/>
        </w:rPr>
        <w:t>International</w:t>
      </w:r>
      <w:r>
        <w:rPr>
          <w:i/>
          <w:spacing w:val="-7"/>
          <w:sz w:val="24"/>
        </w:rPr>
        <w:t> </w:t>
      </w:r>
      <w:r>
        <w:rPr>
          <w:i/>
          <w:sz w:val="24"/>
        </w:rPr>
        <w:t>Journal</w:t>
      </w:r>
      <w:r>
        <w:rPr>
          <w:i/>
          <w:spacing w:val="-8"/>
          <w:sz w:val="24"/>
        </w:rPr>
        <w:t> </w:t>
      </w:r>
      <w:r>
        <w:rPr>
          <w:i/>
          <w:sz w:val="24"/>
        </w:rPr>
        <w:t>of</w:t>
      </w:r>
      <w:r>
        <w:rPr>
          <w:i/>
          <w:spacing w:val="-7"/>
          <w:sz w:val="24"/>
        </w:rPr>
        <w:t> </w:t>
      </w:r>
      <w:r>
        <w:rPr>
          <w:i/>
          <w:sz w:val="24"/>
        </w:rPr>
        <w:t>Contemporary</w:t>
      </w:r>
      <w:r>
        <w:rPr>
          <w:i/>
          <w:spacing w:val="-7"/>
          <w:sz w:val="24"/>
        </w:rPr>
        <w:t> </w:t>
      </w:r>
      <w:r>
        <w:rPr>
          <w:i/>
          <w:sz w:val="24"/>
        </w:rPr>
        <w:t>Hospitality </w:t>
      </w:r>
      <w:r>
        <w:rPr>
          <w:i/>
          <w:sz w:val="24"/>
        </w:rPr>
        <w:t>Management</w:t>
      </w:r>
      <w:r>
        <w:rPr>
          <w:sz w:val="24"/>
        </w:rPr>
        <w:t>, 29(2), 784-802.</w:t>
      </w:r>
      <w:r>
        <w:rPr>
          <w:spacing w:val="-1"/>
          <w:sz w:val="24"/>
        </w:rPr>
        <w:t> </w:t>
      </w:r>
      <w:r>
        <w:rPr>
          <w:sz w:val="24"/>
        </w:rPr>
        <w:t>doi:10.1108/IJCHM-11-2015-0627</w:t>
      </w:r>
    </w:p>
    <w:p>
      <w:pPr>
        <w:spacing w:before="120"/>
        <w:ind w:left="1256" w:right="308" w:hanging="708"/>
        <w:jc w:val="both"/>
        <w:rPr>
          <w:sz w:val="24"/>
        </w:rPr>
      </w:pPr>
      <w:r>
        <w:rPr>
          <w:sz w:val="24"/>
        </w:rPr>
        <w:t>Kim, Y., &amp; Peterson, R. A. (2017). “A Meta-analysis of Online Trust Relationships in E- commerce”, </w:t>
      </w:r>
      <w:r>
        <w:rPr>
          <w:i/>
          <w:sz w:val="24"/>
        </w:rPr>
        <w:t>Journal of Interactive Marketing</w:t>
      </w:r>
      <w:r>
        <w:rPr>
          <w:sz w:val="24"/>
        </w:rPr>
        <w:t>, 38, 44-54.</w:t>
      </w:r>
    </w:p>
    <w:p>
      <w:pPr>
        <w:pStyle w:val="BodyText"/>
        <w:ind w:left="1256"/>
        <w:jc w:val="left"/>
      </w:pPr>
      <w:r>
        <w:rPr/>
        <w:t>doi:10.1016/j.intmar.2017.01.001</w:t>
      </w:r>
    </w:p>
    <w:p>
      <w:pPr>
        <w:spacing w:after="0"/>
        <w:jc w:val="left"/>
        <w:sectPr>
          <w:pgSz w:w="12240" w:h="15840"/>
          <w:pgMar w:header="718" w:footer="0" w:top="1300" w:bottom="280" w:left="1720" w:right="820"/>
        </w:sectPr>
      </w:pPr>
    </w:p>
    <w:p>
      <w:pPr>
        <w:pStyle w:val="BodyText"/>
        <w:spacing w:before="100"/>
        <w:ind w:left="1256" w:right="310" w:hanging="708"/>
      </w:pPr>
      <w:r>
        <w:rPr/>
        <w:t>King, R. A., Racherla, P., &amp; Bush, V. D. (2014). “What We Know and Don't Know About Online Word-of-Mouth: A Review and Synthesis of The Literature”, </w:t>
      </w:r>
      <w:r>
        <w:rPr>
          <w:i/>
        </w:rPr>
        <w:t>Journal of </w:t>
      </w:r>
      <w:r>
        <w:rPr>
          <w:i/>
        </w:rPr>
        <w:t>Interactive Marketing</w:t>
      </w:r>
      <w:r>
        <w:rPr/>
        <w:t>, 28(3), 167-183. doi:10.1016/j.intmar.2014.02.001</w:t>
      </w:r>
    </w:p>
    <w:p>
      <w:pPr>
        <w:spacing w:before="121"/>
        <w:ind w:left="1256" w:right="310" w:hanging="708"/>
        <w:jc w:val="both"/>
        <w:rPr>
          <w:sz w:val="24"/>
        </w:rPr>
      </w:pPr>
      <w:r>
        <w:rPr>
          <w:sz w:val="24"/>
        </w:rPr>
        <w:t>Kocas, C., &amp; Akkan, C. (2016). “How Trending Status and Online Ratings Affect Prices of Homogeneous</w:t>
      </w:r>
      <w:r>
        <w:rPr>
          <w:spacing w:val="-9"/>
          <w:sz w:val="24"/>
        </w:rPr>
        <w:t> </w:t>
      </w:r>
      <w:r>
        <w:rPr>
          <w:sz w:val="24"/>
        </w:rPr>
        <w:t>Products”,</w:t>
      </w:r>
      <w:r>
        <w:rPr>
          <w:spacing w:val="-6"/>
          <w:sz w:val="24"/>
        </w:rPr>
        <w:t> </w:t>
      </w:r>
      <w:r>
        <w:rPr>
          <w:i/>
          <w:sz w:val="24"/>
        </w:rPr>
        <w:t>International</w:t>
      </w:r>
      <w:r>
        <w:rPr>
          <w:i/>
          <w:spacing w:val="-9"/>
          <w:sz w:val="24"/>
        </w:rPr>
        <w:t> </w:t>
      </w:r>
      <w:r>
        <w:rPr>
          <w:i/>
          <w:sz w:val="24"/>
        </w:rPr>
        <w:t>Journal</w:t>
      </w:r>
      <w:r>
        <w:rPr>
          <w:i/>
          <w:spacing w:val="-8"/>
          <w:sz w:val="24"/>
        </w:rPr>
        <w:t> </w:t>
      </w:r>
      <w:r>
        <w:rPr>
          <w:i/>
          <w:sz w:val="24"/>
        </w:rPr>
        <w:t>of</w:t>
      </w:r>
      <w:r>
        <w:rPr>
          <w:i/>
          <w:spacing w:val="-11"/>
          <w:sz w:val="24"/>
        </w:rPr>
        <w:t> </w:t>
      </w:r>
      <w:r>
        <w:rPr>
          <w:i/>
          <w:sz w:val="24"/>
        </w:rPr>
        <w:t>Electronic</w:t>
      </w:r>
      <w:r>
        <w:rPr>
          <w:i/>
          <w:spacing w:val="-11"/>
          <w:sz w:val="24"/>
        </w:rPr>
        <w:t> </w:t>
      </w:r>
      <w:r>
        <w:rPr>
          <w:i/>
          <w:sz w:val="24"/>
        </w:rPr>
        <w:t>Commerce</w:t>
      </w:r>
      <w:r>
        <w:rPr>
          <w:sz w:val="24"/>
        </w:rPr>
        <w:t>,</w:t>
      </w:r>
      <w:r>
        <w:rPr>
          <w:spacing w:val="-9"/>
          <w:sz w:val="24"/>
        </w:rPr>
        <w:t> </w:t>
      </w:r>
      <w:r>
        <w:rPr>
          <w:sz w:val="24"/>
        </w:rPr>
        <w:t>20(3),</w:t>
      </w:r>
      <w:r>
        <w:rPr>
          <w:spacing w:val="-9"/>
          <w:sz w:val="24"/>
        </w:rPr>
        <w:t> </w:t>
      </w:r>
      <w:r>
        <w:rPr>
          <w:sz w:val="24"/>
        </w:rPr>
        <w:t>384- 407. doi:</w:t>
      </w:r>
      <w:r>
        <w:rPr>
          <w:spacing w:val="-1"/>
          <w:sz w:val="24"/>
        </w:rPr>
        <w:t> </w:t>
      </w:r>
      <w:r>
        <w:rPr>
          <w:sz w:val="24"/>
        </w:rPr>
        <w:t>10.1080/10864415.2016.1121765</w:t>
      </w:r>
    </w:p>
    <w:p>
      <w:pPr>
        <w:spacing w:before="120"/>
        <w:ind w:left="548" w:right="0" w:firstLine="0"/>
        <w:jc w:val="both"/>
        <w:rPr>
          <w:sz w:val="24"/>
        </w:rPr>
      </w:pPr>
      <w:r>
        <w:rPr>
          <w:sz w:val="24"/>
        </w:rPr>
        <w:t>Kotler, P. &amp; Armstrong, G. (2016). </w:t>
      </w:r>
      <w:r>
        <w:rPr>
          <w:i/>
          <w:sz w:val="24"/>
        </w:rPr>
        <w:t>Principles of Marketing</w:t>
      </w:r>
      <w:r>
        <w:rPr>
          <w:sz w:val="24"/>
        </w:rPr>
        <w:t>, Pearson, Essex.</w:t>
      </w:r>
    </w:p>
    <w:p>
      <w:pPr>
        <w:pStyle w:val="BodyText"/>
        <w:spacing w:before="120"/>
        <w:ind w:left="1256" w:right="309" w:hanging="708"/>
      </w:pPr>
      <w:r>
        <w:rPr/>
        <w:t>Kozinets, R. V., De Valck, K., Wojnicki, A. C., &amp; Wilner, S. J. (2010). “Networked Narratives: Understanding Word-of-Mouth Marketing in Online Communities”, </w:t>
      </w:r>
      <w:r>
        <w:rPr>
          <w:i/>
        </w:rPr>
        <w:t>Journal of Marketing</w:t>
      </w:r>
      <w:r>
        <w:rPr/>
        <w:t>, 74(2), 71-89. doi: 10.1509/jm.74.2.71</w:t>
      </w:r>
    </w:p>
    <w:p>
      <w:pPr>
        <w:spacing w:before="120"/>
        <w:ind w:left="1256" w:right="311" w:hanging="708"/>
        <w:jc w:val="both"/>
        <w:rPr>
          <w:sz w:val="24"/>
        </w:rPr>
      </w:pPr>
      <w:r>
        <w:rPr>
          <w:sz w:val="24"/>
        </w:rPr>
        <w:t>Köseoğlu, A. (2019). </w:t>
      </w:r>
      <w:r>
        <w:rPr>
          <w:i/>
          <w:sz w:val="24"/>
        </w:rPr>
        <w:t>İnovasyon ve Büyüme İlişkisinde Firma Dinamiklerinin Rolü: En </w:t>
      </w:r>
      <w:r>
        <w:rPr>
          <w:i/>
          <w:sz w:val="24"/>
        </w:rPr>
        <w:t>Yüksek Ar-Ge Yatırımcısı Firmalar Üzerine Ampirik Kanıtlar</w:t>
      </w:r>
      <w:r>
        <w:rPr>
          <w:sz w:val="24"/>
        </w:rPr>
        <w:t>, (Basılmamış Doktora Tezi), Erciyes Üniversitesi Sosyal Bilimler Enstitüsü, Kayseri.</w:t>
      </w:r>
    </w:p>
    <w:p>
      <w:pPr>
        <w:pStyle w:val="BodyText"/>
        <w:spacing w:before="120"/>
        <w:ind w:left="1256" w:right="310" w:hanging="708"/>
      </w:pPr>
      <w:r>
        <w:rPr/>
        <w:t>Kreis, H., &amp; Gottschalk, S. A. (2015). “Relating eWOM Motives to eWOM Channel Choice—Why Do We Post Where We Do?”, </w:t>
      </w:r>
      <w:r>
        <w:rPr>
          <w:i/>
        </w:rPr>
        <w:t>Schmalenbach Business Review</w:t>
      </w:r>
      <w:r>
        <w:rPr/>
        <w:t>,</w:t>
      </w:r>
      <w:r>
        <w:rPr>
          <w:spacing w:val="-17"/>
        </w:rPr>
        <w:t> </w:t>
      </w:r>
      <w:r>
        <w:rPr/>
        <w:t>67(4), 406-429.</w:t>
      </w:r>
      <w:r>
        <w:rPr>
          <w:spacing w:val="-1"/>
        </w:rPr>
        <w:t> </w:t>
      </w:r>
      <w:r>
        <w:rPr/>
        <w:t>doi:10.1007/BF03396927</w:t>
      </w:r>
    </w:p>
    <w:p>
      <w:pPr>
        <w:spacing w:before="121"/>
        <w:ind w:left="1256" w:right="313" w:hanging="708"/>
        <w:jc w:val="both"/>
        <w:rPr>
          <w:i/>
          <w:sz w:val="24"/>
        </w:rPr>
      </w:pPr>
      <w:r>
        <w:rPr>
          <w:sz w:val="24"/>
        </w:rPr>
        <w:t>Kripfganz,</w:t>
      </w:r>
      <w:r>
        <w:rPr>
          <w:spacing w:val="-14"/>
          <w:sz w:val="24"/>
        </w:rPr>
        <w:t> </w:t>
      </w:r>
      <w:r>
        <w:rPr>
          <w:sz w:val="24"/>
        </w:rPr>
        <w:t>S.</w:t>
      </w:r>
      <w:r>
        <w:rPr>
          <w:spacing w:val="-15"/>
          <w:sz w:val="24"/>
        </w:rPr>
        <w:t> </w:t>
      </w:r>
      <w:r>
        <w:rPr>
          <w:sz w:val="24"/>
        </w:rPr>
        <w:t>(2019).</w:t>
      </w:r>
      <w:r>
        <w:rPr>
          <w:spacing w:val="-15"/>
          <w:sz w:val="24"/>
        </w:rPr>
        <w:t> </w:t>
      </w:r>
      <w:r>
        <w:rPr>
          <w:sz w:val="24"/>
        </w:rPr>
        <w:t>“Generalized</w:t>
      </w:r>
      <w:r>
        <w:rPr>
          <w:spacing w:val="-12"/>
          <w:sz w:val="24"/>
        </w:rPr>
        <w:t> </w:t>
      </w:r>
      <w:r>
        <w:rPr>
          <w:sz w:val="24"/>
        </w:rPr>
        <w:t>Method</w:t>
      </w:r>
      <w:r>
        <w:rPr>
          <w:spacing w:val="-15"/>
          <w:sz w:val="24"/>
        </w:rPr>
        <w:t> </w:t>
      </w:r>
      <w:r>
        <w:rPr>
          <w:sz w:val="24"/>
        </w:rPr>
        <w:t>of</w:t>
      </w:r>
      <w:r>
        <w:rPr>
          <w:spacing w:val="-15"/>
          <w:sz w:val="24"/>
        </w:rPr>
        <w:t> </w:t>
      </w:r>
      <w:r>
        <w:rPr>
          <w:sz w:val="24"/>
        </w:rPr>
        <w:t>Moments</w:t>
      </w:r>
      <w:r>
        <w:rPr>
          <w:spacing w:val="-16"/>
          <w:sz w:val="24"/>
        </w:rPr>
        <w:t> </w:t>
      </w:r>
      <w:r>
        <w:rPr>
          <w:sz w:val="24"/>
        </w:rPr>
        <w:t>Estimation</w:t>
      </w:r>
      <w:r>
        <w:rPr>
          <w:spacing w:val="-14"/>
          <w:sz w:val="24"/>
        </w:rPr>
        <w:t> </w:t>
      </w:r>
      <w:r>
        <w:rPr>
          <w:sz w:val="24"/>
        </w:rPr>
        <w:t>of</w:t>
      </w:r>
      <w:r>
        <w:rPr>
          <w:spacing w:val="-17"/>
          <w:sz w:val="24"/>
        </w:rPr>
        <w:t> </w:t>
      </w:r>
      <w:r>
        <w:rPr>
          <w:sz w:val="24"/>
        </w:rPr>
        <w:t>Linear</w:t>
      </w:r>
      <w:r>
        <w:rPr>
          <w:spacing w:val="-16"/>
          <w:sz w:val="24"/>
        </w:rPr>
        <w:t> </w:t>
      </w:r>
      <w:r>
        <w:rPr>
          <w:sz w:val="24"/>
        </w:rPr>
        <w:t>Dynamic</w:t>
      </w:r>
      <w:r>
        <w:rPr>
          <w:spacing w:val="-17"/>
          <w:sz w:val="24"/>
        </w:rPr>
        <w:t> </w:t>
      </w:r>
      <w:r>
        <w:rPr>
          <w:sz w:val="24"/>
        </w:rPr>
        <w:t>Panel Data Models”, </w:t>
      </w:r>
      <w:r>
        <w:rPr>
          <w:i/>
          <w:sz w:val="24"/>
        </w:rPr>
        <w:t>Proceedings of the 2019 London Stata</w:t>
      </w:r>
      <w:r>
        <w:rPr>
          <w:i/>
          <w:spacing w:val="-2"/>
          <w:sz w:val="24"/>
        </w:rPr>
        <w:t> </w:t>
      </w:r>
      <w:r>
        <w:rPr>
          <w:i/>
          <w:sz w:val="24"/>
        </w:rPr>
        <w:t>Conference.</w:t>
      </w:r>
    </w:p>
    <w:p>
      <w:pPr>
        <w:pStyle w:val="BodyText"/>
        <w:spacing w:before="120"/>
        <w:ind w:left="1256" w:right="311" w:hanging="708"/>
      </w:pPr>
      <w:r>
        <w:rPr/>
        <w:t>Kudeshia, C., &amp; Kumar, A. (2017). “Social eWOM: Does It Affect The Brand Attitude and Purchase Intention of Brands?”, </w:t>
      </w:r>
      <w:r>
        <w:rPr>
          <w:i/>
        </w:rPr>
        <w:t>Management Research Review</w:t>
      </w:r>
      <w:r>
        <w:rPr/>
        <w:t>, 40(3), 310-330. doi:10.1108/MRR-07-2015-0161</w:t>
      </w:r>
    </w:p>
    <w:p>
      <w:pPr>
        <w:pStyle w:val="BodyText"/>
        <w:spacing w:before="120"/>
        <w:ind w:left="1256" w:right="310" w:hanging="708"/>
      </w:pPr>
      <w:r>
        <w:rPr/>
        <w:t>Kübler,</w:t>
      </w:r>
      <w:r>
        <w:rPr>
          <w:spacing w:val="-13"/>
        </w:rPr>
        <w:t> </w:t>
      </w:r>
      <w:r>
        <w:rPr/>
        <w:t>R.,</w:t>
      </w:r>
      <w:r>
        <w:rPr>
          <w:spacing w:val="-12"/>
        </w:rPr>
        <w:t> </w:t>
      </w:r>
      <w:r>
        <w:rPr/>
        <w:t>Pauwels,</w:t>
      </w:r>
      <w:r>
        <w:rPr>
          <w:spacing w:val="-10"/>
        </w:rPr>
        <w:t> </w:t>
      </w:r>
      <w:r>
        <w:rPr/>
        <w:t>K.,</w:t>
      </w:r>
      <w:r>
        <w:rPr>
          <w:spacing w:val="-10"/>
        </w:rPr>
        <w:t> </w:t>
      </w:r>
      <w:r>
        <w:rPr/>
        <w:t>Yildirim,</w:t>
      </w:r>
      <w:r>
        <w:rPr>
          <w:spacing w:val="-12"/>
        </w:rPr>
        <w:t> </w:t>
      </w:r>
      <w:r>
        <w:rPr/>
        <w:t>G.,</w:t>
      </w:r>
      <w:r>
        <w:rPr>
          <w:spacing w:val="-12"/>
        </w:rPr>
        <w:t> </w:t>
      </w:r>
      <w:r>
        <w:rPr/>
        <w:t>&amp;</w:t>
      </w:r>
      <w:r>
        <w:rPr>
          <w:spacing w:val="-12"/>
        </w:rPr>
        <w:t> </w:t>
      </w:r>
      <w:r>
        <w:rPr/>
        <w:t>Fandrich,</w:t>
      </w:r>
      <w:r>
        <w:rPr>
          <w:spacing w:val="-10"/>
        </w:rPr>
        <w:t> </w:t>
      </w:r>
      <w:r>
        <w:rPr/>
        <w:t>T.</w:t>
      </w:r>
      <w:r>
        <w:rPr>
          <w:spacing w:val="-11"/>
        </w:rPr>
        <w:t> </w:t>
      </w:r>
      <w:r>
        <w:rPr/>
        <w:t>(2018).</w:t>
      </w:r>
      <w:r>
        <w:rPr>
          <w:spacing w:val="-10"/>
        </w:rPr>
        <w:t> </w:t>
      </w:r>
      <w:r>
        <w:rPr/>
        <w:t>“App</w:t>
      </w:r>
      <w:r>
        <w:rPr>
          <w:spacing w:val="-13"/>
        </w:rPr>
        <w:t> </w:t>
      </w:r>
      <w:r>
        <w:rPr/>
        <w:t>Popularity:</w:t>
      </w:r>
      <w:r>
        <w:rPr>
          <w:spacing w:val="-11"/>
        </w:rPr>
        <w:t> </w:t>
      </w:r>
      <w:r>
        <w:rPr/>
        <w:t>Where</w:t>
      </w:r>
      <w:r>
        <w:rPr>
          <w:spacing w:val="-12"/>
        </w:rPr>
        <w:t> </w:t>
      </w:r>
      <w:r>
        <w:rPr/>
        <w:t>in</w:t>
      </w:r>
      <w:r>
        <w:rPr>
          <w:spacing w:val="-12"/>
        </w:rPr>
        <w:t> </w:t>
      </w:r>
      <w:r>
        <w:rPr/>
        <w:t>The World are Consumers Most Sensitive to Price and User Ratings?”, </w:t>
      </w:r>
      <w:r>
        <w:rPr>
          <w:i/>
        </w:rPr>
        <w:t>Journal of </w:t>
      </w:r>
      <w:r>
        <w:rPr>
          <w:i/>
        </w:rPr>
        <w:t>Marketing</w:t>
      </w:r>
      <w:r>
        <w:rPr/>
        <w:t>, 82(5), 20-44.</w:t>
      </w:r>
      <w:r>
        <w:rPr>
          <w:spacing w:val="1"/>
        </w:rPr>
        <w:t> </w:t>
      </w:r>
      <w:r>
        <w:rPr/>
        <w:t>doi:10.1509/jm.16.0140</w:t>
      </w:r>
    </w:p>
    <w:p>
      <w:pPr>
        <w:pStyle w:val="BodyText"/>
        <w:spacing w:before="120"/>
        <w:ind w:left="1256" w:right="310" w:hanging="708"/>
      </w:pPr>
      <w:r>
        <w:rPr/>
        <w:t>Kwok, L., &amp; Yu, B. (2013). “Spreading Social Media Messages on Facebook: An Analysis of Restaurant Business-to-Consumer Communications”, </w:t>
      </w:r>
      <w:r>
        <w:rPr>
          <w:i/>
        </w:rPr>
        <w:t>Cornell Hospitality </w:t>
      </w:r>
      <w:r>
        <w:rPr>
          <w:i/>
        </w:rPr>
        <w:t>Quarterly</w:t>
      </w:r>
      <w:r>
        <w:rPr/>
        <w:t>, 54(1), 84-94. doi: 10.1177/1938965512458360</w:t>
      </w:r>
    </w:p>
    <w:p>
      <w:pPr>
        <w:pStyle w:val="BodyText"/>
        <w:spacing w:before="120"/>
        <w:ind w:left="1256" w:right="310" w:hanging="708"/>
      </w:pPr>
      <w:r>
        <w:rPr/>
        <w:t>Laroche, M., Yang, Z., McDougall, G. H., &amp; Bergeron, J. (2005). “Internet Versus Bricks- and-Mortar Retailers: An Investigation into Intangibility and Its Consequences”, </w:t>
      </w:r>
      <w:r>
        <w:rPr>
          <w:i/>
        </w:rPr>
        <w:t>Journal of Retailing</w:t>
      </w:r>
      <w:r>
        <w:rPr/>
        <w:t>, 81(4), 251-267. doi: 10.1016/j.jretai.2004.11.002</w:t>
      </w:r>
    </w:p>
    <w:p>
      <w:pPr>
        <w:pStyle w:val="BodyText"/>
        <w:spacing w:before="120"/>
        <w:ind w:left="1256" w:right="313" w:hanging="708"/>
      </w:pPr>
      <w:r>
        <w:rPr/>
        <w:t>Lee, I., &amp; Lee, K. (2012). “Social Shopping Promotions from A Social Merchant's Perspective”, </w:t>
      </w:r>
      <w:r>
        <w:rPr>
          <w:i/>
        </w:rPr>
        <w:t>Business Horizons</w:t>
      </w:r>
      <w:r>
        <w:rPr/>
        <w:t>, 55(5), 441-451. doi:10.1016/j.bushor.2012.04.001</w:t>
      </w:r>
    </w:p>
    <w:p>
      <w:pPr>
        <w:pStyle w:val="BodyText"/>
        <w:spacing w:before="120"/>
        <w:ind w:left="1256" w:right="312" w:hanging="708"/>
      </w:pPr>
      <w:r>
        <w:rPr/>
        <w:t>Lee, J., &amp; Lee, J. N. (2009). “Understanding The Product Information Inference Process in Electronic Word-of-Mouth: An Objectivity–Subjectivity Dichotomy Perspective”, </w:t>
      </w:r>
      <w:r>
        <w:rPr>
          <w:i/>
        </w:rPr>
        <w:t>Information &amp; Managemen</w:t>
      </w:r>
      <w:r>
        <w:rPr/>
        <w:t>t, 46(5), 302-311. doi:10.1016/j.im.2009.05.004</w:t>
      </w:r>
    </w:p>
    <w:p>
      <w:pPr>
        <w:pStyle w:val="BodyText"/>
        <w:spacing w:before="119"/>
        <w:ind w:left="1256" w:right="311" w:hanging="708"/>
      </w:pPr>
      <w:r>
        <w:rPr/>
        <w:t>Lee, K. Y., Jin, Y., Rhee, C., &amp; Yang, S. B. (2016). “Online Consumers’ Reactions to Price Decreases: Amazon’s Kindle 2 Case”, </w:t>
      </w:r>
      <w:r>
        <w:rPr>
          <w:i/>
        </w:rPr>
        <w:t>Internet Research</w:t>
      </w:r>
      <w:r>
        <w:rPr/>
        <w:t>, 26(4), 1001-1026. doi:10.1108/IntR-04-2014-0097</w:t>
      </w:r>
    </w:p>
    <w:p>
      <w:pPr>
        <w:pStyle w:val="BodyText"/>
        <w:spacing w:before="120"/>
        <w:ind w:left="1256" w:right="308" w:hanging="708"/>
      </w:pPr>
      <w:r>
        <w:rPr/>
        <w:t>Leonard-Barton, D. (1985). “Experts as Negative Opinion Leaders in The Diffusion of A Technological Innovation”, </w:t>
      </w:r>
      <w:r>
        <w:rPr>
          <w:i/>
        </w:rPr>
        <w:t>Journal of Consumer Research</w:t>
      </w:r>
      <w:r>
        <w:rPr/>
        <w:t>, 11(4), 914-926. doi:10.1086/209026</w:t>
      </w:r>
    </w:p>
    <w:p>
      <w:pPr>
        <w:spacing w:after="0"/>
        <w:sectPr>
          <w:pgSz w:w="12240" w:h="15840"/>
          <w:pgMar w:header="718" w:footer="0" w:top="1300" w:bottom="280" w:left="1720" w:right="820"/>
        </w:sectPr>
      </w:pPr>
    </w:p>
    <w:p>
      <w:pPr>
        <w:pStyle w:val="BodyText"/>
        <w:tabs>
          <w:tab w:pos="1536" w:val="left" w:leader="none"/>
          <w:tab w:pos="1994" w:val="left" w:leader="none"/>
          <w:tab w:pos="2577" w:val="left" w:leader="none"/>
          <w:tab w:pos="3311" w:val="left" w:leader="none"/>
          <w:tab w:pos="4196" w:val="left" w:leader="none"/>
          <w:tab w:pos="6204" w:val="left" w:leader="none"/>
          <w:tab w:pos="7538" w:val="left" w:leader="none"/>
          <w:tab w:pos="8501" w:val="left" w:leader="none"/>
        </w:tabs>
        <w:spacing w:before="100"/>
        <w:ind w:left="1256" w:right="311" w:hanging="708"/>
        <w:jc w:val="left"/>
      </w:pPr>
      <w:r>
        <w:rPr/>
        <w:t>Levent,</w:t>
        <w:tab/>
        <w:t>S.</w:t>
        <w:tab/>
        <w:t>(24</w:t>
        <w:tab/>
        <w:t>Mart</w:t>
        <w:tab/>
        <w:t>2016).</w:t>
        <w:tab/>
        <w:t>“Hepsiburada’dan</w:t>
        <w:tab/>
        <w:t>’Pazaryeri’</w:t>
        <w:tab/>
        <w:t>Atağı”,</w:t>
        <w:tab/>
      </w:r>
      <w:r>
        <w:rPr>
          <w:i/>
          <w:spacing w:val="-3"/>
        </w:rPr>
        <w:t>Hürriyet</w:t>
      </w:r>
      <w:r>
        <w:rPr>
          <w:spacing w:val="-3"/>
        </w:rPr>
        <w:t>. </w:t>
      </w:r>
      <w:r>
        <w:rPr/>
        <w:t>htt</w:t>
      </w:r>
      <w:hyperlink r:id="rId42">
        <w:r>
          <w:rPr/>
          <w:t>ps://www.hurriyet.com.tr/ekonomi/hepsiburadada</w:t>
        </w:r>
      </w:hyperlink>
      <w:r>
        <w:rPr/>
        <w:t>n</w:t>
      </w:r>
      <w:hyperlink r:id="rId42">
        <w:r>
          <w:rPr/>
          <w:t>-pazaryeri-atagi-40074816</w:t>
        </w:r>
      </w:hyperlink>
      <w:r>
        <w:rPr/>
        <w:t> (25.03.2020)</w:t>
      </w:r>
    </w:p>
    <w:p>
      <w:pPr>
        <w:pStyle w:val="BodyText"/>
        <w:spacing w:before="121"/>
        <w:ind w:left="1256" w:right="311" w:hanging="708"/>
      </w:pPr>
      <w:r>
        <w:rPr/>
        <w:t>Li, B., Ch’ng, E., Chong, A. Y. L., &amp; Bao, H. (2016). “Predicting Online E-Marketplace Sales Performances: A Big Data Approach”, </w:t>
      </w:r>
      <w:r>
        <w:rPr>
          <w:i/>
        </w:rPr>
        <w:t>Computers &amp; Industrial Engineering</w:t>
      </w:r>
      <w:r>
        <w:rPr/>
        <w:t>, 101, 565-571. doi:10.1016/j.cie.2016.08.009</w:t>
      </w:r>
    </w:p>
    <w:p>
      <w:pPr>
        <w:pStyle w:val="BodyText"/>
        <w:spacing w:before="120"/>
        <w:ind w:left="1256" w:right="308" w:hanging="708"/>
      </w:pPr>
      <w:r>
        <w:rPr/>
        <w:t>Li, H., Fang, Y., Wang, Y., Lim, K. H., &amp; Liang, L. (2015). “Are All Signals Equal? Investigating</w:t>
      </w:r>
      <w:r>
        <w:rPr>
          <w:spacing w:val="-7"/>
        </w:rPr>
        <w:t> </w:t>
      </w:r>
      <w:r>
        <w:rPr/>
        <w:t>The</w:t>
      </w:r>
      <w:r>
        <w:rPr>
          <w:spacing w:val="-8"/>
        </w:rPr>
        <w:t> </w:t>
      </w:r>
      <w:r>
        <w:rPr/>
        <w:t>Differential</w:t>
      </w:r>
      <w:r>
        <w:rPr>
          <w:spacing w:val="-7"/>
        </w:rPr>
        <w:t> </w:t>
      </w:r>
      <w:r>
        <w:rPr/>
        <w:t>Effects</w:t>
      </w:r>
      <w:r>
        <w:rPr>
          <w:spacing w:val="-7"/>
        </w:rPr>
        <w:t> </w:t>
      </w:r>
      <w:r>
        <w:rPr/>
        <w:t>of</w:t>
      </w:r>
      <w:r>
        <w:rPr>
          <w:spacing w:val="-7"/>
        </w:rPr>
        <w:t> </w:t>
      </w:r>
      <w:r>
        <w:rPr/>
        <w:t>Online</w:t>
      </w:r>
      <w:r>
        <w:rPr>
          <w:spacing w:val="-8"/>
        </w:rPr>
        <w:t> </w:t>
      </w:r>
      <w:r>
        <w:rPr/>
        <w:t>Signals</w:t>
      </w:r>
      <w:r>
        <w:rPr>
          <w:spacing w:val="-7"/>
        </w:rPr>
        <w:t> </w:t>
      </w:r>
      <w:r>
        <w:rPr/>
        <w:t>on</w:t>
      </w:r>
      <w:r>
        <w:rPr>
          <w:spacing w:val="-7"/>
        </w:rPr>
        <w:t> </w:t>
      </w:r>
      <w:r>
        <w:rPr/>
        <w:t>The</w:t>
      </w:r>
      <w:r>
        <w:rPr>
          <w:spacing w:val="-8"/>
        </w:rPr>
        <w:t> </w:t>
      </w:r>
      <w:r>
        <w:rPr/>
        <w:t>Sales</w:t>
      </w:r>
      <w:r>
        <w:rPr>
          <w:spacing w:val="-6"/>
        </w:rPr>
        <w:t> </w:t>
      </w:r>
      <w:r>
        <w:rPr/>
        <w:t>Performance</w:t>
      </w:r>
      <w:r>
        <w:rPr>
          <w:spacing w:val="-8"/>
        </w:rPr>
        <w:t> </w:t>
      </w:r>
      <w:r>
        <w:rPr/>
        <w:t>of E-Marketplace Sellers”, </w:t>
      </w:r>
      <w:r>
        <w:rPr>
          <w:i/>
        </w:rPr>
        <w:t>Information Technology &amp; People</w:t>
      </w:r>
      <w:r>
        <w:rPr/>
        <w:t>. 28(3), 699-723. doi:10.1108/ITP-11-2014-0265</w:t>
      </w:r>
    </w:p>
    <w:p>
      <w:pPr>
        <w:pStyle w:val="BodyText"/>
        <w:spacing w:before="120"/>
        <w:ind w:left="1256" w:right="312" w:hanging="708"/>
      </w:pPr>
      <w:r>
        <w:rPr/>
        <w:t>Li, S. G., Zhang, Y. Q., Yu, Z. X., &amp; Liu, F. (2020). “Economical User-Generated Content (Ugc) Marketing for Online Stores Based on A Fine-Grained Joint Model of The Consumer Purchase Decision Process”, </w:t>
      </w:r>
      <w:r>
        <w:rPr>
          <w:i/>
        </w:rPr>
        <w:t>Electronic Commerce Research</w:t>
      </w:r>
      <w:r>
        <w:rPr/>
        <w:t>, 1-30. doi:10.1007/s10660-020-09401-8</w:t>
      </w:r>
    </w:p>
    <w:p>
      <w:pPr>
        <w:pStyle w:val="BodyText"/>
        <w:spacing w:before="120"/>
        <w:ind w:left="1256" w:right="311" w:hanging="708"/>
      </w:pPr>
      <w:r>
        <w:rPr/>
        <w:t>Li, X., &amp; Hitt, L. M. (2008). “Self-Selection and Information Role of Online Product Reviews”, </w:t>
      </w:r>
      <w:r>
        <w:rPr>
          <w:i/>
        </w:rPr>
        <w:t>Information Systems Research</w:t>
      </w:r>
      <w:r>
        <w:rPr/>
        <w:t>, 19(4), 456-474.</w:t>
      </w:r>
    </w:p>
    <w:p>
      <w:pPr>
        <w:pStyle w:val="BodyText"/>
        <w:spacing w:before="1"/>
        <w:ind w:left="1256"/>
        <w:jc w:val="left"/>
      </w:pPr>
      <w:r>
        <w:rPr/>
        <w:t>doi:10.1287/isre.1070.0154</w:t>
      </w:r>
    </w:p>
    <w:p>
      <w:pPr>
        <w:pStyle w:val="BodyText"/>
        <w:spacing w:before="120"/>
        <w:ind w:left="1256" w:right="311" w:hanging="708"/>
      </w:pPr>
      <w:r>
        <w:rPr/>
        <w:t>Li, Z., &amp; Shimizu, A. (2018). “Impact of Online Customer Reviews on Sales Outcomes: An Empirical</w:t>
      </w:r>
      <w:r>
        <w:rPr>
          <w:spacing w:val="-7"/>
        </w:rPr>
        <w:t> </w:t>
      </w:r>
      <w:r>
        <w:rPr/>
        <w:t>Study</w:t>
      </w:r>
      <w:r>
        <w:rPr>
          <w:spacing w:val="-7"/>
        </w:rPr>
        <w:t> </w:t>
      </w:r>
      <w:r>
        <w:rPr/>
        <w:t>Based</w:t>
      </w:r>
      <w:r>
        <w:rPr>
          <w:spacing w:val="-7"/>
        </w:rPr>
        <w:t> </w:t>
      </w:r>
      <w:r>
        <w:rPr/>
        <w:t>on</w:t>
      </w:r>
      <w:r>
        <w:rPr>
          <w:spacing w:val="-6"/>
        </w:rPr>
        <w:t> </w:t>
      </w:r>
      <w:r>
        <w:rPr/>
        <w:t>Prospect</w:t>
      </w:r>
      <w:r>
        <w:rPr>
          <w:spacing w:val="-7"/>
        </w:rPr>
        <w:t> </w:t>
      </w:r>
      <w:r>
        <w:rPr/>
        <w:t>Theory”,</w:t>
      </w:r>
      <w:r>
        <w:rPr>
          <w:spacing w:val="-7"/>
        </w:rPr>
        <w:t> </w:t>
      </w:r>
      <w:r>
        <w:rPr>
          <w:i/>
        </w:rPr>
        <w:t>The</w:t>
      </w:r>
      <w:r>
        <w:rPr>
          <w:i/>
          <w:spacing w:val="-7"/>
        </w:rPr>
        <w:t> </w:t>
      </w:r>
      <w:r>
        <w:rPr>
          <w:i/>
        </w:rPr>
        <w:t>Review</w:t>
      </w:r>
      <w:r>
        <w:rPr>
          <w:i/>
          <w:spacing w:val="-7"/>
        </w:rPr>
        <w:t> </w:t>
      </w:r>
      <w:r>
        <w:rPr>
          <w:i/>
        </w:rPr>
        <w:t>of</w:t>
      </w:r>
      <w:r>
        <w:rPr>
          <w:i/>
          <w:spacing w:val="-7"/>
        </w:rPr>
        <w:t> </w:t>
      </w:r>
      <w:r>
        <w:rPr>
          <w:i/>
        </w:rPr>
        <w:t>Socionetwork</w:t>
      </w:r>
      <w:r>
        <w:rPr>
          <w:i/>
          <w:spacing w:val="-7"/>
        </w:rPr>
        <w:t> </w:t>
      </w:r>
      <w:r>
        <w:rPr>
          <w:i/>
        </w:rPr>
        <w:t>Strategies</w:t>
      </w:r>
      <w:r>
        <w:rPr/>
        <w:t>, 12(2), 135-151. doi: 10.1007/s12626-018-0022-9</w:t>
      </w:r>
    </w:p>
    <w:p>
      <w:pPr>
        <w:tabs>
          <w:tab w:pos="2734" w:val="left" w:leader="none"/>
          <w:tab w:pos="3650" w:val="left" w:leader="none"/>
          <w:tab w:pos="5380" w:val="left" w:leader="none"/>
          <w:tab w:pos="7211" w:val="left" w:leader="none"/>
          <w:tab w:pos="8523" w:val="left" w:leader="none"/>
        </w:tabs>
        <w:spacing w:before="120"/>
        <w:ind w:left="1256" w:right="309" w:hanging="708"/>
        <w:jc w:val="both"/>
        <w:rPr>
          <w:sz w:val="24"/>
        </w:rPr>
      </w:pPr>
      <w:r>
        <w:rPr>
          <w:sz w:val="24"/>
        </w:rPr>
        <w:t>Lin, X., Wang, X., &amp; Hajli, N. (2019). “Building E-commerce Satisfaction and Boosting Sales: The Role of Social Commerce Trust and Its Antecedents”, </w:t>
      </w:r>
      <w:r>
        <w:rPr>
          <w:i/>
          <w:sz w:val="24"/>
        </w:rPr>
        <w:t>International </w:t>
      </w:r>
      <w:r>
        <w:rPr>
          <w:i/>
          <w:sz w:val="24"/>
        </w:rPr>
        <w:t>Journal</w:t>
        <w:tab/>
        <w:t>of</w:t>
        <w:tab/>
        <w:t>Electronic</w:t>
        <w:tab/>
        <w:t>Commerce</w:t>
      </w:r>
      <w:r>
        <w:rPr>
          <w:sz w:val="24"/>
        </w:rPr>
        <w:t>,</w:t>
        <w:tab/>
        <w:t>23(3),</w:t>
        <w:tab/>
        <w:t>328-363.</w:t>
      </w:r>
    </w:p>
    <w:p>
      <w:pPr>
        <w:pStyle w:val="BodyText"/>
        <w:ind w:left="1256"/>
        <w:jc w:val="left"/>
      </w:pPr>
      <w:r>
        <w:rPr/>
        <w:t>doi:10.1080/10864415.2019.1619907</w:t>
      </w:r>
    </w:p>
    <w:p>
      <w:pPr>
        <w:pStyle w:val="BodyText"/>
        <w:spacing w:before="120"/>
        <w:ind w:left="1256" w:right="312" w:hanging="708"/>
      </w:pPr>
      <w:r>
        <w:rPr/>
        <w:t>Liu, A. X., Steenkamp, J. B. E., &amp; Zhang, J. (2018). “Agglomeration as a Driver of the Volume of Electronic Word of Mouth in the Restaurant Industry”, </w:t>
      </w:r>
      <w:r>
        <w:rPr>
          <w:i/>
        </w:rPr>
        <w:t>Journal of </w:t>
      </w:r>
      <w:r>
        <w:rPr>
          <w:i/>
        </w:rPr>
        <w:t>Marketing Research</w:t>
      </w:r>
      <w:r>
        <w:rPr/>
        <w:t>, 55(4), 507-523. doi:10.1509/jmr.16.0182</w:t>
      </w:r>
    </w:p>
    <w:p>
      <w:pPr>
        <w:pStyle w:val="BodyText"/>
        <w:spacing w:before="120"/>
        <w:ind w:left="1256" w:right="312" w:hanging="708"/>
      </w:pPr>
      <w:r>
        <w:rPr/>
        <w:t>Liu, Y. (2006). “Word of Mouth for Movies: Its Dynamics and Impact on Box Office Revenue”, </w:t>
      </w:r>
      <w:r>
        <w:rPr>
          <w:i/>
        </w:rPr>
        <w:t>Journal of Marketing</w:t>
      </w:r>
      <w:r>
        <w:rPr/>
        <w:t>, 70(3), 74-89. doi: 10.1509/jmkg.70.3.74</w:t>
      </w:r>
    </w:p>
    <w:p>
      <w:pPr>
        <w:pStyle w:val="BodyText"/>
        <w:spacing w:before="120"/>
        <w:ind w:left="1256" w:right="310" w:hanging="708"/>
      </w:pPr>
      <w:r>
        <w:rPr/>
        <w:t>López, M., &amp; Sicilia, M. (2013). “How WOM Marketing Contributes to New Product Adoption: Testing Competitive Communication Strategies”, </w:t>
      </w:r>
      <w:r>
        <w:rPr>
          <w:i/>
        </w:rPr>
        <w:t>European Journal of </w:t>
      </w:r>
      <w:r>
        <w:rPr>
          <w:i/>
        </w:rPr>
        <w:t>Marketing</w:t>
      </w:r>
      <w:r>
        <w:rPr/>
        <w:t>, 47(7), 1089-1114. doi:10.1108/03090561311324228</w:t>
      </w:r>
    </w:p>
    <w:p>
      <w:pPr>
        <w:pStyle w:val="BodyText"/>
        <w:spacing w:before="120"/>
        <w:ind w:left="1256" w:right="309" w:hanging="708"/>
      </w:pPr>
      <w:r>
        <w:rPr/>
        <w:t>Lovett, M. J., Peres, R., &amp; Shachar, R. (2013). “On Brands and Word of Mouth”. </w:t>
      </w:r>
      <w:r>
        <w:rPr>
          <w:i/>
        </w:rPr>
        <w:t>Journal</w:t>
      </w:r>
      <w:r>
        <w:rPr>
          <w:i/>
          <w:spacing w:val="-16"/>
        </w:rPr>
        <w:t> </w:t>
      </w:r>
      <w:r>
        <w:rPr>
          <w:i/>
        </w:rPr>
        <w:t>of </w:t>
      </w:r>
      <w:r>
        <w:rPr>
          <w:i/>
        </w:rPr>
        <w:t>Marketing Research</w:t>
      </w:r>
      <w:r>
        <w:rPr/>
        <w:t>, 50(4), 427-444.</w:t>
      </w:r>
      <w:r>
        <w:rPr>
          <w:spacing w:val="-11"/>
        </w:rPr>
        <w:t> </w:t>
      </w:r>
      <w:r>
        <w:rPr/>
        <w:t>doi:10.1509/jmr.11.0458</w:t>
      </w:r>
    </w:p>
    <w:p>
      <w:pPr>
        <w:spacing w:before="119"/>
        <w:ind w:left="1256" w:right="311" w:hanging="708"/>
        <w:jc w:val="both"/>
        <w:rPr>
          <w:sz w:val="24"/>
        </w:rPr>
      </w:pPr>
      <w:r>
        <w:rPr>
          <w:sz w:val="24"/>
        </w:rPr>
        <w:t>Lu,</w:t>
      </w:r>
      <w:r>
        <w:rPr>
          <w:spacing w:val="-14"/>
          <w:sz w:val="24"/>
        </w:rPr>
        <w:t> </w:t>
      </w:r>
      <w:r>
        <w:rPr>
          <w:sz w:val="24"/>
        </w:rPr>
        <w:t>S.,</w:t>
      </w:r>
      <w:r>
        <w:rPr>
          <w:spacing w:val="-12"/>
          <w:sz w:val="24"/>
        </w:rPr>
        <w:t> </w:t>
      </w:r>
      <w:r>
        <w:rPr>
          <w:sz w:val="24"/>
        </w:rPr>
        <w:t>Wu,</w:t>
      </w:r>
      <w:r>
        <w:rPr>
          <w:spacing w:val="-12"/>
          <w:sz w:val="24"/>
        </w:rPr>
        <w:t> </w:t>
      </w:r>
      <w:r>
        <w:rPr>
          <w:sz w:val="24"/>
        </w:rPr>
        <w:t>J.,</w:t>
      </w:r>
      <w:r>
        <w:rPr>
          <w:spacing w:val="-12"/>
          <w:sz w:val="24"/>
        </w:rPr>
        <w:t> </w:t>
      </w:r>
      <w:r>
        <w:rPr>
          <w:sz w:val="24"/>
        </w:rPr>
        <w:t>&amp;</w:t>
      </w:r>
      <w:r>
        <w:rPr>
          <w:spacing w:val="-12"/>
          <w:sz w:val="24"/>
        </w:rPr>
        <w:t> </w:t>
      </w:r>
      <w:r>
        <w:rPr>
          <w:sz w:val="24"/>
        </w:rPr>
        <w:t>Tseng,</w:t>
      </w:r>
      <w:r>
        <w:rPr>
          <w:spacing w:val="-10"/>
          <w:sz w:val="24"/>
        </w:rPr>
        <w:t> </w:t>
      </w:r>
      <w:r>
        <w:rPr>
          <w:sz w:val="24"/>
        </w:rPr>
        <w:t>S.</w:t>
      </w:r>
      <w:r>
        <w:rPr>
          <w:spacing w:val="-13"/>
          <w:sz w:val="24"/>
        </w:rPr>
        <w:t> </w:t>
      </w:r>
      <w:r>
        <w:rPr>
          <w:sz w:val="24"/>
        </w:rPr>
        <w:t>L.</w:t>
      </w:r>
      <w:r>
        <w:rPr>
          <w:spacing w:val="-13"/>
          <w:sz w:val="24"/>
        </w:rPr>
        <w:t> </w:t>
      </w:r>
      <w:r>
        <w:rPr>
          <w:sz w:val="24"/>
        </w:rPr>
        <w:t>A.</w:t>
      </w:r>
      <w:r>
        <w:rPr>
          <w:spacing w:val="-13"/>
          <w:sz w:val="24"/>
        </w:rPr>
        <w:t> </w:t>
      </w:r>
      <w:r>
        <w:rPr>
          <w:sz w:val="24"/>
        </w:rPr>
        <w:t>(2018).</w:t>
      </w:r>
      <w:r>
        <w:rPr>
          <w:spacing w:val="-10"/>
          <w:sz w:val="24"/>
        </w:rPr>
        <w:t> </w:t>
      </w:r>
      <w:r>
        <w:rPr>
          <w:sz w:val="24"/>
        </w:rPr>
        <w:t>“How</w:t>
      </w:r>
      <w:r>
        <w:rPr>
          <w:spacing w:val="-13"/>
          <w:sz w:val="24"/>
        </w:rPr>
        <w:t> </w:t>
      </w:r>
      <w:r>
        <w:rPr>
          <w:sz w:val="24"/>
        </w:rPr>
        <w:t>Online</w:t>
      </w:r>
      <w:r>
        <w:rPr>
          <w:spacing w:val="-13"/>
          <w:sz w:val="24"/>
        </w:rPr>
        <w:t> </w:t>
      </w:r>
      <w:r>
        <w:rPr>
          <w:sz w:val="24"/>
        </w:rPr>
        <w:t>Reviews</w:t>
      </w:r>
      <w:r>
        <w:rPr>
          <w:spacing w:val="-12"/>
          <w:sz w:val="24"/>
        </w:rPr>
        <w:t> </w:t>
      </w:r>
      <w:r>
        <w:rPr>
          <w:sz w:val="24"/>
        </w:rPr>
        <w:t>Become</w:t>
      </w:r>
      <w:r>
        <w:rPr>
          <w:spacing w:val="-14"/>
          <w:sz w:val="24"/>
        </w:rPr>
        <w:t> </w:t>
      </w:r>
      <w:r>
        <w:rPr>
          <w:sz w:val="24"/>
        </w:rPr>
        <w:t>Helpful:</w:t>
      </w:r>
      <w:r>
        <w:rPr>
          <w:spacing w:val="-12"/>
          <w:sz w:val="24"/>
        </w:rPr>
        <w:t> </w:t>
      </w:r>
      <w:r>
        <w:rPr>
          <w:sz w:val="24"/>
        </w:rPr>
        <w:t>A</w:t>
      </w:r>
      <w:r>
        <w:rPr>
          <w:spacing w:val="-13"/>
          <w:sz w:val="24"/>
        </w:rPr>
        <w:t> </w:t>
      </w:r>
      <w:r>
        <w:rPr>
          <w:sz w:val="24"/>
        </w:rPr>
        <w:t>Dynamic Perspective”, </w:t>
      </w:r>
      <w:r>
        <w:rPr>
          <w:i/>
          <w:sz w:val="24"/>
        </w:rPr>
        <w:t>Journal of Interactive Marketing</w:t>
      </w:r>
      <w:r>
        <w:rPr>
          <w:sz w:val="24"/>
        </w:rPr>
        <w:t>, 44,</w:t>
      </w:r>
      <w:r>
        <w:rPr>
          <w:spacing w:val="15"/>
          <w:sz w:val="24"/>
        </w:rPr>
        <w:t> </w:t>
      </w:r>
      <w:r>
        <w:rPr>
          <w:sz w:val="24"/>
        </w:rPr>
        <w:t>17-28.</w:t>
      </w:r>
    </w:p>
    <w:p>
      <w:pPr>
        <w:pStyle w:val="BodyText"/>
        <w:ind w:left="1256"/>
        <w:jc w:val="left"/>
      </w:pPr>
      <w:r>
        <w:rPr/>
        <w:t>doi:10.1016/j.intmar.2018.05.005</w:t>
      </w:r>
    </w:p>
    <w:p>
      <w:pPr>
        <w:pStyle w:val="BodyText"/>
        <w:spacing w:before="120"/>
        <w:ind w:left="1256" w:right="308" w:hanging="708"/>
      </w:pPr>
      <w:r>
        <w:rPr/>
        <w:t>Ludwig, S., de Ruyter, K., Friedman, M., Brüggen, E., Wetzels, M. &amp; Pfann, G. (2013). “More</w:t>
      </w:r>
      <w:r>
        <w:rPr>
          <w:spacing w:val="-15"/>
        </w:rPr>
        <w:t> </w:t>
      </w:r>
      <w:r>
        <w:rPr/>
        <w:t>Than</w:t>
      </w:r>
      <w:r>
        <w:rPr>
          <w:spacing w:val="-13"/>
        </w:rPr>
        <w:t> </w:t>
      </w:r>
      <w:r>
        <w:rPr/>
        <w:t>Words:</w:t>
      </w:r>
      <w:r>
        <w:rPr>
          <w:spacing w:val="-12"/>
        </w:rPr>
        <w:t> </w:t>
      </w:r>
      <w:r>
        <w:rPr/>
        <w:t>The</w:t>
      </w:r>
      <w:r>
        <w:rPr>
          <w:spacing w:val="-11"/>
        </w:rPr>
        <w:t> </w:t>
      </w:r>
      <w:r>
        <w:rPr/>
        <w:t>Influence</w:t>
      </w:r>
      <w:r>
        <w:rPr>
          <w:spacing w:val="-14"/>
        </w:rPr>
        <w:t> </w:t>
      </w:r>
      <w:r>
        <w:rPr/>
        <w:t>of</w:t>
      </w:r>
      <w:r>
        <w:rPr>
          <w:spacing w:val="-13"/>
        </w:rPr>
        <w:t> </w:t>
      </w:r>
      <w:r>
        <w:rPr/>
        <w:t>Affective</w:t>
      </w:r>
      <w:r>
        <w:rPr>
          <w:spacing w:val="-14"/>
        </w:rPr>
        <w:t> </w:t>
      </w:r>
      <w:r>
        <w:rPr/>
        <w:t>Content</w:t>
      </w:r>
      <w:r>
        <w:rPr>
          <w:spacing w:val="-13"/>
        </w:rPr>
        <w:t> </w:t>
      </w:r>
      <w:r>
        <w:rPr/>
        <w:t>and</w:t>
      </w:r>
      <w:r>
        <w:rPr>
          <w:spacing w:val="-12"/>
        </w:rPr>
        <w:t> </w:t>
      </w:r>
      <w:r>
        <w:rPr/>
        <w:t>Linguistic</w:t>
      </w:r>
      <w:r>
        <w:rPr>
          <w:spacing w:val="-14"/>
        </w:rPr>
        <w:t> </w:t>
      </w:r>
      <w:r>
        <w:rPr/>
        <w:t>Style</w:t>
      </w:r>
      <w:r>
        <w:rPr>
          <w:spacing w:val="-13"/>
        </w:rPr>
        <w:t> </w:t>
      </w:r>
      <w:r>
        <w:rPr/>
        <w:t>Matches in Online Reviews on Conversion Rates”, </w:t>
      </w:r>
      <w:r>
        <w:rPr>
          <w:i/>
        </w:rPr>
        <w:t>Journal of Marketing</w:t>
      </w:r>
      <w:r>
        <w:rPr/>
        <w:t>, 77(1), pp. 87-103. doi:10.1509/jm.11.0560</w:t>
      </w:r>
    </w:p>
    <w:p>
      <w:pPr>
        <w:spacing w:after="0"/>
        <w:sectPr>
          <w:pgSz w:w="12240" w:h="15840"/>
          <w:pgMar w:header="718" w:footer="0" w:top="1300" w:bottom="280" w:left="1720" w:right="820"/>
        </w:sectPr>
      </w:pPr>
    </w:p>
    <w:p>
      <w:pPr>
        <w:pStyle w:val="BodyText"/>
        <w:spacing w:before="100"/>
        <w:ind w:left="1256" w:right="311" w:hanging="708"/>
      </w:pPr>
      <w:r>
        <w:rPr/>
        <w:t>Lui, T. W., Bartosiak, M., Piccoli, G., &amp; Sadhya, V. (2018). “Online Review Response Strategy and Its Effects on Competitive Performance”, </w:t>
      </w:r>
      <w:r>
        <w:rPr>
          <w:i/>
        </w:rPr>
        <w:t>Tourism Management</w:t>
      </w:r>
      <w:r>
        <w:rPr/>
        <w:t>, 67, 180-190. doi:10.1016/j.tourman.2018.01.014</w:t>
      </w:r>
    </w:p>
    <w:p>
      <w:pPr>
        <w:pStyle w:val="BodyText"/>
        <w:spacing w:before="121"/>
        <w:ind w:left="1256" w:right="315" w:hanging="708"/>
      </w:pPr>
      <w:r>
        <w:rPr/>
        <w:t>Luo, C., Luo, X. R., &amp; Bose, R. (2018). “Information Usefulness in Online Third Party Forums”, </w:t>
      </w:r>
      <w:r>
        <w:rPr>
          <w:i/>
        </w:rPr>
        <w:t>Computers in Human Behavior</w:t>
      </w:r>
      <w:r>
        <w:rPr/>
        <w:t>, 85, 61-73. doi:10.1016/j.chb.2018.02.041</w:t>
      </w:r>
    </w:p>
    <w:p>
      <w:pPr>
        <w:pStyle w:val="BodyText"/>
        <w:spacing w:before="120"/>
        <w:ind w:left="1256" w:right="311" w:hanging="708"/>
      </w:pPr>
      <w:r>
        <w:rPr/>
        <w:t>Luo,</w:t>
      </w:r>
      <w:r>
        <w:rPr>
          <w:spacing w:val="-14"/>
        </w:rPr>
        <w:t> </w:t>
      </w:r>
      <w:r>
        <w:rPr/>
        <w:t>C.,</w:t>
      </w:r>
      <w:r>
        <w:rPr>
          <w:spacing w:val="-13"/>
        </w:rPr>
        <w:t> </w:t>
      </w:r>
      <w:r>
        <w:rPr/>
        <w:t>Luo,</w:t>
      </w:r>
      <w:r>
        <w:rPr>
          <w:spacing w:val="-13"/>
        </w:rPr>
        <w:t> </w:t>
      </w:r>
      <w:r>
        <w:rPr/>
        <w:t>X.</w:t>
      </w:r>
      <w:r>
        <w:rPr>
          <w:spacing w:val="-14"/>
        </w:rPr>
        <w:t> </w:t>
      </w:r>
      <w:r>
        <w:rPr/>
        <w:t>R.,</w:t>
      </w:r>
      <w:r>
        <w:rPr>
          <w:spacing w:val="-12"/>
        </w:rPr>
        <w:t> </w:t>
      </w:r>
      <w:r>
        <w:rPr/>
        <w:t>Xu,</w:t>
      </w:r>
      <w:r>
        <w:rPr>
          <w:spacing w:val="-14"/>
        </w:rPr>
        <w:t> </w:t>
      </w:r>
      <w:r>
        <w:rPr/>
        <w:t>Y.,</w:t>
      </w:r>
      <w:r>
        <w:rPr>
          <w:spacing w:val="-13"/>
        </w:rPr>
        <w:t> </w:t>
      </w:r>
      <w:r>
        <w:rPr/>
        <w:t>Warkentin,</w:t>
      </w:r>
      <w:r>
        <w:rPr>
          <w:spacing w:val="-13"/>
        </w:rPr>
        <w:t> </w:t>
      </w:r>
      <w:r>
        <w:rPr/>
        <w:t>M.,</w:t>
      </w:r>
      <w:r>
        <w:rPr>
          <w:spacing w:val="-13"/>
        </w:rPr>
        <w:t> </w:t>
      </w:r>
      <w:r>
        <w:rPr/>
        <w:t>&amp;</w:t>
      </w:r>
      <w:r>
        <w:rPr>
          <w:spacing w:val="-12"/>
        </w:rPr>
        <w:t> </w:t>
      </w:r>
      <w:r>
        <w:rPr/>
        <w:t>Sia,</w:t>
      </w:r>
      <w:r>
        <w:rPr>
          <w:spacing w:val="-14"/>
        </w:rPr>
        <w:t> </w:t>
      </w:r>
      <w:r>
        <w:rPr/>
        <w:t>C.</w:t>
      </w:r>
      <w:r>
        <w:rPr>
          <w:spacing w:val="-12"/>
        </w:rPr>
        <w:t> </w:t>
      </w:r>
      <w:r>
        <w:rPr/>
        <w:t>L.</w:t>
      </w:r>
      <w:r>
        <w:rPr>
          <w:spacing w:val="-14"/>
        </w:rPr>
        <w:t> </w:t>
      </w:r>
      <w:r>
        <w:rPr/>
        <w:t>(2015).</w:t>
      </w:r>
      <w:r>
        <w:rPr>
          <w:spacing w:val="-11"/>
        </w:rPr>
        <w:t> </w:t>
      </w:r>
      <w:r>
        <w:rPr/>
        <w:t>“Examining</w:t>
      </w:r>
      <w:r>
        <w:rPr>
          <w:spacing w:val="-12"/>
        </w:rPr>
        <w:t> </w:t>
      </w:r>
      <w:r>
        <w:rPr/>
        <w:t>The</w:t>
      </w:r>
      <w:r>
        <w:rPr>
          <w:spacing w:val="-14"/>
        </w:rPr>
        <w:t> </w:t>
      </w:r>
      <w:r>
        <w:rPr/>
        <w:t>Moderating Role of Sense of Membership in Online Review Evaluations”, </w:t>
      </w:r>
      <w:r>
        <w:rPr>
          <w:i/>
        </w:rPr>
        <w:t>Information &amp; </w:t>
      </w:r>
      <w:r>
        <w:rPr>
          <w:i/>
        </w:rPr>
        <w:t>Management</w:t>
      </w:r>
      <w:r>
        <w:rPr/>
        <w:t>, 52(3), 305-316.</w:t>
      </w:r>
      <w:r>
        <w:rPr>
          <w:spacing w:val="-1"/>
        </w:rPr>
        <w:t> </w:t>
      </w:r>
      <w:r>
        <w:rPr/>
        <w:t>doi:10.1016/j.im.2014.12.008</w:t>
      </w:r>
    </w:p>
    <w:p>
      <w:pPr>
        <w:pStyle w:val="BodyText"/>
        <w:spacing w:before="120"/>
        <w:ind w:left="1256" w:right="311" w:hanging="708"/>
      </w:pPr>
      <w:r>
        <w:rPr/>
        <w:t>Luo, X., &amp; Zhang, J. (2013). “How Do Consumer Buzz and Traffic in Social Media Marketing Predict The Value of The Firm?”, </w:t>
      </w:r>
      <w:r>
        <w:rPr>
          <w:i/>
        </w:rPr>
        <w:t>Journal of Management Information </w:t>
      </w:r>
      <w:r>
        <w:rPr>
          <w:i/>
        </w:rPr>
        <w:t>Systems</w:t>
      </w:r>
      <w:r>
        <w:rPr/>
        <w:t>, 30(2), 213-238. doi: 10.2753/MIS0742-1222300208</w:t>
      </w:r>
    </w:p>
    <w:p>
      <w:pPr>
        <w:pStyle w:val="BodyText"/>
        <w:spacing w:before="120"/>
        <w:ind w:left="1256" w:right="313" w:hanging="708"/>
      </w:pPr>
      <w:r>
        <w:rPr/>
        <w:t>Ma, X., Khansa, L., Deng, Y., &amp; Kim, S. S. (2013). “Impact of Prior Reviews on The Subsequent Review Process in Reputation Systems”, </w:t>
      </w:r>
      <w:r>
        <w:rPr>
          <w:i/>
        </w:rPr>
        <w:t>Journal of Management </w:t>
      </w:r>
      <w:r>
        <w:rPr>
          <w:i/>
        </w:rPr>
        <w:t>Information Systems</w:t>
      </w:r>
      <w:r>
        <w:rPr/>
        <w:t>, 30(3), 279-310. doi: 10.2753/MIS0742-1222300310</w:t>
      </w:r>
    </w:p>
    <w:p>
      <w:pPr>
        <w:pStyle w:val="BodyText"/>
        <w:spacing w:before="120"/>
        <w:ind w:left="1256" w:right="313" w:hanging="708"/>
      </w:pPr>
      <w:r>
        <w:rPr/>
        <w:t>Majewski, T. (5 Kasım 2015). “A Brief History of Etsy on Its 10th Anniversary”. </w:t>
      </w:r>
      <w:r>
        <w:rPr>
          <w:i/>
        </w:rPr>
        <w:t>Built In </w:t>
      </w:r>
      <w:r>
        <w:rPr>
          <w:i/>
        </w:rPr>
        <w:t>NYC. </w:t>
      </w:r>
      <w:r>
        <w:rPr/>
        <w:t>https:/</w:t>
      </w:r>
      <w:hyperlink r:id="rId43">
        <w:r>
          <w:rPr/>
          <w:t>/www.builti</w:t>
        </w:r>
      </w:hyperlink>
      <w:r>
        <w:rPr/>
        <w:t>n</w:t>
      </w:r>
      <w:hyperlink r:id="rId43">
        <w:r>
          <w:rPr/>
          <w:t>nyc.com/2015/11/04/brief-history-etsy </w:t>
        </w:r>
      </w:hyperlink>
      <w:r>
        <w:rPr/>
        <w:t>(14/01/2020)</w:t>
      </w:r>
    </w:p>
    <w:p>
      <w:pPr>
        <w:spacing w:before="121"/>
        <w:ind w:left="1256" w:right="312" w:hanging="708"/>
        <w:jc w:val="both"/>
        <w:rPr>
          <w:sz w:val="24"/>
        </w:rPr>
      </w:pPr>
      <w:r>
        <w:rPr>
          <w:sz w:val="24"/>
        </w:rPr>
        <w:t>Malhotra, N. K. (1982). “Information Load and Consumer Decision Making”, </w:t>
      </w:r>
      <w:r>
        <w:rPr>
          <w:i/>
          <w:sz w:val="24"/>
        </w:rPr>
        <w:t>Journal of </w:t>
      </w:r>
      <w:r>
        <w:rPr>
          <w:i/>
          <w:sz w:val="24"/>
        </w:rPr>
        <w:t>Consumer Research</w:t>
      </w:r>
      <w:r>
        <w:rPr>
          <w:sz w:val="24"/>
        </w:rPr>
        <w:t>, 8(4), 419-430. doi:10.1086/208882</w:t>
      </w:r>
    </w:p>
    <w:p>
      <w:pPr>
        <w:pStyle w:val="BodyText"/>
        <w:spacing w:before="120"/>
        <w:ind w:left="1256" w:right="310" w:hanging="708"/>
      </w:pPr>
      <w:r>
        <w:rPr/>
        <w:t>Martin, W., &amp; Lueg, J. (2013). “Modelling Word of Mouth Usage”, </w:t>
      </w:r>
      <w:r>
        <w:rPr>
          <w:i/>
        </w:rPr>
        <w:t>Journal of Business </w:t>
      </w:r>
      <w:r>
        <w:rPr>
          <w:i/>
        </w:rPr>
        <w:t>Research</w:t>
      </w:r>
      <w:r>
        <w:rPr/>
        <w:t>, 66 (7), 801-808. doi:10.1016/j.jbusres.2011.06.004</w:t>
      </w:r>
    </w:p>
    <w:p>
      <w:pPr>
        <w:pStyle w:val="BodyText"/>
        <w:spacing w:before="120"/>
        <w:ind w:left="1256" w:right="313" w:hanging="708"/>
      </w:pPr>
      <w:r>
        <w:rPr/>
        <w:t>Maxham III, J. G., &amp; Netemeyer, R. G. (2002). “Modeling Customer Perceptions of Complaint</w:t>
      </w:r>
      <w:r>
        <w:rPr>
          <w:spacing w:val="-7"/>
        </w:rPr>
        <w:t> </w:t>
      </w:r>
      <w:r>
        <w:rPr/>
        <w:t>Handling</w:t>
      </w:r>
      <w:r>
        <w:rPr>
          <w:spacing w:val="-7"/>
        </w:rPr>
        <w:t> </w:t>
      </w:r>
      <w:r>
        <w:rPr/>
        <w:t>Over</w:t>
      </w:r>
      <w:r>
        <w:rPr>
          <w:spacing w:val="-7"/>
        </w:rPr>
        <w:t> </w:t>
      </w:r>
      <w:r>
        <w:rPr/>
        <w:t>Time:</w:t>
      </w:r>
      <w:r>
        <w:rPr>
          <w:spacing w:val="-7"/>
        </w:rPr>
        <w:t> </w:t>
      </w:r>
      <w:r>
        <w:rPr/>
        <w:t>The</w:t>
      </w:r>
      <w:r>
        <w:rPr>
          <w:spacing w:val="-8"/>
        </w:rPr>
        <w:t> </w:t>
      </w:r>
      <w:r>
        <w:rPr/>
        <w:t>Effects</w:t>
      </w:r>
      <w:r>
        <w:rPr>
          <w:spacing w:val="-6"/>
        </w:rPr>
        <w:t> </w:t>
      </w:r>
      <w:r>
        <w:rPr/>
        <w:t>of</w:t>
      </w:r>
      <w:r>
        <w:rPr>
          <w:spacing w:val="-8"/>
        </w:rPr>
        <w:t> </w:t>
      </w:r>
      <w:r>
        <w:rPr/>
        <w:t>Perceived</w:t>
      </w:r>
      <w:r>
        <w:rPr>
          <w:spacing w:val="-7"/>
        </w:rPr>
        <w:t> </w:t>
      </w:r>
      <w:r>
        <w:rPr/>
        <w:t>Justice</w:t>
      </w:r>
      <w:r>
        <w:rPr>
          <w:spacing w:val="-9"/>
        </w:rPr>
        <w:t> </w:t>
      </w:r>
      <w:r>
        <w:rPr/>
        <w:t>on</w:t>
      </w:r>
      <w:r>
        <w:rPr>
          <w:spacing w:val="-7"/>
        </w:rPr>
        <w:t> </w:t>
      </w:r>
      <w:r>
        <w:rPr/>
        <w:t>Satisfaction</w:t>
      </w:r>
      <w:r>
        <w:rPr>
          <w:spacing w:val="-6"/>
        </w:rPr>
        <w:t> </w:t>
      </w:r>
      <w:r>
        <w:rPr/>
        <w:t>and Intent”, </w:t>
      </w:r>
      <w:r>
        <w:rPr>
          <w:i/>
        </w:rPr>
        <w:t>Journal of Retailing</w:t>
      </w:r>
      <w:r>
        <w:rPr/>
        <w:t>, 78(4), 239-252.</w:t>
      </w:r>
      <w:r>
        <w:rPr>
          <w:spacing w:val="-8"/>
        </w:rPr>
        <w:t> </w:t>
      </w:r>
      <w:r>
        <w:rPr/>
        <w:t>doi:10.1016/S0022-4359(02)00100-8</w:t>
      </w:r>
    </w:p>
    <w:p>
      <w:pPr>
        <w:pStyle w:val="BodyText"/>
        <w:spacing w:before="120"/>
        <w:ind w:left="1256" w:right="312" w:hanging="708"/>
      </w:pPr>
      <w:r>
        <w:rPr/>
        <w:t>McKnight, D. H., Choudhury, V., &amp; Kacmar, C. (2002). “Developing and Validating Trust Measures for E-Commerce: An Integrative Typology”, </w:t>
      </w:r>
      <w:r>
        <w:rPr>
          <w:i/>
        </w:rPr>
        <w:t>Information Systems </w:t>
      </w:r>
      <w:r>
        <w:rPr>
          <w:i/>
        </w:rPr>
        <w:t>Research</w:t>
      </w:r>
      <w:r>
        <w:rPr/>
        <w:t>, 13(3), 334-359. doi:10.1287/isre.13.3.334.81</w:t>
      </w:r>
    </w:p>
    <w:p>
      <w:pPr>
        <w:spacing w:before="120"/>
        <w:ind w:left="1256" w:right="310" w:hanging="708"/>
        <w:jc w:val="both"/>
        <w:rPr>
          <w:sz w:val="24"/>
        </w:rPr>
      </w:pPr>
      <w:r>
        <w:rPr>
          <w:sz w:val="24"/>
        </w:rPr>
        <w:t>McWilliam, G. (2000). “Building Stronger Brands Through Online Communities”, </w:t>
      </w:r>
      <w:r>
        <w:rPr>
          <w:i/>
          <w:sz w:val="24"/>
        </w:rPr>
        <w:t>MIT </w:t>
      </w:r>
      <w:r>
        <w:rPr>
          <w:i/>
          <w:sz w:val="24"/>
        </w:rPr>
        <w:t>Sloan Management Review</w:t>
      </w:r>
      <w:r>
        <w:rPr>
          <w:sz w:val="24"/>
        </w:rPr>
        <w:t>, 41 (Spring), 43–54.</w:t>
      </w:r>
    </w:p>
    <w:p>
      <w:pPr>
        <w:pStyle w:val="BodyText"/>
        <w:spacing w:before="120"/>
        <w:ind w:left="1256" w:right="311" w:hanging="708"/>
      </w:pPr>
      <w:r>
        <w:rPr/>
        <w:t>Meiseberg, B. (2016). “The Effectiveness of E-Tailers’ Communication Practices in Stimulating Sales of Niche Versus Popular Products”, </w:t>
      </w:r>
      <w:r>
        <w:rPr>
          <w:i/>
        </w:rPr>
        <w:t>Journal of Retailing</w:t>
      </w:r>
      <w:r>
        <w:rPr/>
        <w:t>, 92(3), 319-332. doi: 10.1016/j.jretai.2016.02.002</w:t>
      </w:r>
    </w:p>
    <w:p>
      <w:pPr>
        <w:pStyle w:val="BodyText"/>
        <w:spacing w:before="120"/>
        <w:ind w:left="1256" w:right="310" w:hanging="708"/>
      </w:pPr>
      <w:r>
        <w:rPr/>
        <w:t>Menze, J. (10 Mayıs 2018). “TripAdvisor Claims to Influence 10 Percent of $5 Trillion Global Travel Economy”, </w:t>
      </w:r>
      <w:r>
        <w:rPr>
          <w:i/>
        </w:rPr>
        <w:t>PhocusWire</w:t>
      </w:r>
      <w:r>
        <w:rPr/>
        <w:t>. htt</w:t>
      </w:r>
      <w:hyperlink r:id="rId44">
        <w:r>
          <w:rPr/>
          <w:t>ps://www.phocuswire</w:t>
        </w:r>
      </w:hyperlink>
      <w:r>
        <w:rPr/>
        <w:t>.</w:t>
      </w:r>
      <w:hyperlink r:id="rId44">
        <w:r>
          <w:rPr/>
          <w:t>com/TripAdvisor-</w:t>
        </w:r>
      </w:hyperlink>
      <w:r>
        <w:rPr/>
        <w:t> global-economy-influence (25/03/2020)</w:t>
      </w:r>
    </w:p>
    <w:p>
      <w:pPr>
        <w:pStyle w:val="BodyText"/>
        <w:spacing w:before="119"/>
        <w:ind w:left="1256" w:right="310" w:hanging="708"/>
      </w:pPr>
      <w:r>
        <w:rPr/>
        <w:t>Moe, W. (2006). “An Empirical Two-Stage Choice Model with Varying Decision Rules Applied to Internet Clickstream Data”, </w:t>
      </w:r>
      <w:r>
        <w:rPr>
          <w:i/>
        </w:rPr>
        <w:t>Journal of Marketing Research</w:t>
      </w:r>
      <w:r>
        <w:rPr/>
        <w:t>, 43(4), 680- 692.</w:t>
      </w:r>
      <w:r>
        <w:rPr>
          <w:spacing w:val="59"/>
        </w:rPr>
        <w:t> </w:t>
      </w:r>
      <w:r>
        <w:rPr/>
        <w:t>doi:</w:t>
      </w:r>
      <w:hyperlink r:id="rId45">
        <w:r>
          <w:rPr/>
          <w:t>10.1509/jmkr.43.4.680</w:t>
        </w:r>
      </w:hyperlink>
    </w:p>
    <w:p>
      <w:pPr>
        <w:pStyle w:val="BodyText"/>
        <w:spacing w:before="120"/>
        <w:ind w:left="1256" w:right="310" w:hanging="708"/>
      </w:pPr>
      <w:r>
        <w:rPr/>
        <w:t>Moen, Ø., Havro, L. J., &amp; Bjering, E. (2017). “Online Consumers Reviews: Examining The Moderating Effects of Product Type and Product Popularity on The Review Impact on Sales”, </w:t>
      </w:r>
      <w:r>
        <w:rPr>
          <w:i/>
        </w:rPr>
        <w:t>Cogent Business &amp; Management</w:t>
      </w:r>
      <w:r>
        <w:rPr/>
        <w:t>, 4(1), 1368114. doi:10.1080/23311975.2017.1368114</w:t>
      </w:r>
    </w:p>
    <w:p>
      <w:pPr>
        <w:spacing w:after="0"/>
        <w:sectPr>
          <w:pgSz w:w="12240" w:h="15840"/>
          <w:pgMar w:header="718" w:footer="0" w:top="1300" w:bottom="280" w:left="1720" w:right="820"/>
        </w:sectPr>
      </w:pPr>
    </w:p>
    <w:p>
      <w:pPr>
        <w:pStyle w:val="BodyText"/>
        <w:spacing w:before="100"/>
        <w:ind w:left="1256" w:right="310" w:hanging="708"/>
      </w:pPr>
      <w:r>
        <w:rPr/>
        <w:t>Mudambi, S. M., &amp; Schuff, D. (2010). “What Makes A Helpful Online Review? A Study of Customer Reviews on Amazon.com”, </w:t>
      </w:r>
      <w:r>
        <w:rPr>
          <w:i/>
        </w:rPr>
        <w:t>MIS Quarterly</w:t>
      </w:r>
      <w:r>
        <w:rPr/>
        <w:t>, 34(1), 185-200. doi:10.2307/20721420</w:t>
      </w:r>
    </w:p>
    <w:p>
      <w:pPr>
        <w:pStyle w:val="BodyText"/>
        <w:spacing w:before="121"/>
        <w:ind w:left="1256" w:right="309" w:hanging="708"/>
      </w:pPr>
      <w:r>
        <w:rPr/>
        <w:t>Nan, G., Yang, J., &amp; Dou, R. (2017). “Do Only Review Characteristics Affect Consumers' Online Behaviors? a Study of Relationship between Reviews”, </w:t>
      </w:r>
      <w:r>
        <w:rPr>
          <w:i/>
        </w:rPr>
        <w:t>Journal of </w:t>
      </w:r>
      <w:r>
        <w:rPr>
          <w:i/>
          <w:spacing w:val="-3"/>
        </w:rPr>
        <w:t>Electronic </w:t>
      </w:r>
      <w:r>
        <w:rPr>
          <w:i/>
        </w:rPr>
        <w:t>Commerce Research</w:t>
      </w:r>
      <w:r>
        <w:rPr/>
        <w:t>, 18(4), 330-345.</w:t>
      </w:r>
    </w:p>
    <w:p>
      <w:pPr>
        <w:pStyle w:val="BodyText"/>
        <w:spacing w:before="120"/>
        <w:ind w:left="1256" w:right="310" w:hanging="708"/>
      </w:pPr>
      <w:r>
        <w:rPr/>
        <w:t>Nedungadi, P. (1990). “Recall and Consumer Consideration Sets: Influencing Choice without Altering Brand Evaluations”, </w:t>
      </w:r>
      <w:r>
        <w:rPr>
          <w:i/>
        </w:rPr>
        <w:t>Journal of Consumer Research</w:t>
      </w:r>
      <w:r>
        <w:rPr/>
        <w:t>, 17(3), 263- 276. doi:</w:t>
      </w:r>
      <w:hyperlink r:id="rId46">
        <w:r>
          <w:rPr/>
          <w:t>10.1086/208556</w:t>
        </w:r>
      </w:hyperlink>
    </w:p>
    <w:p>
      <w:pPr>
        <w:pStyle w:val="BodyText"/>
        <w:spacing w:before="120"/>
        <w:ind w:left="1256" w:right="311" w:hanging="708"/>
      </w:pPr>
      <w:r>
        <w:rPr/>
        <w:t>Neirotti, P., Raguseo, E., &amp; Paolucci, E. (2016). “Are Customers’ Reviews Creating Value in The Hospitality Industry? Exploring The Moderating Effects of Market Positioning”, </w:t>
      </w:r>
      <w:r>
        <w:rPr>
          <w:i/>
        </w:rPr>
        <w:t>International Journal of Information Management</w:t>
      </w:r>
      <w:r>
        <w:rPr/>
        <w:t>, 36(6), 1133-1143. doi:10.1016/j.ijinfomgt.2016.02.010</w:t>
      </w:r>
    </w:p>
    <w:p>
      <w:pPr>
        <w:spacing w:before="120"/>
        <w:ind w:left="1256" w:right="311" w:hanging="708"/>
        <w:jc w:val="both"/>
        <w:rPr>
          <w:sz w:val="24"/>
        </w:rPr>
      </w:pPr>
      <w:r>
        <w:rPr>
          <w:sz w:val="24"/>
        </w:rPr>
        <w:t>Nelson, P. (1970). “Information and Consumer Behavior”, </w:t>
      </w:r>
      <w:r>
        <w:rPr>
          <w:i/>
          <w:sz w:val="24"/>
        </w:rPr>
        <w:t>Journal of Political Economy</w:t>
      </w:r>
      <w:r>
        <w:rPr>
          <w:sz w:val="24"/>
        </w:rPr>
        <w:t>, 78(2), 311-329.</w:t>
      </w:r>
    </w:p>
    <w:p>
      <w:pPr>
        <w:pStyle w:val="BodyText"/>
        <w:tabs>
          <w:tab w:pos="2788" w:val="left" w:leader="none"/>
        </w:tabs>
        <w:spacing w:before="120"/>
        <w:ind w:left="1256" w:right="308" w:hanging="708"/>
      </w:pPr>
      <w:r>
        <w:rPr/>
        <w:t>Nerdwallet (29 Ağustos 2013). “No More Feedback? Etsy’s New Star Rating Review System”.</w:t>
        <w:tab/>
      </w:r>
      <w:hyperlink r:id="rId47">
        <w:r>
          <w:rPr/>
          <w:t>https://www.nerdw</w:t>
        </w:r>
      </w:hyperlink>
      <w:r>
        <w:rPr/>
        <w:t>a</w:t>
      </w:r>
      <w:hyperlink r:id="rId47">
        <w:r>
          <w:rPr/>
          <w:t>llet.com/blog/shopping/etsys-star-rating-review-</w:t>
        </w:r>
      </w:hyperlink>
      <w:r>
        <w:rPr/>
        <w:t> system/ (16/01/2020)</w:t>
      </w:r>
    </w:p>
    <w:p>
      <w:pPr>
        <w:pStyle w:val="BodyText"/>
        <w:spacing w:before="121"/>
        <w:ind w:left="1256" w:right="310" w:hanging="708"/>
      </w:pPr>
      <w:r>
        <w:rPr/>
        <w:t>Nielsen (2015). “Global Trust in Advertising–Winning Strategies for an Evolving Media Landscape”. htt</w:t>
      </w:r>
      <w:hyperlink r:id="rId48">
        <w:r>
          <w:rPr/>
          <w:t>ps://www.nielsen.com/wp</w:t>
        </w:r>
      </w:hyperlink>
      <w:r>
        <w:rPr/>
        <w:t>-</w:t>
      </w:r>
      <w:hyperlink r:id="rId48">
        <w:r>
          <w:rPr/>
          <w:t>content/uploads/sites/3/2019/04/global-</w:t>
        </w:r>
      </w:hyperlink>
      <w:r>
        <w:rPr/>
        <w:t> trust-in-advertising-report-sept-2015-1.pdf (14/03/2020)</w:t>
      </w:r>
    </w:p>
    <w:p>
      <w:pPr>
        <w:spacing w:before="120"/>
        <w:ind w:left="1256" w:right="311" w:hanging="708"/>
        <w:jc w:val="both"/>
        <w:rPr>
          <w:sz w:val="24"/>
        </w:rPr>
      </w:pPr>
      <w:r>
        <w:rPr>
          <w:sz w:val="24"/>
        </w:rPr>
        <w:t>Onater-İsberk, E. (2019). </w:t>
      </w:r>
      <w:r>
        <w:rPr>
          <w:i/>
          <w:sz w:val="24"/>
        </w:rPr>
        <w:t>Essays On Energy, CO2 Emissions and Income Convergence. </w:t>
      </w:r>
      <w:r>
        <w:rPr>
          <w:sz w:val="24"/>
        </w:rPr>
        <w:t>(Basılmamış Doktora Tezi). İzmir Ekonomi Üniversitesi Sosyal Bilimler Enstitüsü, İzmir.</w:t>
      </w:r>
    </w:p>
    <w:p>
      <w:pPr>
        <w:spacing w:before="120"/>
        <w:ind w:left="1256" w:right="311" w:hanging="708"/>
        <w:jc w:val="both"/>
        <w:rPr>
          <w:sz w:val="24"/>
        </w:rPr>
      </w:pPr>
      <w:r>
        <w:rPr>
          <w:sz w:val="24"/>
        </w:rPr>
        <w:t>Onishi, H., &amp; Manchanda, P. (2012). “Marketing Activity, Blogging and Sales”, </w:t>
      </w:r>
      <w:r>
        <w:rPr>
          <w:i/>
          <w:sz w:val="24"/>
        </w:rPr>
        <w:t>International Journal of Research in Marketing</w:t>
      </w:r>
      <w:r>
        <w:rPr>
          <w:sz w:val="24"/>
        </w:rPr>
        <w:t>, 29(3), 221-234. doi:10.1016/j.ijresmar.2011.11.003</w:t>
      </w:r>
    </w:p>
    <w:p>
      <w:pPr>
        <w:pStyle w:val="BodyText"/>
        <w:spacing w:before="120"/>
        <w:ind w:left="1256" w:right="311" w:hanging="708"/>
      </w:pPr>
      <w:r>
        <w:rPr/>
        <w:t>Öğüt, H., &amp; Onur Taş, B. K. (2012). “The Influence of Internet Customer Reviews on The Online Sales And Prices In Hotel Industry”, </w:t>
      </w:r>
      <w:r>
        <w:rPr>
          <w:i/>
        </w:rPr>
        <w:t>The Service Industries Journal</w:t>
      </w:r>
      <w:r>
        <w:rPr/>
        <w:t>, 32(2), 197-214. doi:10.1080/02642069.2010.529436</w:t>
      </w:r>
    </w:p>
    <w:p>
      <w:pPr>
        <w:spacing w:before="120"/>
        <w:ind w:left="1256" w:right="314" w:hanging="708"/>
        <w:jc w:val="both"/>
        <w:rPr>
          <w:sz w:val="24"/>
        </w:rPr>
      </w:pPr>
      <w:r>
        <w:rPr>
          <w:sz w:val="24"/>
        </w:rPr>
        <w:t>Özbük, M. Y., &amp; Aksoy, Ş. (2017). “Elektronik Ağızdan Ağıza İletişimin Pazarlama Literatüründeki Önemi”, </w:t>
      </w:r>
      <w:r>
        <w:rPr>
          <w:i/>
          <w:sz w:val="24"/>
        </w:rPr>
        <w:t>Akdeniz Üniversitesi İktisadi ve İdari Bilimler Fakültesi </w:t>
      </w:r>
      <w:r>
        <w:rPr>
          <w:i/>
          <w:sz w:val="24"/>
        </w:rPr>
        <w:t>Dergisi</w:t>
      </w:r>
      <w:r>
        <w:rPr>
          <w:sz w:val="24"/>
        </w:rPr>
        <w:t>, 17(35), 81-100. doi:10.25294/auiibfd.322648</w:t>
      </w:r>
    </w:p>
    <w:p>
      <w:pPr>
        <w:pStyle w:val="BodyText"/>
        <w:spacing w:before="120"/>
        <w:ind w:left="1256" w:right="308" w:hanging="708"/>
      </w:pPr>
      <w:r>
        <w:rPr/>
        <w:t>Packard, G., &amp; Wooten, D. B. (2013). “Compensatory Knowledge Signaling in Consumer Word-of-Mouth”, </w:t>
      </w:r>
      <w:r>
        <w:rPr>
          <w:i/>
        </w:rPr>
        <w:t>Journal of Consumer Psychology</w:t>
      </w:r>
      <w:r>
        <w:rPr/>
        <w:t>, 23(4), 434–450. doi: 10.1016/j.jcps.2013.05.002</w:t>
      </w:r>
    </w:p>
    <w:p>
      <w:pPr>
        <w:pStyle w:val="BodyText"/>
        <w:spacing w:before="119"/>
        <w:ind w:left="1256" w:right="310" w:hanging="708"/>
      </w:pPr>
      <w:r>
        <w:rPr/>
        <w:t>Pan, Y., &amp; Zhang, J. Q. (2011). “Born Unequal: A Study of The Helpfulness of User- Generated Product Reviews”, </w:t>
      </w:r>
      <w:r>
        <w:rPr>
          <w:i/>
        </w:rPr>
        <w:t>Journal of Retailing</w:t>
      </w:r>
      <w:r>
        <w:rPr/>
        <w:t>, 87(4), 598-612. doi:10.1016/j.jretai.2011.05.002</w:t>
      </w:r>
    </w:p>
    <w:p>
      <w:pPr>
        <w:spacing w:after="0"/>
        <w:sectPr>
          <w:pgSz w:w="12240" w:h="15840"/>
          <w:pgMar w:header="718" w:footer="0" w:top="1300" w:bottom="280" w:left="1720" w:right="820"/>
        </w:sectPr>
      </w:pPr>
    </w:p>
    <w:p>
      <w:pPr>
        <w:pStyle w:val="BodyText"/>
        <w:spacing w:before="100"/>
        <w:ind w:left="1256" w:right="311" w:hanging="708"/>
      </w:pPr>
      <w:r>
        <w:rPr/>
        <w:t>Papies D., Ebbes P., Van Heerde H.J. (2017). “Addressing Endogeneity in Marketing Models”. In: </w:t>
      </w:r>
      <w:r>
        <w:rPr>
          <w:i/>
        </w:rPr>
        <w:t>Advanced Methods for Modeling Markets</w:t>
      </w:r>
      <w:r>
        <w:rPr/>
        <w:t>. Leeflang P., Wieringa J., Bijmolt T., Pauwels K. (eds). International Series in Quantitative Marketing. Springer, Cham. 581–627.</w:t>
      </w:r>
    </w:p>
    <w:p>
      <w:pPr>
        <w:pStyle w:val="BodyText"/>
        <w:spacing w:before="121"/>
        <w:ind w:left="1256" w:right="311" w:hanging="708"/>
      </w:pPr>
      <w:r>
        <w:rPr/>
        <w:t>Park,</w:t>
      </w:r>
      <w:r>
        <w:rPr>
          <w:spacing w:val="-14"/>
        </w:rPr>
        <w:t> </w:t>
      </w:r>
      <w:r>
        <w:rPr/>
        <w:t>D.</w:t>
      </w:r>
      <w:r>
        <w:rPr>
          <w:spacing w:val="-13"/>
        </w:rPr>
        <w:t> </w:t>
      </w:r>
      <w:r>
        <w:rPr/>
        <w:t>H.,</w:t>
      </w:r>
      <w:r>
        <w:rPr>
          <w:spacing w:val="-14"/>
        </w:rPr>
        <w:t> </w:t>
      </w:r>
      <w:r>
        <w:rPr/>
        <w:t>&amp;</w:t>
      </w:r>
      <w:r>
        <w:rPr>
          <w:spacing w:val="-12"/>
        </w:rPr>
        <w:t> </w:t>
      </w:r>
      <w:r>
        <w:rPr/>
        <w:t>Kim,</w:t>
      </w:r>
      <w:r>
        <w:rPr>
          <w:spacing w:val="-12"/>
        </w:rPr>
        <w:t> </w:t>
      </w:r>
      <w:r>
        <w:rPr/>
        <w:t>S.</w:t>
      </w:r>
      <w:r>
        <w:rPr>
          <w:spacing w:val="-13"/>
        </w:rPr>
        <w:t> </w:t>
      </w:r>
      <w:r>
        <w:rPr/>
        <w:t>(2008).</w:t>
      </w:r>
      <w:r>
        <w:rPr>
          <w:spacing w:val="-12"/>
        </w:rPr>
        <w:t> </w:t>
      </w:r>
      <w:r>
        <w:rPr/>
        <w:t>“The</w:t>
      </w:r>
      <w:r>
        <w:rPr>
          <w:spacing w:val="-15"/>
        </w:rPr>
        <w:t> </w:t>
      </w:r>
      <w:r>
        <w:rPr/>
        <w:t>Effects</w:t>
      </w:r>
      <w:r>
        <w:rPr>
          <w:spacing w:val="-12"/>
        </w:rPr>
        <w:t> </w:t>
      </w:r>
      <w:r>
        <w:rPr/>
        <w:t>of</w:t>
      </w:r>
      <w:r>
        <w:rPr>
          <w:spacing w:val="-13"/>
        </w:rPr>
        <w:t> </w:t>
      </w:r>
      <w:r>
        <w:rPr/>
        <w:t>Consumer</w:t>
      </w:r>
      <w:r>
        <w:rPr>
          <w:spacing w:val="-14"/>
        </w:rPr>
        <w:t> </w:t>
      </w:r>
      <w:r>
        <w:rPr/>
        <w:t>Knowledge</w:t>
      </w:r>
      <w:r>
        <w:rPr>
          <w:spacing w:val="-14"/>
        </w:rPr>
        <w:t> </w:t>
      </w:r>
      <w:r>
        <w:rPr/>
        <w:t>on</w:t>
      </w:r>
      <w:r>
        <w:rPr>
          <w:spacing w:val="-10"/>
        </w:rPr>
        <w:t> </w:t>
      </w:r>
      <w:r>
        <w:rPr/>
        <w:t>Message</w:t>
      </w:r>
      <w:r>
        <w:rPr>
          <w:spacing w:val="-15"/>
        </w:rPr>
        <w:t> </w:t>
      </w:r>
      <w:r>
        <w:rPr/>
        <w:t>Processing of</w:t>
      </w:r>
      <w:r>
        <w:rPr>
          <w:spacing w:val="-9"/>
        </w:rPr>
        <w:t> </w:t>
      </w:r>
      <w:r>
        <w:rPr/>
        <w:t>Electronic</w:t>
      </w:r>
      <w:r>
        <w:rPr>
          <w:spacing w:val="-6"/>
        </w:rPr>
        <w:t> </w:t>
      </w:r>
      <w:r>
        <w:rPr/>
        <w:t>Word-of-Mouth</w:t>
      </w:r>
      <w:r>
        <w:rPr>
          <w:spacing w:val="-7"/>
        </w:rPr>
        <w:t> </w:t>
      </w:r>
      <w:r>
        <w:rPr/>
        <w:t>via</w:t>
      </w:r>
      <w:r>
        <w:rPr>
          <w:spacing w:val="-8"/>
        </w:rPr>
        <w:t> </w:t>
      </w:r>
      <w:r>
        <w:rPr/>
        <w:t>Online</w:t>
      </w:r>
      <w:r>
        <w:rPr>
          <w:spacing w:val="-5"/>
        </w:rPr>
        <w:t> </w:t>
      </w:r>
      <w:r>
        <w:rPr/>
        <w:t>Consumer</w:t>
      </w:r>
      <w:r>
        <w:rPr>
          <w:spacing w:val="-8"/>
        </w:rPr>
        <w:t> </w:t>
      </w:r>
      <w:r>
        <w:rPr/>
        <w:t>Reviews”,</w:t>
      </w:r>
      <w:r>
        <w:rPr>
          <w:spacing w:val="-8"/>
        </w:rPr>
        <w:t> </w:t>
      </w:r>
      <w:r>
        <w:rPr>
          <w:i/>
        </w:rPr>
        <w:t>Electronic</w:t>
      </w:r>
      <w:r>
        <w:rPr>
          <w:i/>
          <w:spacing w:val="-9"/>
        </w:rPr>
        <w:t> </w:t>
      </w:r>
      <w:r>
        <w:rPr>
          <w:i/>
        </w:rPr>
        <w:t>Commerce </w:t>
      </w:r>
      <w:r>
        <w:rPr>
          <w:i/>
        </w:rPr>
        <w:t>Research and Applications</w:t>
      </w:r>
      <w:r>
        <w:rPr/>
        <w:t>, 7(4), 399-410.</w:t>
      </w:r>
      <w:r>
        <w:rPr>
          <w:spacing w:val="-2"/>
        </w:rPr>
        <w:t> </w:t>
      </w:r>
      <w:r>
        <w:rPr/>
        <w:t>doi:10.1016/j.elerap.2007.12.001</w:t>
      </w:r>
    </w:p>
    <w:p>
      <w:pPr>
        <w:pStyle w:val="BodyText"/>
        <w:spacing w:before="120"/>
        <w:ind w:left="1256" w:right="312" w:hanging="708"/>
      </w:pPr>
      <w:r>
        <w:rPr/>
        <w:t>Park,</w:t>
      </w:r>
      <w:r>
        <w:rPr>
          <w:spacing w:val="-17"/>
        </w:rPr>
        <w:t> </w:t>
      </w:r>
      <w:r>
        <w:rPr/>
        <w:t>D.</w:t>
      </w:r>
      <w:r>
        <w:rPr>
          <w:spacing w:val="-15"/>
        </w:rPr>
        <w:t> </w:t>
      </w:r>
      <w:r>
        <w:rPr/>
        <w:t>H.,</w:t>
      </w:r>
      <w:r>
        <w:rPr>
          <w:spacing w:val="-16"/>
        </w:rPr>
        <w:t> </w:t>
      </w:r>
      <w:r>
        <w:rPr/>
        <w:t>Lee,</w:t>
      </w:r>
      <w:r>
        <w:rPr>
          <w:spacing w:val="-15"/>
        </w:rPr>
        <w:t> </w:t>
      </w:r>
      <w:r>
        <w:rPr/>
        <w:t>J.,</w:t>
      </w:r>
      <w:r>
        <w:rPr>
          <w:spacing w:val="-16"/>
        </w:rPr>
        <w:t> </w:t>
      </w:r>
      <w:r>
        <w:rPr/>
        <w:t>&amp;</w:t>
      </w:r>
      <w:r>
        <w:rPr>
          <w:spacing w:val="-14"/>
        </w:rPr>
        <w:t> </w:t>
      </w:r>
      <w:r>
        <w:rPr/>
        <w:t>Han,</w:t>
      </w:r>
      <w:r>
        <w:rPr>
          <w:spacing w:val="-16"/>
        </w:rPr>
        <w:t> </w:t>
      </w:r>
      <w:r>
        <w:rPr/>
        <w:t>I.</w:t>
      </w:r>
      <w:r>
        <w:rPr>
          <w:spacing w:val="-13"/>
        </w:rPr>
        <w:t> </w:t>
      </w:r>
      <w:r>
        <w:rPr/>
        <w:t>(2007).</w:t>
      </w:r>
      <w:r>
        <w:rPr>
          <w:spacing w:val="-13"/>
        </w:rPr>
        <w:t> </w:t>
      </w:r>
      <w:r>
        <w:rPr/>
        <w:t>“The</w:t>
      </w:r>
      <w:r>
        <w:rPr>
          <w:spacing w:val="-16"/>
        </w:rPr>
        <w:t> </w:t>
      </w:r>
      <w:r>
        <w:rPr/>
        <w:t>Effect</w:t>
      </w:r>
      <w:r>
        <w:rPr>
          <w:spacing w:val="-14"/>
        </w:rPr>
        <w:t> </w:t>
      </w:r>
      <w:r>
        <w:rPr/>
        <w:t>of</w:t>
      </w:r>
      <w:r>
        <w:rPr>
          <w:spacing w:val="-17"/>
        </w:rPr>
        <w:t> </w:t>
      </w:r>
      <w:r>
        <w:rPr/>
        <w:t>Online</w:t>
      </w:r>
      <w:r>
        <w:rPr>
          <w:spacing w:val="-15"/>
        </w:rPr>
        <w:t> </w:t>
      </w:r>
      <w:r>
        <w:rPr/>
        <w:t>Consumer</w:t>
      </w:r>
      <w:r>
        <w:rPr>
          <w:spacing w:val="-17"/>
        </w:rPr>
        <w:t> </w:t>
      </w:r>
      <w:r>
        <w:rPr/>
        <w:t>Reviews</w:t>
      </w:r>
      <w:r>
        <w:rPr>
          <w:spacing w:val="-15"/>
        </w:rPr>
        <w:t> </w:t>
      </w:r>
      <w:r>
        <w:rPr/>
        <w:t>on</w:t>
      </w:r>
      <w:r>
        <w:rPr>
          <w:spacing w:val="-16"/>
        </w:rPr>
        <w:t> </w:t>
      </w:r>
      <w:r>
        <w:rPr/>
        <w:t>Consumer Purchasing Intention: The Moderating Role of Involvement”, </w:t>
      </w:r>
      <w:r>
        <w:rPr>
          <w:i/>
        </w:rPr>
        <w:t>International Journal </w:t>
      </w:r>
      <w:r>
        <w:rPr>
          <w:i/>
        </w:rPr>
        <w:t>of Electronic Commerce</w:t>
      </w:r>
      <w:r>
        <w:rPr/>
        <w:t>, 11(4), 125–148.</w:t>
      </w:r>
      <w:r>
        <w:rPr>
          <w:spacing w:val="-1"/>
        </w:rPr>
        <w:t> </w:t>
      </w:r>
      <w:r>
        <w:rPr/>
        <w:t>doi:10.2753/JEC1086-4415110405</w:t>
      </w:r>
    </w:p>
    <w:p>
      <w:pPr>
        <w:spacing w:before="120"/>
        <w:ind w:left="1256" w:right="310" w:hanging="708"/>
        <w:jc w:val="both"/>
        <w:rPr>
          <w:sz w:val="24"/>
        </w:rPr>
      </w:pPr>
      <w:r>
        <w:rPr>
          <w:sz w:val="24"/>
        </w:rPr>
        <w:t>Park, J., Gu, B., &amp; Lee, H. (2012). “The Relationship Between Retailer-Hosted and Third- Party Hosted Wom Sources and Their Influence on Retailer Sales”, </w:t>
      </w:r>
      <w:r>
        <w:rPr>
          <w:i/>
          <w:sz w:val="24"/>
        </w:rPr>
        <w:t>Electronic </w:t>
      </w:r>
      <w:r>
        <w:rPr>
          <w:i/>
          <w:sz w:val="24"/>
        </w:rPr>
        <w:t>Commerce Research and Applications</w:t>
      </w:r>
      <w:r>
        <w:rPr>
          <w:sz w:val="24"/>
        </w:rPr>
        <w:t>, 11(3),</w:t>
      </w:r>
      <w:r>
        <w:rPr>
          <w:spacing w:val="54"/>
          <w:sz w:val="24"/>
        </w:rPr>
        <w:t> </w:t>
      </w:r>
      <w:r>
        <w:rPr>
          <w:sz w:val="24"/>
        </w:rPr>
        <w:t>253-261.</w:t>
      </w:r>
    </w:p>
    <w:p>
      <w:pPr>
        <w:pStyle w:val="BodyText"/>
        <w:ind w:left="1256"/>
        <w:jc w:val="left"/>
      </w:pPr>
      <w:r>
        <w:rPr/>
        <w:t>doi:10.1016/j.elerap.2011.11.003</w:t>
      </w:r>
    </w:p>
    <w:p>
      <w:pPr>
        <w:pStyle w:val="BodyText"/>
        <w:spacing w:before="120"/>
        <w:ind w:left="1256" w:right="312" w:hanging="708"/>
      </w:pPr>
      <w:r>
        <w:rPr/>
        <w:t>Park,</w:t>
      </w:r>
      <w:r>
        <w:rPr>
          <w:spacing w:val="-14"/>
        </w:rPr>
        <w:t> </w:t>
      </w:r>
      <w:r>
        <w:rPr/>
        <w:t>J.,</w:t>
      </w:r>
      <w:r>
        <w:rPr>
          <w:spacing w:val="-13"/>
        </w:rPr>
        <w:t> </w:t>
      </w:r>
      <w:r>
        <w:rPr/>
        <w:t>Park,</w:t>
      </w:r>
      <w:r>
        <w:rPr>
          <w:spacing w:val="-14"/>
        </w:rPr>
        <w:t> </w:t>
      </w:r>
      <w:r>
        <w:rPr/>
        <w:t>J.,</w:t>
      </w:r>
      <w:r>
        <w:rPr>
          <w:spacing w:val="-13"/>
        </w:rPr>
        <w:t> </w:t>
      </w:r>
      <w:r>
        <w:rPr/>
        <w:t>&amp;</w:t>
      </w:r>
      <w:r>
        <w:rPr>
          <w:spacing w:val="-15"/>
        </w:rPr>
        <w:t> </w:t>
      </w:r>
      <w:r>
        <w:rPr/>
        <w:t>Park,</w:t>
      </w:r>
      <w:r>
        <w:rPr>
          <w:spacing w:val="-17"/>
        </w:rPr>
        <w:t> </w:t>
      </w:r>
      <w:r>
        <w:rPr/>
        <w:t>J.</w:t>
      </w:r>
      <w:r>
        <w:rPr>
          <w:spacing w:val="-13"/>
        </w:rPr>
        <w:t> </w:t>
      </w:r>
      <w:r>
        <w:rPr/>
        <w:t>(2018).</w:t>
      </w:r>
      <w:r>
        <w:rPr>
          <w:spacing w:val="-13"/>
        </w:rPr>
        <w:t> </w:t>
      </w:r>
      <w:r>
        <w:rPr/>
        <w:t>“The</w:t>
      </w:r>
      <w:r>
        <w:rPr>
          <w:spacing w:val="-14"/>
        </w:rPr>
        <w:t> </w:t>
      </w:r>
      <w:r>
        <w:rPr/>
        <w:t>Effects</w:t>
      </w:r>
      <w:r>
        <w:rPr>
          <w:spacing w:val="-13"/>
        </w:rPr>
        <w:t> </w:t>
      </w:r>
      <w:r>
        <w:rPr/>
        <w:t>of</w:t>
      </w:r>
      <w:r>
        <w:rPr>
          <w:spacing w:val="-14"/>
        </w:rPr>
        <w:t> </w:t>
      </w:r>
      <w:r>
        <w:rPr/>
        <w:t>User</w:t>
      </w:r>
      <w:r>
        <w:rPr>
          <w:spacing w:val="-14"/>
        </w:rPr>
        <w:t> </w:t>
      </w:r>
      <w:r>
        <w:rPr/>
        <w:t>Engagements</w:t>
      </w:r>
      <w:r>
        <w:rPr>
          <w:spacing w:val="-13"/>
        </w:rPr>
        <w:t> </w:t>
      </w:r>
      <w:r>
        <w:rPr/>
        <w:t>for</w:t>
      </w:r>
      <w:r>
        <w:rPr>
          <w:spacing w:val="-15"/>
        </w:rPr>
        <w:t> </w:t>
      </w:r>
      <w:r>
        <w:rPr/>
        <w:t>User</w:t>
      </w:r>
      <w:r>
        <w:rPr>
          <w:spacing w:val="-14"/>
        </w:rPr>
        <w:t> </w:t>
      </w:r>
      <w:r>
        <w:rPr/>
        <w:t>and</w:t>
      </w:r>
      <w:r>
        <w:rPr>
          <w:spacing w:val="-13"/>
        </w:rPr>
        <w:t> </w:t>
      </w:r>
      <w:r>
        <w:rPr/>
        <w:t>Company Generated Videos on Music Sales: Empirical Evidence from Youtube”, </w:t>
      </w:r>
      <w:r>
        <w:rPr>
          <w:i/>
        </w:rPr>
        <w:t>Frontiers in </w:t>
      </w:r>
      <w:r>
        <w:rPr>
          <w:i/>
        </w:rPr>
        <w:t>Psychology</w:t>
      </w:r>
      <w:r>
        <w:rPr/>
        <w:t>, 9. doi: 10.3389/fpsyg.2018.01880</w:t>
      </w:r>
    </w:p>
    <w:p>
      <w:pPr>
        <w:pStyle w:val="BodyText"/>
        <w:spacing w:before="121"/>
        <w:ind w:left="1256" w:right="311" w:hanging="708"/>
      </w:pPr>
      <w:r>
        <w:rPr/>
        <w:t>Park, M. S., Shin, J. K., &amp; Ju, Y. (2019). “Attachment Styles and Electronic Word of</w:t>
      </w:r>
      <w:r>
        <w:rPr>
          <w:spacing w:val="-38"/>
        </w:rPr>
        <w:t> </w:t>
      </w:r>
      <w:r>
        <w:rPr/>
        <w:t>Mouth (E-Wom) Adoption on Social Networking Sites”, </w:t>
      </w:r>
      <w:r>
        <w:rPr>
          <w:i/>
        </w:rPr>
        <w:t>Journal of Business Research</w:t>
      </w:r>
      <w:r>
        <w:rPr/>
        <w:t>, 99, 398-404.</w:t>
      </w:r>
      <w:r>
        <w:rPr>
          <w:spacing w:val="-1"/>
        </w:rPr>
        <w:t> </w:t>
      </w:r>
      <w:r>
        <w:rPr/>
        <w:t>doi:10.1016/j.jbusres.2017.09.020</w:t>
      </w:r>
    </w:p>
    <w:p>
      <w:pPr>
        <w:pStyle w:val="BodyText"/>
        <w:spacing w:before="120"/>
      </w:pPr>
      <w:r>
        <w:rPr/>
        <w:t>Park, S., &amp; Nicolau, J. L. (2015). “Asymmetric Effects of Online Consumer Reviews”,</w:t>
      </w:r>
    </w:p>
    <w:p>
      <w:pPr>
        <w:spacing w:before="0"/>
        <w:ind w:left="1256" w:right="0" w:firstLine="0"/>
        <w:jc w:val="both"/>
        <w:rPr>
          <w:sz w:val="24"/>
        </w:rPr>
      </w:pPr>
      <w:r>
        <w:rPr>
          <w:i/>
          <w:sz w:val="24"/>
        </w:rPr>
        <w:t>Annals of Tourism Research</w:t>
      </w:r>
      <w:r>
        <w:rPr>
          <w:sz w:val="24"/>
        </w:rPr>
        <w:t>, 50, 67-83. doi:10.1016/j.annals.2014.10.007</w:t>
      </w:r>
    </w:p>
    <w:p>
      <w:pPr>
        <w:spacing w:before="120"/>
        <w:ind w:left="1256" w:right="310" w:hanging="708"/>
        <w:jc w:val="both"/>
        <w:rPr>
          <w:sz w:val="24"/>
        </w:rPr>
      </w:pPr>
      <w:r>
        <w:rPr>
          <w:sz w:val="24"/>
        </w:rPr>
        <w:t>Pauliene, R., &amp; Sedneva, K. (2019). “The Influence of Recommendations in Social Media on Purchase Intentions of Generations Y and Z”, </w:t>
      </w:r>
      <w:r>
        <w:rPr>
          <w:i/>
          <w:sz w:val="24"/>
        </w:rPr>
        <w:t>Organizations &amp; Markets in </w:t>
      </w:r>
      <w:r>
        <w:rPr>
          <w:i/>
          <w:sz w:val="24"/>
        </w:rPr>
        <w:t>Emerging Economies</w:t>
      </w:r>
      <w:r>
        <w:rPr>
          <w:sz w:val="24"/>
        </w:rPr>
        <w:t>, 10(2). doi:10.15388/omee.2019.10.12</w:t>
      </w:r>
    </w:p>
    <w:p>
      <w:pPr>
        <w:pStyle w:val="BodyText"/>
        <w:spacing w:before="120"/>
        <w:ind w:left="1256" w:right="313" w:hanging="708"/>
      </w:pPr>
      <w:r>
        <w:rPr/>
        <w:t>Pauwels, K., H. (2017). “Traditional Time-Series Models”. In: </w:t>
      </w:r>
      <w:r>
        <w:rPr>
          <w:i/>
        </w:rPr>
        <w:t>Advanced Methods for </w:t>
      </w:r>
      <w:r>
        <w:rPr>
          <w:i/>
        </w:rPr>
        <w:t>Modeling Markets</w:t>
      </w:r>
      <w:r>
        <w:rPr/>
        <w:t>. Leeflang P., Wieringa J., Bijmolt T., Pauwels K. (eds). International Series in Quantitative Marketing. Springer, Cham. 87–114.</w:t>
      </w:r>
    </w:p>
    <w:p>
      <w:pPr>
        <w:pStyle w:val="BodyText"/>
        <w:spacing w:before="120"/>
        <w:ind w:left="1256" w:right="310" w:hanging="708"/>
      </w:pPr>
      <w:r>
        <w:rPr/>
        <w:t>Pavlou,</w:t>
      </w:r>
      <w:r>
        <w:rPr>
          <w:spacing w:val="-11"/>
        </w:rPr>
        <w:t> </w:t>
      </w:r>
      <w:r>
        <w:rPr/>
        <w:t>P.</w:t>
      </w:r>
      <w:r>
        <w:rPr>
          <w:spacing w:val="-11"/>
        </w:rPr>
        <w:t> </w:t>
      </w:r>
      <w:r>
        <w:rPr/>
        <w:t>A.</w:t>
      </w:r>
      <w:r>
        <w:rPr>
          <w:spacing w:val="-12"/>
        </w:rPr>
        <w:t> </w:t>
      </w:r>
      <w:r>
        <w:rPr/>
        <w:t>(2003).</w:t>
      </w:r>
      <w:r>
        <w:rPr>
          <w:spacing w:val="-8"/>
        </w:rPr>
        <w:t> </w:t>
      </w:r>
      <w:r>
        <w:rPr/>
        <w:t>“Consumer</w:t>
      </w:r>
      <w:r>
        <w:rPr>
          <w:spacing w:val="-12"/>
        </w:rPr>
        <w:t> </w:t>
      </w:r>
      <w:r>
        <w:rPr/>
        <w:t>Acceptance</w:t>
      </w:r>
      <w:r>
        <w:rPr>
          <w:spacing w:val="-12"/>
        </w:rPr>
        <w:t> </w:t>
      </w:r>
      <w:r>
        <w:rPr/>
        <w:t>of</w:t>
      </w:r>
      <w:r>
        <w:rPr>
          <w:spacing w:val="-12"/>
        </w:rPr>
        <w:t> </w:t>
      </w:r>
      <w:r>
        <w:rPr/>
        <w:t>Electronic</w:t>
      </w:r>
      <w:r>
        <w:rPr>
          <w:spacing w:val="-12"/>
        </w:rPr>
        <w:t> </w:t>
      </w:r>
      <w:r>
        <w:rPr/>
        <w:t>Commerce:</w:t>
      </w:r>
      <w:r>
        <w:rPr>
          <w:spacing w:val="-7"/>
        </w:rPr>
        <w:t> </w:t>
      </w:r>
      <w:r>
        <w:rPr/>
        <w:t>Integrating</w:t>
      </w:r>
      <w:r>
        <w:rPr>
          <w:spacing w:val="-11"/>
        </w:rPr>
        <w:t> </w:t>
      </w:r>
      <w:r>
        <w:rPr/>
        <w:t>Trust</w:t>
      </w:r>
      <w:r>
        <w:rPr>
          <w:spacing w:val="-10"/>
        </w:rPr>
        <w:t> </w:t>
      </w:r>
      <w:r>
        <w:rPr/>
        <w:t>and Risk with The Technology Acceptance Model”, </w:t>
      </w:r>
      <w:r>
        <w:rPr>
          <w:i/>
        </w:rPr>
        <w:t>International Journal of Electronic </w:t>
      </w:r>
      <w:r>
        <w:rPr>
          <w:i/>
        </w:rPr>
        <w:t>Commerce</w:t>
      </w:r>
      <w:r>
        <w:rPr/>
        <w:t>, 7(3), 101-134.</w:t>
      </w:r>
      <w:r>
        <w:rPr>
          <w:spacing w:val="-1"/>
        </w:rPr>
        <w:t> </w:t>
      </w:r>
      <w:r>
        <w:rPr/>
        <w:t>doi:10.1080/10864415.2003.11044275</w:t>
      </w:r>
    </w:p>
    <w:p>
      <w:pPr>
        <w:spacing w:before="120"/>
        <w:ind w:left="1256" w:right="308" w:hanging="708"/>
        <w:jc w:val="both"/>
        <w:rPr>
          <w:sz w:val="24"/>
        </w:rPr>
      </w:pPr>
      <w:r>
        <w:rPr>
          <w:sz w:val="24"/>
        </w:rPr>
        <w:t>Peter J. P., Olson J. C. (2010). </w:t>
      </w:r>
      <w:r>
        <w:rPr>
          <w:i/>
          <w:sz w:val="24"/>
        </w:rPr>
        <w:t>Consumer Behavior and Marketing Strategy</w:t>
      </w:r>
      <w:r>
        <w:rPr>
          <w:sz w:val="24"/>
        </w:rPr>
        <w:t>, McGraw-Hill- Irwin, New York.</w:t>
      </w:r>
    </w:p>
    <w:p>
      <w:pPr>
        <w:pStyle w:val="BodyText"/>
        <w:spacing w:before="120"/>
        <w:ind w:left="1256" w:right="312" w:hanging="708"/>
      </w:pPr>
      <w:r>
        <w:rPr/>
        <w:t>Piacentini, D. (2000). “Case Study: Amazon.com: Helping E-Commerce Sites Achieve International Success”, </w:t>
      </w:r>
      <w:r>
        <w:rPr>
          <w:i/>
        </w:rPr>
        <w:t>Economic Perspectives</w:t>
      </w:r>
      <w:r>
        <w:rPr/>
        <w:t>, 5(2), 27-29.</w:t>
      </w:r>
    </w:p>
    <w:p>
      <w:pPr>
        <w:pStyle w:val="BodyText"/>
        <w:spacing w:before="119"/>
        <w:ind w:left="1256" w:right="313" w:hanging="708"/>
      </w:pPr>
      <w:r>
        <w:rPr/>
        <w:t>Raguseo, E., Neirotti, P., &amp; Paolucci, E. (2017). “How Small Hotels can Drive Value Their Way in Infomediation. The Case of ‘Italian Hotels vs. OTAs and TripAdvisor’”, </w:t>
      </w:r>
      <w:r>
        <w:rPr>
          <w:i/>
        </w:rPr>
        <w:t>Information &amp; Management</w:t>
      </w:r>
      <w:r>
        <w:rPr/>
        <w:t>, 54(6), 745-756. doi:10.1016/j.im.2016.12.002</w:t>
      </w:r>
    </w:p>
    <w:p>
      <w:pPr>
        <w:pStyle w:val="BodyText"/>
        <w:spacing w:before="120"/>
        <w:ind w:left="1256" w:right="309" w:hanging="708"/>
      </w:pPr>
      <w:r>
        <w:rPr/>
        <w:t>Reader, R. (5 Mart 2015). “A Brief History of Etsy, from 2005 Brooklyn Launch to 2015 IPO”, </w:t>
      </w:r>
      <w:r>
        <w:rPr>
          <w:i/>
        </w:rPr>
        <w:t>Venture Beat</w:t>
      </w:r>
      <w:r>
        <w:rPr/>
        <w:t>. https://venturebeat.com/2015/03/05/a-brief-history-of-etsy- from-2005-brooklyn-launch-to-2015-ipo/ (14/01/2020)</w:t>
      </w:r>
    </w:p>
    <w:p>
      <w:pPr>
        <w:spacing w:after="0"/>
        <w:sectPr>
          <w:pgSz w:w="12240" w:h="15840"/>
          <w:pgMar w:header="718" w:footer="0" w:top="1300" w:bottom="280" w:left="1720" w:right="820"/>
        </w:sectPr>
      </w:pPr>
    </w:p>
    <w:p>
      <w:pPr>
        <w:spacing w:before="100"/>
        <w:ind w:left="1256" w:right="312" w:hanging="708"/>
        <w:jc w:val="both"/>
        <w:rPr>
          <w:sz w:val="24"/>
        </w:rPr>
      </w:pPr>
      <w:r>
        <w:rPr>
          <w:sz w:val="24"/>
        </w:rPr>
        <w:t>Reimer, T., &amp; Benkenstein, M. (2016). “Altruistic eWOM Marketing: More Than an Alternative to Monetary İncentives”, </w:t>
      </w:r>
      <w:r>
        <w:rPr>
          <w:i/>
          <w:sz w:val="24"/>
        </w:rPr>
        <w:t>Journal of Retailing and Consumer Services</w:t>
      </w:r>
      <w:r>
        <w:rPr>
          <w:sz w:val="24"/>
        </w:rPr>
        <w:t>, 31, 323-333. doi:10.1016/j.jretconser.2016.04.003</w:t>
      </w:r>
    </w:p>
    <w:p>
      <w:pPr>
        <w:pStyle w:val="BodyText"/>
        <w:spacing w:before="121"/>
        <w:ind w:left="1256" w:right="309" w:hanging="708"/>
      </w:pPr>
      <w:r>
        <w:rPr/>
        <w:t>Ren, G., &amp; Hong, T. (2019). “Examining The Relationship Between Specific Negative Emotions and The Perceived Helpfulness of Online Reviews”, </w:t>
      </w:r>
      <w:r>
        <w:rPr>
          <w:i/>
        </w:rPr>
        <w:t>Information </w:t>
      </w:r>
      <w:r>
        <w:rPr>
          <w:i/>
        </w:rPr>
        <w:t>Processing &amp; Management</w:t>
      </w:r>
      <w:r>
        <w:rPr/>
        <w:t>, 56(4), 1425-1438. doi:10.1016/j.ipm.2018.04.003</w:t>
      </w:r>
    </w:p>
    <w:p>
      <w:pPr>
        <w:pStyle w:val="BodyText"/>
        <w:spacing w:before="120"/>
        <w:ind w:left="1256" w:right="314" w:hanging="708"/>
      </w:pPr>
      <w:r>
        <w:rPr/>
        <w:t>Reynolds,</w:t>
      </w:r>
      <w:r>
        <w:rPr>
          <w:spacing w:val="-7"/>
        </w:rPr>
        <w:t> </w:t>
      </w:r>
      <w:r>
        <w:rPr/>
        <w:t>K.</w:t>
      </w:r>
      <w:r>
        <w:rPr>
          <w:spacing w:val="-7"/>
        </w:rPr>
        <w:t> </w:t>
      </w:r>
      <w:r>
        <w:rPr/>
        <w:t>E.,</w:t>
      </w:r>
      <w:r>
        <w:rPr>
          <w:spacing w:val="-7"/>
        </w:rPr>
        <w:t> </w:t>
      </w:r>
      <w:r>
        <w:rPr/>
        <w:t>&amp;</w:t>
      </w:r>
      <w:r>
        <w:rPr>
          <w:spacing w:val="-8"/>
        </w:rPr>
        <w:t> </w:t>
      </w:r>
      <w:r>
        <w:rPr/>
        <w:t>Beatty,</w:t>
      </w:r>
      <w:r>
        <w:rPr>
          <w:spacing w:val="-7"/>
        </w:rPr>
        <w:t> </w:t>
      </w:r>
      <w:r>
        <w:rPr/>
        <w:t>S.</w:t>
      </w:r>
      <w:r>
        <w:rPr>
          <w:spacing w:val="-6"/>
        </w:rPr>
        <w:t> </w:t>
      </w:r>
      <w:r>
        <w:rPr/>
        <w:t>E.</w:t>
      </w:r>
      <w:r>
        <w:rPr>
          <w:spacing w:val="-7"/>
        </w:rPr>
        <w:t> </w:t>
      </w:r>
      <w:r>
        <w:rPr/>
        <w:t>(1999).</w:t>
      </w:r>
      <w:r>
        <w:rPr>
          <w:spacing w:val="-5"/>
        </w:rPr>
        <w:t> </w:t>
      </w:r>
      <w:r>
        <w:rPr/>
        <w:t>“Customer</w:t>
      </w:r>
      <w:r>
        <w:rPr>
          <w:spacing w:val="-7"/>
        </w:rPr>
        <w:t> </w:t>
      </w:r>
      <w:r>
        <w:rPr/>
        <w:t>Benefits</w:t>
      </w:r>
      <w:r>
        <w:rPr>
          <w:spacing w:val="-6"/>
        </w:rPr>
        <w:t> </w:t>
      </w:r>
      <w:r>
        <w:rPr/>
        <w:t>and</w:t>
      </w:r>
      <w:r>
        <w:rPr>
          <w:spacing w:val="-6"/>
        </w:rPr>
        <w:t> </w:t>
      </w:r>
      <w:r>
        <w:rPr/>
        <w:t>Company</w:t>
      </w:r>
      <w:r>
        <w:rPr>
          <w:spacing w:val="-8"/>
        </w:rPr>
        <w:t> </w:t>
      </w:r>
      <w:r>
        <w:rPr/>
        <w:t>Consequences</w:t>
      </w:r>
      <w:r>
        <w:rPr>
          <w:spacing w:val="-6"/>
        </w:rPr>
        <w:t> </w:t>
      </w:r>
      <w:r>
        <w:rPr/>
        <w:t>of Customer–Salesperson Relationships in Retailing”, </w:t>
      </w:r>
      <w:r>
        <w:rPr>
          <w:i/>
        </w:rPr>
        <w:t>Journal of Retailing</w:t>
      </w:r>
      <w:r>
        <w:rPr/>
        <w:t>, 75(1), 11- 32.</w:t>
      </w:r>
      <w:r>
        <w:rPr>
          <w:spacing w:val="-1"/>
        </w:rPr>
        <w:t> </w:t>
      </w:r>
      <w:r>
        <w:rPr/>
        <w:t>doi:10.1016/S0022-4359(99)80002-5</w:t>
      </w:r>
    </w:p>
    <w:p>
      <w:pPr>
        <w:pStyle w:val="BodyText"/>
        <w:spacing w:before="120"/>
        <w:ind w:left="1256" w:right="309" w:hanging="708"/>
      </w:pPr>
      <w:r>
        <w:rPr/>
        <w:t>Roodman, D. (2009a). “How to Do xtabond2: An Introduction to Difference and System GMM</w:t>
      </w:r>
      <w:r>
        <w:rPr>
          <w:spacing w:val="-11"/>
        </w:rPr>
        <w:t> </w:t>
      </w:r>
      <w:r>
        <w:rPr/>
        <w:t>in</w:t>
      </w:r>
      <w:r>
        <w:rPr>
          <w:spacing w:val="-10"/>
        </w:rPr>
        <w:t> </w:t>
      </w:r>
      <w:r>
        <w:rPr/>
        <w:t>Stata”,</w:t>
      </w:r>
      <w:r>
        <w:rPr>
          <w:spacing w:val="-11"/>
        </w:rPr>
        <w:t> </w:t>
      </w:r>
      <w:r>
        <w:rPr>
          <w:i/>
        </w:rPr>
        <w:t>The</w:t>
      </w:r>
      <w:r>
        <w:rPr>
          <w:i/>
          <w:spacing w:val="-11"/>
        </w:rPr>
        <w:t> </w:t>
      </w:r>
      <w:r>
        <w:rPr>
          <w:i/>
        </w:rPr>
        <w:t>Stata</w:t>
      </w:r>
      <w:r>
        <w:rPr>
          <w:i/>
          <w:spacing w:val="-11"/>
        </w:rPr>
        <w:t> </w:t>
      </w:r>
      <w:r>
        <w:rPr>
          <w:i/>
        </w:rPr>
        <w:t>Journal</w:t>
      </w:r>
      <w:r>
        <w:rPr/>
        <w:t>,</w:t>
      </w:r>
      <w:r>
        <w:rPr>
          <w:spacing w:val="-10"/>
        </w:rPr>
        <w:t> </w:t>
      </w:r>
      <w:r>
        <w:rPr/>
        <w:t>9(1),</w:t>
      </w:r>
      <w:r>
        <w:rPr>
          <w:spacing w:val="-10"/>
        </w:rPr>
        <w:t> </w:t>
      </w:r>
      <w:r>
        <w:rPr/>
        <w:t>86-136.</w:t>
      </w:r>
      <w:r>
        <w:rPr>
          <w:spacing w:val="-11"/>
        </w:rPr>
        <w:t> </w:t>
      </w:r>
      <w:r>
        <w:rPr/>
        <w:t>doi:10.1177/1536867X0900900106</w:t>
      </w:r>
    </w:p>
    <w:p>
      <w:pPr>
        <w:spacing w:before="120"/>
        <w:ind w:left="1256" w:right="309" w:hanging="708"/>
        <w:jc w:val="both"/>
        <w:rPr>
          <w:sz w:val="24"/>
        </w:rPr>
      </w:pPr>
      <w:r>
        <w:rPr>
          <w:sz w:val="24"/>
        </w:rPr>
        <w:t>Roodman, D. (2009b). “A Note on The Theme of Too Many Instruments”, </w:t>
      </w:r>
      <w:r>
        <w:rPr>
          <w:i/>
          <w:sz w:val="24"/>
        </w:rPr>
        <w:t>Oxford Bulletin </w:t>
      </w:r>
      <w:r>
        <w:rPr>
          <w:i/>
          <w:sz w:val="24"/>
        </w:rPr>
        <w:t>of Economics and Statistics</w:t>
      </w:r>
      <w:r>
        <w:rPr>
          <w:sz w:val="24"/>
        </w:rPr>
        <w:t>, 71(1), 135-158.</w:t>
      </w:r>
      <w:r>
        <w:rPr>
          <w:spacing w:val="-7"/>
          <w:sz w:val="24"/>
        </w:rPr>
        <w:t> </w:t>
      </w:r>
      <w:r>
        <w:rPr>
          <w:sz w:val="24"/>
        </w:rPr>
        <w:t>doi:10.1111/j.1468-0084.2008.00542.x</w:t>
      </w:r>
    </w:p>
    <w:p>
      <w:pPr>
        <w:pStyle w:val="BodyText"/>
        <w:spacing w:before="120"/>
        <w:ind w:left="1256" w:right="313" w:hanging="708"/>
      </w:pPr>
      <w:r>
        <w:rPr/>
        <w:t>Ruef, M., Aldrich, H. E., &amp; Carter, N. M. (2003). “The Structure of Founding Teams: Homophily, Strong Ties, and Isolation Among US Entrepreneurs”, </w:t>
      </w:r>
      <w:r>
        <w:rPr>
          <w:i/>
        </w:rPr>
        <w:t>American </w:t>
      </w:r>
      <w:r>
        <w:rPr>
          <w:i/>
        </w:rPr>
        <w:t>Sociological Review</w:t>
      </w:r>
      <w:r>
        <w:rPr/>
        <w:t>, 68(2) 195-222.</w:t>
      </w:r>
    </w:p>
    <w:p>
      <w:pPr>
        <w:pStyle w:val="BodyText"/>
        <w:spacing w:before="121"/>
        <w:ind w:left="1256" w:right="308" w:hanging="708"/>
      </w:pPr>
      <w:r>
        <w:rPr/>
        <w:t>Rynarzewska,</w:t>
      </w:r>
      <w:r>
        <w:rPr>
          <w:spacing w:val="-5"/>
        </w:rPr>
        <w:t> </w:t>
      </w:r>
      <w:r>
        <w:rPr/>
        <w:t>A.</w:t>
      </w:r>
      <w:r>
        <w:rPr>
          <w:spacing w:val="-2"/>
        </w:rPr>
        <w:t> </w:t>
      </w:r>
      <w:r>
        <w:rPr/>
        <w:t>I.</w:t>
      </w:r>
      <w:r>
        <w:rPr>
          <w:spacing w:val="-5"/>
        </w:rPr>
        <w:t> </w:t>
      </w:r>
      <w:r>
        <w:rPr/>
        <w:t>(2019).</w:t>
      </w:r>
      <w:r>
        <w:rPr>
          <w:spacing w:val="-4"/>
        </w:rPr>
        <w:t> </w:t>
      </w:r>
      <w:r>
        <w:rPr/>
        <w:t>“It’s</w:t>
      </w:r>
      <w:r>
        <w:rPr>
          <w:spacing w:val="-5"/>
        </w:rPr>
        <w:t> </w:t>
      </w:r>
      <w:r>
        <w:rPr/>
        <w:t>not</w:t>
      </w:r>
      <w:r>
        <w:rPr>
          <w:spacing w:val="-2"/>
        </w:rPr>
        <w:t> </w:t>
      </w:r>
      <w:r>
        <w:rPr/>
        <w:t>Fake,</w:t>
      </w:r>
      <w:r>
        <w:rPr>
          <w:spacing w:val="-2"/>
        </w:rPr>
        <w:t> </w:t>
      </w:r>
      <w:r>
        <w:rPr/>
        <w:t>It’s</w:t>
      </w:r>
      <w:r>
        <w:rPr>
          <w:spacing w:val="-5"/>
        </w:rPr>
        <w:t> </w:t>
      </w:r>
      <w:r>
        <w:rPr/>
        <w:t>Biased:</w:t>
      </w:r>
      <w:r>
        <w:rPr>
          <w:spacing w:val="-1"/>
        </w:rPr>
        <w:t> </w:t>
      </w:r>
      <w:r>
        <w:rPr/>
        <w:t>Insights</w:t>
      </w:r>
      <w:r>
        <w:rPr>
          <w:spacing w:val="-4"/>
        </w:rPr>
        <w:t> </w:t>
      </w:r>
      <w:r>
        <w:rPr/>
        <w:t>into</w:t>
      </w:r>
      <w:r>
        <w:rPr>
          <w:spacing w:val="-5"/>
        </w:rPr>
        <w:t> </w:t>
      </w:r>
      <w:r>
        <w:rPr/>
        <w:t>Morality</w:t>
      </w:r>
      <w:r>
        <w:rPr>
          <w:spacing w:val="-4"/>
        </w:rPr>
        <w:t> </w:t>
      </w:r>
      <w:r>
        <w:rPr/>
        <w:t>of</w:t>
      </w:r>
      <w:r>
        <w:rPr>
          <w:spacing w:val="-2"/>
        </w:rPr>
        <w:t> </w:t>
      </w:r>
      <w:r>
        <w:rPr/>
        <w:t>Incentivized Reviewers”, </w:t>
      </w:r>
      <w:r>
        <w:rPr>
          <w:i/>
        </w:rPr>
        <w:t>Journal of Consumer Marketing</w:t>
      </w:r>
      <w:r>
        <w:rPr/>
        <w:t>, 36(3), 401-409. doi:10.1108/JCM-02- 2018-2570</w:t>
      </w:r>
    </w:p>
    <w:p>
      <w:pPr>
        <w:pStyle w:val="BodyText"/>
        <w:spacing w:before="120"/>
        <w:ind w:left="1256" w:right="309" w:hanging="708"/>
      </w:pPr>
      <w:r>
        <w:rPr/>
        <w:t>Sahelices-Pinto,</w:t>
      </w:r>
      <w:r>
        <w:rPr>
          <w:spacing w:val="-11"/>
        </w:rPr>
        <w:t> </w:t>
      </w:r>
      <w:r>
        <w:rPr/>
        <w:t>C.,</w:t>
      </w:r>
      <w:r>
        <w:rPr>
          <w:spacing w:val="-10"/>
        </w:rPr>
        <w:t> </w:t>
      </w:r>
      <w:r>
        <w:rPr/>
        <w:t>Lanero-Carrizo,</w:t>
      </w:r>
      <w:r>
        <w:rPr>
          <w:spacing w:val="-10"/>
        </w:rPr>
        <w:t> </w:t>
      </w:r>
      <w:r>
        <w:rPr/>
        <w:t>A.,</w:t>
      </w:r>
      <w:r>
        <w:rPr>
          <w:spacing w:val="-11"/>
        </w:rPr>
        <w:t> </w:t>
      </w:r>
      <w:r>
        <w:rPr/>
        <w:t>Vázquez-Burguete,</w:t>
      </w:r>
      <w:r>
        <w:rPr>
          <w:spacing w:val="-10"/>
        </w:rPr>
        <w:t> </w:t>
      </w:r>
      <w:r>
        <w:rPr/>
        <w:t>J.</w:t>
      </w:r>
      <w:r>
        <w:rPr>
          <w:spacing w:val="-10"/>
        </w:rPr>
        <w:t> </w:t>
      </w:r>
      <w:r>
        <w:rPr/>
        <w:t>L.,</w:t>
      </w:r>
      <w:r>
        <w:rPr>
          <w:spacing w:val="-10"/>
        </w:rPr>
        <w:t> </w:t>
      </w:r>
      <w:r>
        <w:rPr/>
        <w:t>&amp;</w:t>
      </w:r>
      <w:r>
        <w:rPr>
          <w:spacing w:val="-9"/>
        </w:rPr>
        <w:t> </w:t>
      </w:r>
      <w:r>
        <w:rPr/>
        <w:t>Gutierrez-Rodriguez,</w:t>
      </w:r>
      <w:r>
        <w:rPr>
          <w:spacing w:val="-11"/>
        </w:rPr>
        <w:t> </w:t>
      </w:r>
      <w:r>
        <w:rPr/>
        <w:t>P. (2018). “Ewom and 2.0 Opinion Leaders in The Food Context: A Study with A Sample of Spanish Food-Related Weblogs”, </w:t>
      </w:r>
      <w:r>
        <w:rPr>
          <w:i/>
        </w:rPr>
        <w:t>Journal of Food Products Marketing</w:t>
      </w:r>
      <w:r>
        <w:rPr/>
        <w:t>, 24(3), 328-347. doi:10.1080/10454446.2017.1266561</w:t>
      </w:r>
    </w:p>
    <w:p>
      <w:pPr>
        <w:spacing w:before="120"/>
        <w:ind w:left="1256" w:right="311" w:hanging="708"/>
        <w:jc w:val="both"/>
        <w:rPr>
          <w:sz w:val="24"/>
        </w:rPr>
      </w:pPr>
      <w:r>
        <w:rPr>
          <w:sz w:val="24"/>
        </w:rPr>
        <w:t>Sanchez-Cortes, D., Kumano, S., Otsuka, K., &amp; Gatica-Perez, D. (2015). “In The Mood for Vlog: Multimodal Inference in Conversational Social Video”, </w:t>
      </w:r>
      <w:r>
        <w:rPr>
          <w:i/>
          <w:sz w:val="24"/>
        </w:rPr>
        <w:t>ACM Transactions on </w:t>
      </w:r>
      <w:r>
        <w:rPr>
          <w:i/>
          <w:sz w:val="24"/>
        </w:rPr>
        <w:t>Interactive Intelligent Systems (TiiS)</w:t>
      </w:r>
      <w:r>
        <w:rPr>
          <w:sz w:val="24"/>
        </w:rPr>
        <w:t>, 5(2), 1-25. doi:10.1145/2641577</w:t>
      </w:r>
    </w:p>
    <w:p>
      <w:pPr>
        <w:spacing w:before="120"/>
        <w:ind w:left="1256" w:right="309" w:hanging="708"/>
        <w:jc w:val="both"/>
        <w:rPr>
          <w:sz w:val="24"/>
        </w:rPr>
      </w:pPr>
      <w:r>
        <w:rPr>
          <w:sz w:val="24"/>
        </w:rPr>
        <w:t>Schau, H. J. &amp; Muniz, A. M. Jr. (2002). “Brand Communities and Personal Identities: Negotiations</w:t>
      </w:r>
      <w:r>
        <w:rPr>
          <w:spacing w:val="-16"/>
          <w:sz w:val="24"/>
        </w:rPr>
        <w:t> </w:t>
      </w:r>
      <w:r>
        <w:rPr>
          <w:sz w:val="24"/>
        </w:rPr>
        <w:t>in</w:t>
      </w:r>
      <w:r>
        <w:rPr>
          <w:spacing w:val="-16"/>
          <w:sz w:val="24"/>
        </w:rPr>
        <w:t> </w:t>
      </w:r>
      <w:r>
        <w:rPr>
          <w:sz w:val="24"/>
        </w:rPr>
        <w:t>Cyberspace”,</w:t>
      </w:r>
      <w:r>
        <w:rPr>
          <w:spacing w:val="-16"/>
          <w:sz w:val="24"/>
        </w:rPr>
        <w:t> </w:t>
      </w:r>
      <w:r>
        <w:rPr>
          <w:i/>
          <w:sz w:val="24"/>
        </w:rPr>
        <w:t>Advances</w:t>
      </w:r>
      <w:r>
        <w:rPr>
          <w:i/>
          <w:spacing w:val="-16"/>
          <w:sz w:val="24"/>
        </w:rPr>
        <w:t> </w:t>
      </w:r>
      <w:r>
        <w:rPr>
          <w:i/>
          <w:sz w:val="24"/>
        </w:rPr>
        <w:t>in</w:t>
      </w:r>
      <w:r>
        <w:rPr>
          <w:i/>
          <w:spacing w:val="-15"/>
          <w:sz w:val="24"/>
        </w:rPr>
        <w:t> </w:t>
      </w:r>
      <w:r>
        <w:rPr>
          <w:i/>
          <w:sz w:val="24"/>
        </w:rPr>
        <w:t>Consumer</w:t>
      </w:r>
      <w:r>
        <w:rPr>
          <w:i/>
          <w:spacing w:val="-16"/>
          <w:sz w:val="24"/>
        </w:rPr>
        <w:t> </w:t>
      </w:r>
      <w:r>
        <w:rPr>
          <w:i/>
          <w:sz w:val="24"/>
        </w:rPr>
        <w:t>Research</w:t>
      </w:r>
      <w:r>
        <w:rPr>
          <w:i/>
          <w:spacing w:val="-14"/>
          <w:sz w:val="24"/>
        </w:rPr>
        <w:t> </w:t>
      </w:r>
      <w:r>
        <w:rPr>
          <w:i/>
          <w:sz w:val="24"/>
        </w:rPr>
        <w:t>Volume</w:t>
      </w:r>
      <w:r>
        <w:rPr>
          <w:i/>
          <w:spacing w:val="-17"/>
          <w:sz w:val="24"/>
        </w:rPr>
        <w:t> </w:t>
      </w:r>
      <w:r>
        <w:rPr>
          <w:i/>
          <w:sz w:val="24"/>
        </w:rPr>
        <w:t>29</w:t>
      </w:r>
      <w:r>
        <w:rPr>
          <w:sz w:val="24"/>
        </w:rPr>
        <w:t>,</w:t>
      </w:r>
      <w:r>
        <w:rPr>
          <w:spacing w:val="-13"/>
          <w:sz w:val="24"/>
        </w:rPr>
        <w:t> </w:t>
      </w:r>
      <w:r>
        <w:rPr>
          <w:sz w:val="24"/>
        </w:rPr>
        <w:t>eds.</w:t>
      </w:r>
      <w:r>
        <w:rPr>
          <w:spacing w:val="-16"/>
          <w:sz w:val="24"/>
        </w:rPr>
        <w:t> </w:t>
      </w:r>
      <w:r>
        <w:rPr>
          <w:sz w:val="24"/>
        </w:rPr>
        <w:t>Susan</w:t>
      </w:r>
    </w:p>
    <w:p>
      <w:pPr>
        <w:pStyle w:val="BodyText"/>
        <w:ind w:left="1256" w:right="316"/>
      </w:pPr>
      <w:r>
        <w:rPr/>
        <w:t>M. Broniarczyk and Kent Nakamoto, Valdosta, GA : Association for Consumer Research, 344-349.</w:t>
      </w:r>
    </w:p>
    <w:p>
      <w:pPr>
        <w:pStyle w:val="BodyText"/>
        <w:spacing w:before="120"/>
        <w:ind w:left="1256" w:right="314" w:hanging="708"/>
      </w:pPr>
      <w:r>
        <w:rPr/>
        <w:t>Schau, H. J., Muñiz Jr, A. M., &amp; Arnould, E. J. (2009). “How Brand Community Practices Create Value”, </w:t>
      </w:r>
      <w:r>
        <w:rPr>
          <w:i/>
        </w:rPr>
        <w:t>Journal of Marketing</w:t>
      </w:r>
      <w:r>
        <w:rPr/>
        <w:t>, 73(5), 30-51. doi:10.1509/jmkg.73.5.30</w:t>
      </w:r>
    </w:p>
    <w:p>
      <w:pPr>
        <w:spacing w:before="120"/>
        <w:ind w:left="1256" w:right="308" w:hanging="708"/>
        <w:jc w:val="both"/>
        <w:rPr>
          <w:sz w:val="24"/>
        </w:rPr>
      </w:pPr>
      <w:r>
        <w:rPr>
          <w:sz w:val="24"/>
        </w:rPr>
        <w:t>Schiffman, L. G., &amp; Wisenblit, J. (2015). </w:t>
      </w:r>
      <w:r>
        <w:rPr>
          <w:i/>
          <w:sz w:val="24"/>
        </w:rPr>
        <w:t>Consumer Behavior: Global Edition</w:t>
      </w:r>
      <w:r>
        <w:rPr>
          <w:sz w:val="24"/>
        </w:rPr>
        <w:t>. Pearson, Essex.</w:t>
      </w:r>
    </w:p>
    <w:p>
      <w:pPr>
        <w:pStyle w:val="BodyText"/>
        <w:spacing w:before="119"/>
        <w:ind w:left="1256" w:right="311" w:hanging="708"/>
      </w:pPr>
      <w:r>
        <w:rPr/>
        <w:t>Scholz, M., Schnurbus, J., Haupt, H., Dorner, V., Landherr, A., &amp; Probst, F. (2018). “Dynamic Effects of User-and Marketer-Generated Content on Consumer Purchase Behavior:</w:t>
      </w:r>
      <w:r>
        <w:rPr>
          <w:spacing w:val="-7"/>
        </w:rPr>
        <w:t> </w:t>
      </w:r>
      <w:r>
        <w:rPr/>
        <w:t>Modeling</w:t>
      </w:r>
      <w:r>
        <w:rPr>
          <w:spacing w:val="-6"/>
        </w:rPr>
        <w:t> </w:t>
      </w:r>
      <w:r>
        <w:rPr/>
        <w:t>The</w:t>
      </w:r>
      <w:r>
        <w:rPr>
          <w:spacing w:val="-5"/>
        </w:rPr>
        <w:t> </w:t>
      </w:r>
      <w:r>
        <w:rPr/>
        <w:t>Hierarchical</w:t>
      </w:r>
      <w:r>
        <w:rPr>
          <w:spacing w:val="-7"/>
        </w:rPr>
        <w:t> </w:t>
      </w:r>
      <w:r>
        <w:rPr/>
        <w:t>Structure</w:t>
      </w:r>
      <w:r>
        <w:rPr>
          <w:spacing w:val="-7"/>
        </w:rPr>
        <w:t> </w:t>
      </w:r>
      <w:r>
        <w:rPr/>
        <w:t>of</w:t>
      </w:r>
      <w:r>
        <w:rPr>
          <w:spacing w:val="-5"/>
        </w:rPr>
        <w:t> </w:t>
      </w:r>
      <w:r>
        <w:rPr/>
        <w:t>Social</w:t>
      </w:r>
      <w:r>
        <w:rPr>
          <w:spacing w:val="-7"/>
        </w:rPr>
        <w:t> </w:t>
      </w:r>
      <w:r>
        <w:rPr/>
        <w:t>Media</w:t>
      </w:r>
      <w:r>
        <w:rPr>
          <w:spacing w:val="-7"/>
        </w:rPr>
        <w:t> </w:t>
      </w:r>
      <w:r>
        <w:rPr/>
        <w:t>Websites”,</w:t>
      </w:r>
      <w:r>
        <w:rPr>
          <w:spacing w:val="-4"/>
        </w:rPr>
        <w:t> </w:t>
      </w:r>
      <w:r>
        <w:rPr>
          <w:i/>
        </w:rPr>
        <w:t>Decision </w:t>
      </w:r>
      <w:r>
        <w:rPr>
          <w:i/>
        </w:rPr>
        <w:t>Support Systems</w:t>
      </w:r>
      <w:r>
        <w:rPr/>
        <w:t>, 113, 43-55. doi:</w:t>
      </w:r>
      <w:r>
        <w:rPr>
          <w:spacing w:val="-10"/>
        </w:rPr>
        <w:t> </w:t>
      </w:r>
      <w:r>
        <w:rPr/>
        <w:t>10.1016/j.dss.2018.07.001</w:t>
      </w:r>
    </w:p>
    <w:p>
      <w:pPr>
        <w:pStyle w:val="BodyText"/>
        <w:spacing w:before="120"/>
        <w:ind w:left="1256" w:right="311" w:hanging="708"/>
      </w:pPr>
      <w:r>
        <w:rPr/>
        <w:t>Seiler,</w:t>
      </w:r>
      <w:r>
        <w:rPr>
          <w:spacing w:val="-15"/>
        </w:rPr>
        <w:t> </w:t>
      </w:r>
      <w:r>
        <w:rPr/>
        <w:t>S.,</w:t>
      </w:r>
      <w:r>
        <w:rPr>
          <w:spacing w:val="-13"/>
        </w:rPr>
        <w:t> </w:t>
      </w:r>
      <w:r>
        <w:rPr/>
        <w:t>Yao,</w:t>
      </w:r>
      <w:r>
        <w:rPr>
          <w:spacing w:val="-13"/>
        </w:rPr>
        <w:t> </w:t>
      </w:r>
      <w:r>
        <w:rPr/>
        <w:t>S.,</w:t>
      </w:r>
      <w:r>
        <w:rPr>
          <w:spacing w:val="-14"/>
        </w:rPr>
        <w:t> </w:t>
      </w:r>
      <w:r>
        <w:rPr/>
        <w:t>&amp;</w:t>
      </w:r>
      <w:r>
        <w:rPr>
          <w:spacing w:val="-15"/>
        </w:rPr>
        <w:t> </w:t>
      </w:r>
      <w:r>
        <w:rPr/>
        <w:t>Wang,</w:t>
      </w:r>
      <w:r>
        <w:rPr>
          <w:spacing w:val="-13"/>
        </w:rPr>
        <w:t> </w:t>
      </w:r>
      <w:r>
        <w:rPr/>
        <w:t>W.</w:t>
      </w:r>
      <w:r>
        <w:rPr>
          <w:spacing w:val="-13"/>
        </w:rPr>
        <w:t> </w:t>
      </w:r>
      <w:r>
        <w:rPr/>
        <w:t>(2017).</w:t>
      </w:r>
      <w:r>
        <w:rPr>
          <w:spacing w:val="-13"/>
        </w:rPr>
        <w:t> </w:t>
      </w:r>
      <w:r>
        <w:rPr/>
        <w:t>“Does</w:t>
      </w:r>
      <w:r>
        <w:rPr>
          <w:spacing w:val="-13"/>
        </w:rPr>
        <w:t> </w:t>
      </w:r>
      <w:r>
        <w:rPr/>
        <w:t>Online</w:t>
      </w:r>
      <w:r>
        <w:rPr>
          <w:spacing w:val="-14"/>
        </w:rPr>
        <w:t> </w:t>
      </w:r>
      <w:r>
        <w:rPr/>
        <w:t>Word</w:t>
      </w:r>
      <w:r>
        <w:rPr>
          <w:spacing w:val="-15"/>
        </w:rPr>
        <w:t> </w:t>
      </w:r>
      <w:r>
        <w:rPr/>
        <w:t>of</w:t>
      </w:r>
      <w:r>
        <w:rPr>
          <w:spacing w:val="-14"/>
        </w:rPr>
        <w:t> </w:t>
      </w:r>
      <w:r>
        <w:rPr/>
        <w:t>Mouth</w:t>
      </w:r>
      <w:r>
        <w:rPr>
          <w:spacing w:val="-13"/>
        </w:rPr>
        <w:t> </w:t>
      </w:r>
      <w:r>
        <w:rPr/>
        <w:t>Increase</w:t>
      </w:r>
      <w:r>
        <w:rPr>
          <w:spacing w:val="-14"/>
        </w:rPr>
        <w:t> </w:t>
      </w:r>
      <w:r>
        <w:rPr/>
        <w:t>Demand?(and How?) Evidence from a Natural Experiment”, </w:t>
      </w:r>
      <w:r>
        <w:rPr>
          <w:i/>
        </w:rPr>
        <w:t>Marketing Science</w:t>
      </w:r>
      <w:r>
        <w:rPr/>
        <w:t>, 36(6), 838-861. doi:10.1287/mksc.2017.1045</w:t>
      </w:r>
    </w:p>
    <w:p>
      <w:pPr>
        <w:spacing w:after="0"/>
        <w:sectPr>
          <w:pgSz w:w="12240" w:h="15840"/>
          <w:pgMar w:header="718" w:footer="0" w:top="1300" w:bottom="280" w:left="1720" w:right="820"/>
        </w:sectPr>
      </w:pPr>
    </w:p>
    <w:p>
      <w:pPr>
        <w:spacing w:before="100"/>
        <w:ind w:left="548" w:right="0" w:firstLine="0"/>
        <w:jc w:val="both"/>
        <w:rPr>
          <w:sz w:val="24"/>
        </w:rPr>
      </w:pPr>
      <w:r>
        <w:rPr>
          <w:sz w:val="24"/>
        </w:rPr>
        <w:t>Sernovitz, A. (2015). </w:t>
      </w:r>
      <w:r>
        <w:rPr>
          <w:i/>
          <w:sz w:val="24"/>
        </w:rPr>
        <w:t>Word of Mouth Marketing: How Smart Companies Get People Talking</w:t>
      </w:r>
      <w:r>
        <w:rPr>
          <w:sz w:val="24"/>
        </w:rPr>
        <w:t>.</w:t>
      </w:r>
    </w:p>
    <w:p>
      <w:pPr>
        <w:pStyle w:val="BodyText"/>
        <w:spacing w:before="1"/>
        <w:ind w:left="1256"/>
      </w:pPr>
      <w:r>
        <w:rPr/>
        <w:t>PressBox Publishing, Austin TX.</w:t>
      </w:r>
    </w:p>
    <w:p>
      <w:pPr>
        <w:pStyle w:val="BodyText"/>
        <w:spacing w:before="120"/>
        <w:ind w:left="1256" w:right="313" w:hanging="708"/>
      </w:pPr>
      <w:r>
        <w:rPr/>
        <w:t>Shah, D., Kumar, V., &amp; Kim, K. H. (2014). “Managing Customer Profits: The Power of Habits”, </w:t>
      </w:r>
      <w:r>
        <w:rPr>
          <w:i/>
        </w:rPr>
        <w:t>Journal of Marketing Research</w:t>
      </w:r>
      <w:r>
        <w:rPr/>
        <w:t>, 51(6), 726-741. doi: 10.1509/jmr.13.0423</w:t>
      </w:r>
    </w:p>
    <w:p>
      <w:pPr>
        <w:pStyle w:val="BodyText"/>
        <w:spacing w:before="120"/>
        <w:ind w:left="1256" w:right="311" w:hanging="708"/>
      </w:pPr>
      <w:r>
        <w:rPr/>
        <w:t>Shen, W., Yu (Jeffrey) Hu, &amp; Ulmer, J. R. (2015). “Competing for Attention: An Empirical Study of Online Reviewers' Strategic Behavior”, </w:t>
      </w:r>
      <w:r>
        <w:rPr>
          <w:i/>
        </w:rPr>
        <w:t>MIS Quarterly</w:t>
      </w:r>
      <w:r>
        <w:rPr/>
        <w:t>, 39(3), 683-696. doi:10.25300/MISQ/2015/39.3.08</w:t>
      </w:r>
    </w:p>
    <w:p>
      <w:pPr>
        <w:pStyle w:val="BodyText"/>
        <w:spacing w:before="120"/>
        <w:ind w:left="1256" w:right="311" w:hanging="708"/>
      </w:pPr>
      <w:r>
        <w:rPr/>
        <w:t>Shin,</w:t>
      </w:r>
      <w:r>
        <w:rPr>
          <w:spacing w:val="-6"/>
        </w:rPr>
        <w:t> </w:t>
      </w:r>
      <w:r>
        <w:rPr/>
        <w:t>H.</w:t>
      </w:r>
      <w:r>
        <w:rPr>
          <w:spacing w:val="-6"/>
        </w:rPr>
        <w:t> </w:t>
      </w:r>
      <w:r>
        <w:rPr/>
        <w:t>S.,</w:t>
      </w:r>
      <w:r>
        <w:rPr>
          <w:spacing w:val="-5"/>
        </w:rPr>
        <w:t> </w:t>
      </w:r>
      <w:r>
        <w:rPr/>
        <w:t>Hanssens,</w:t>
      </w:r>
      <w:r>
        <w:rPr>
          <w:spacing w:val="-6"/>
        </w:rPr>
        <w:t> </w:t>
      </w:r>
      <w:r>
        <w:rPr/>
        <w:t>D.</w:t>
      </w:r>
      <w:r>
        <w:rPr>
          <w:spacing w:val="-6"/>
        </w:rPr>
        <w:t> </w:t>
      </w:r>
      <w:r>
        <w:rPr/>
        <w:t>M.,</w:t>
      </w:r>
      <w:r>
        <w:rPr>
          <w:spacing w:val="-6"/>
        </w:rPr>
        <w:t> </w:t>
      </w:r>
      <w:r>
        <w:rPr/>
        <w:t>&amp;</w:t>
      </w:r>
      <w:r>
        <w:rPr>
          <w:spacing w:val="-5"/>
        </w:rPr>
        <w:t> </w:t>
      </w:r>
      <w:r>
        <w:rPr/>
        <w:t>il</w:t>
      </w:r>
      <w:r>
        <w:rPr>
          <w:spacing w:val="-5"/>
        </w:rPr>
        <w:t> </w:t>
      </w:r>
      <w:r>
        <w:rPr/>
        <w:t>Kim,</w:t>
      </w:r>
      <w:r>
        <w:rPr>
          <w:spacing w:val="-5"/>
        </w:rPr>
        <w:t> </w:t>
      </w:r>
      <w:r>
        <w:rPr/>
        <w:t>K.</w:t>
      </w:r>
      <w:r>
        <w:rPr>
          <w:spacing w:val="-6"/>
        </w:rPr>
        <w:t> </w:t>
      </w:r>
      <w:r>
        <w:rPr/>
        <w:t>(2016).</w:t>
      </w:r>
      <w:r>
        <w:rPr>
          <w:spacing w:val="-5"/>
        </w:rPr>
        <w:t> </w:t>
      </w:r>
      <w:r>
        <w:rPr/>
        <w:t>“The</w:t>
      </w:r>
      <w:r>
        <w:rPr>
          <w:spacing w:val="-6"/>
        </w:rPr>
        <w:t> </w:t>
      </w:r>
      <w:r>
        <w:rPr/>
        <w:t>role</w:t>
      </w:r>
      <w:r>
        <w:rPr>
          <w:spacing w:val="-6"/>
        </w:rPr>
        <w:t> </w:t>
      </w:r>
      <w:r>
        <w:rPr/>
        <w:t>of</w:t>
      </w:r>
      <w:r>
        <w:rPr>
          <w:spacing w:val="-6"/>
        </w:rPr>
        <w:t> </w:t>
      </w:r>
      <w:r>
        <w:rPr/>
        <w:t>online</w:t>
      </w:r>
      <w:r>
        <w:rPr>
          <w:spacing w:val="-6"/>
        </w:rPr>
        <w:t> </w:t>
      </w:r>
      <w:r>
        <w:rPr/>
        <w:t>buzz</w:t>
      </w:r>
      <w:r>
        <w:rPr>
          <w:spacing w:val="-5"/>
        </w:rPr>
        <w:t> </w:t>
      </w:r>
      <w:r>
        <w:rPr/>
        <w:t>for</w:t>
      </w:r>
      <w:r>
        <w:rPr>
          <w:spacing w:val="-7"/>
        </w:rPr>
        <w:t> </w:t>
      </w:r>
      <w:r>
        <w:rPr/>
        <w:t>leader</w:t>
      </w:r>
      <w:r>
        <w:rPr>
          <w:spacing w:val="-6"/>
        </w:rPr>
        <w:t> </w:t>
      </w:r>
      <w:r>
        <w:rPr/>
        <w:t>versus challenger brands: the case of the MP3 player market”, </w:t>
      </w:r>
      <w:r>
        <w:rPr>
          <w:i/>
        </w:rPr>
        <w:t>Electronic Commerce </w:t>
      </w:r>
      <w:r>
        <w:rPr>
          <w:i/>
        </w:rPr>
        <w:t>Research</w:t>
      </w:r>
      <w:r>
        <w:rPr/>
        <w:t>, 16(4), 503-528. doi:</w:t>
      </w:r>
      <w:r>
        <w:rPr>
          <w:spacing w:val="-1"/>
        </w:rPr>
        <w:t> </w:t>
      </w:r>
      <w:r>
        <w:rPr/>
        <w:t>10.1007/s10660-016-9218-7</w:t>
      </w:r>
    </w:p>
    <w:p>
      <w:pPr>
        <w:pStyle w:val="BodyText"/>
        <w:spacing w:before="120"/>
        <w:ind w:left="1256" w:right="308" w:hanging="708"/>
      </w:pPr>
      <w:r>
        <w:rPr/>
        <w:t>Simonsohn, U., &amp; Ariely, D. (2008). “When Rational Sellers Face Nonrational Buyers: Evidence from Herding on eBay”, </w:t>
      </w:r>
      <w:r>
        <w:rPr>
          <w:i/>
        </w:rPr>
        <w:t>Management Science</w:t>
      </w:r>
      <w:r>
        <w:rPr/>
        <w:t>, 54(9), 1624-1637. doi:10.1287/mnsc.1080.0881</w:t>
      </w:r>
    </w:p>
    <w:p>
      <w:pPr>
        <w:pStyle w:val="BodyText"/>
        <w:spacing w:before="120"/>
      </w:pPr>
      <w:r>
        <w:rPr/>
        <w:t>Simonson, I., &amp; Rosen, E. (2014). “What Marketers Misunderstand About Online Reviews”,</w:t>
      </w:r>
    </w:p>
    <w:p>
      <w:pPr>
        <w:spacing w:before="0"/>
        <w:ind w:left="1256" w:right="0" w:firstLine="0"/>
        <w:jc w:val="both"/>
        <w:rPr>
          <w:sz w:val="24"/>
        </w:rPr>
      </w:pPr>
      <w:r>
        <w:rPr>
          <w:i/>
          <w:sz w:val="24"/>
        </w:rPr>
        <w:t>Harvard Business Review</w:t>
      </w:r>
      <w:r>
        <w:rPr>
          <w:sz w:val="24"/>
        </w:rPr>
        <w:t>, 92(1), 7.</w:t>
      </w:r>
    </w:p>
    <w:p>
      <w:pPr>
        <w:pStyle w:val="BodyText"/>
        <w:spacing w:before="120"/>
      </w:pPr>
      <w:r>
        <w:rPr/>
        <w:t>Simonson, I., &amp; Rosen, E. (2015). </w:t>
      </w:r>
      <w:r>
        <w:rPr>
          <w:i/>
        </w:rPr>
        <w:t>Yeni Tüketici</w:t>
      </w:r>
      <w:r>
        <w:rPr/>
        <w:t>, (çev. Cumhur Özkaya), The Kitap, İstanbul.</w:t>
      </w:r>
    </w:p>
    <w:p>
      <w:pPr>
        <w:pStyle w:val="BodyText"/>
        <w:spacing w:before="121"/>
        <w:ind w:left="1256" w:right="312" w:hanging="708"/>
      </w:pPr>
      <w:r>
        <w:rPr/>
        <w:t>Singh, J. P., Irani, S., Rana, N. P., Dwivedi, Y. K., Saumya, S., &amp; Roy, P. K. (2017). “Predicting The “Helpfulness” of Online Consumer Reviews”, </w:t>
      </w:r>
      <w:r>
        <w:rPr>
          <w:i/>
        </w:rPr>
        <w:t>Journal of Business </w:t>
      </w:r>
      <w:r>
        <w:rPr>
          <w:i/>
        </w:rPr>
        <w:t>Research</w:t>
      </w:r>
      <w:r>
        <w:rPr/>
        <w:t>, 70, 346-355. doi: 10.1016/j.jbusres.2016.08.008</w:t>
      </w:r>
    </w:p>
    <w:p>
      <w:pPr>
        <w:pStyle w:val="BodyText"/>
        <w:spacing w:before="120"/>
        <w:ind w:left="1256" w:right="312" w:hanging="708"/>
      </w:pPr>
      <w:r>
        <w:rPr/>
        <w:t>Sivakumar, B. (27 Nisan 2020). “The History of Amazon”, htt</w:t>
      </w:r>
      <w:hyperlink r:id="rId49">
        <w:r>
          <w:rPr/>
          <w:t>ps://www.fe</w:t>
        </w:r>
      </w:hyperlink>
      <w:r>
        <w:rPr/>
        <w:t>e</w:t>
      </w:r>
      <w:hyperlink r:id="rId49">
        <w:r>
          <w:rPr/>
          <w:t>dough.com/history-of-amazon/ </w:t>
        </w:r>
      </w:hyperlink>
      <w:r>
        <w:rPr/>
        <w:t>(e.t. 10/05/2020)</w:t>
      </w:r>
    </w:p>
    <w:p>
      <w:pPr>
        <w:pStyle w:val="BodyText"/>
        <w:spacing w:before="120"/>
        <w:ind w:left="1256" w:right="311" w:hanging="708"/>
      </w:pPr>
      <w:r>
        <w:rPr/>
        <w:t>Smith, C. (6 Eylül 2019). “70 Amazing Etsy Stats and Facts”, </w:t>
      </w:r>
      <w:r>
        <w:rPr>
          <w:i/>
        </w:rPr>
        <w:t>DMR</w:t>
      </w:r>
      <w:r>
        <w:rPr/>
        <w:t>. https://expandedramblings.com/index.php/etsy-statistics/ (15/01/2020)</w:t>
      </w:r>
    </w:p>
    <w:p>
      <w:pPr>
        <w:spacing w:line="390" w:lineRule="atLeast" w:before="6"/>
        <w:ind w:left="548" w:right="313" w:firstLine="0"/>
        <w:jc w:val="both"/>
        <w:rPr>
          <w:sz w:val="24"/>
        </w:rPr>
      </w:pPr>
      <w:r>
        <w:rPr>
          <w:sz w:val="24"/>
        </w:rPr>
        <w:t>Solomon, M. (2018). </w:t>
      </w:r>
      <w:r>
        <w:rPr>
          <w:i/>
          <w:sz w:val="24"/>
        </w:rPr>
        <w:t>Consumer Behavior: Buying, Having, and Being</w:t>
      </w:r>
      <w:r>
        <w:rPr>
          <w:sz w:val="24"/>
        </w:rPr>
        <w:t>, Pearson, Essex. Sonnier, G. P., McAlister, L., &amp; Rutz, O. J. (2011). “A Dynamic Model of The Effect of</w:t>
      </w:r>
    </w:p>
    <w:p>
      <w:pPr>
        <w:pStyle w:val="BodyText"/>
        <w:spacing w:before="6"/>
        <w:ind w:left="1256" w:right="311"/>
      </w:pPr>
      <w:r>
        <w:rPr/>
        <w:t>Online Communications on Firm Sales”, </w:t>
      </w:r>
      <w:r>
        <w:rPr>
          <w:i/>
        </w:rPr>
        <w:t>Marketing Science</w:t>
      </w:r>
      <w:r>
        <w:rPr/>
        <w:t>, 30(4), 702-716. doi:mksc.1110.0642</w:t>
      </w:r>
    </w:p>
    <w:p>
      <w:pPr>
        <w:pStyle w:val="BodyText"/>
        <w:spacing w:before="120"/>
        <w:ind w:left="1256" w:right="310" w:hanging="708"/>
      </w:pPr>
      <w:r>
        <w:rPr/>
        <w:t>Sood, S., Rottenstreich, Y. &amp; Brenner, L. (2004). “On Decisions That Lead to Decisions: Direct and Derived Evaluations of Preference”, </w:t>
      </w:r>
      <w:r>
        <w:rPr>
          <w:i/>
        </w:rPr>
        <w:t>Journal of Consumer Research</w:t>
      </w:r>
      <w:r>
        <w:rPr/>
        <w:t>, 31(1), 17-25. doi:10.1086/383420</w:t>
      </w:r>
    </w:p>
    <w:p>
      <w:pPr>
        <w:pStyle w:val="BodyText"/>
        <w:spacing w:before="120"/>
        <w:ind w:left="1256" w:right="313" w:hanging="708"/>
      </w:pPr>
      <w:r>
        <w:rPr/>
        <w:t>Sotiriadis,</w:t>
      </w:r>
      <w:r>
        <w:rPr>
          <w:spacing w:val="-4"/>
        </w:rPr>
        <w:t> </w:t>
      </w:r>
      <w:r>
        <w:rPr/>
        <w:t>M.</w:t>
      </w:r>
      <w:r>
        <w:rPr>
          <w:spacing w:val="-4"/>
        </w:rPr>
        <w:t> </w:t>
      </w:r>
      <w:r>
        <w:rPr/>
        <w:t>D.,</w:t>
      </w:r>
      <w:r>
        <w:rPr>
          <w:spacing w:val="-7"/>
        </w:rPr>
        <w:t> </w:t>
      </w:r>
      <w:r>
        <w:rPr/>
        <w:t>&amp;</w:t>
      </w:r>
      <w:r>
        <w:rPr>
          <w:spacing w:val="-3"/>
        </w:rPr>
        <w:t> </w:t>
      </w:r>
      <w:r>
        <w:rPr/>
        <w:t>Van</w:t>
      </w:r>
      <w:r>
        <w:rPr>
          <w:spacing w:val="-6"/>
        </w:rPr>
        <w:t> </w:t>
      </w:r>
      <w:r>
        <w:rPr/>
        <w:t>Zyl,</w:t>
      </w:r>
      <w:r>
        <w:rPr>
          <w:spacing w:val="-4"/>
        </w:rPr>
        <w:t> </w:t>
      </w:r>
      <w:r>
        <w:rPr/>
        <w:t>C.</w:t>
      </w:r>
      <w:r>
        <w:rPr>
          <w:spacing w:val="-4"/>
        </w:rPr>
        <w:t> </w:t>
      </w:r>
      <w:r>
        <w:rPr/>
        <w:t>(2013).</w:t>
      </w:r>
      <w:r>
        <w:rPr>
          <w:spacing w:val="-4"/>
        </w:rPr>
        <w:t> </w:t>
      </w:r>
      <w:r>
        <w:rPr/>
        <w:t>“Electronic</w:t>
      </w:r>
      <w:r>
        <w:rPr>
          <w:spacing w:val="-5"/>
        </w:rPr>
        <w:t> </w:t>
      </w:r>
      <w:r>
        <w:rPr/>
        <w:t>Word-of-Mouth</w:t>
      </w:r>
      <w:r>
        <w:rPr>
          <w:spacing w:val="-4"/>
        </w:rPr>
        <w:t> </w:t>
      </w:r>
      <w:r>
        <w:rPr/>
        <w:t>and</w:t>
      </w:r>
      <w:r>
        <w:rPr>
          <w:spacing w:val="-4"/>
        </w:rPr>
        <w:t> </w:t>
      </w:r>
      <w:r>
        <w:rPr/>
        <w:t>Online</w:t>
      </w:r>
      <w:r>
        <w:rPr>
          <w:spacing w:val="-5"/>
        </w:rPr>
        <w:t> </w:t>
      </w:r>
      <w:r>
        <w:rPr/>
        <w:t>Reviews</w:t>
      </w:r>
      <w:r>
        <w:rPr>
          <w:spacing w:val="-4"/>
        </w:rPr>
        <w:t> </w:t>
      </w:r>
      <w:r>
        <w:rPr/>
        <w:t>in Tourism Services: The Use of Twitter by Tourists”, </w:t>
      </w:r>
      <w:r>
        <w:rPr>
          <w:i/>
        </w:rPr>
        <w:t>Electronic Commerce</w:t>
      </w:r>
      <w:r>
        <w:rPr>
          <w:i/>
          <w:spacing w:val="-16"/>
        </w:rPr>
        <w:t> </w:t>
      </w:r>
      <w:r>
        <w:rPr>
          <w:i/>
        </w:rPr>
        <w:t>Research</w:t>
      </w:r>
      <w:r>
        <w:rPr/>
        <w:t>, 13(1), 103-124.</w:t>
      </w:r>
      <w:r>
        <w:rPr>
          <w:spacing w:val="-1"/>
        </w:rPr>
        <w:t> </w:t>
      </w:r>
      <w:r>
        <w:rPr/>
        <w:t>doi:10.1007/s10660-013-9108-1</w:t>
      </w:r>
    </w:p>
    <w:p>
      <w:pPr>
        <w:pStyle w:val="BodyText"/>
        <w:spacing w:before="121"/>
        <w:ind w:left="1256" w:right="308" w:hanging="708"/>
      </w:pPr>
      <w:r>
        <w:rPr/>
        <w:t>Sparks, B. A., &amp; Browning, V. (2011). “The Impact of Online Reviews on Hotel Booking Intentions and Perception of Trust”, </w:t>
      </w:r>
      <w:r>
        <w:rPr>
          <w:i/>
        </w:rPr>
        <w:t>Tourism Management</w:t>
      </w:r>
      <w:r>
        <w:rPr/>
        <w:t>, 32(6), 1310-1323. doi:10.1016/j.tourman.2010.12.011</w:t>
      </w:r>
    </w:p>
    <w:p>
      <w:pPr>
        <w:pStyle w:val="BodyText"/>
        <w:spacing w:before="118"/>
        <w:ind w:left="1256" w:right="310" w:hanging="708"/>
      </w:pPr>
      <w:r>
        <w:rPr/>
        <w:t>Spears, R., &amp; Lea, M. (1994). “Panacea or Panopticon? The Hidden Power in Computer- Mediated Communication”, </w:t>
      </w:r>
      <w:r>
        <w:rPr>
          <w:i/>
        </w:rPr>
        <w:t>Communication Research</w:t>
      </w:r>
      <w:r>
        <w:rPr/>
        <w:t>, 21, 427–459. doi:10.1177/009365094021004001</w:t>
      </w:r>
    </w:p>
    <w:p>
      <w:pPr>
        <w:spacing w:after="0"/>
        <w:sectPr>
          <w:pgSz w:w="12240" w:h="15840"/>
          <w:pgMar w:header="718" w:footer="0" w:top="1300" w:bottom="280" w:left="1720" w:right="820"/>
        </w:sectPr>
      </w:pPr>
    </w:p>
    <w:p>
      <w:pPr>
        <w:spacing w:before="100"/>
        <w:ind w:left="1256" w:right="311" w:hanging="708"/>
        <w:jc w:val="both"/>
        <w:rPr>
          <w:sz w:val="24"/>
        </w:rPr>
      </w:pPr>
      <w:r>
        <w:rPr>
          <w:sz w:val="24"/>
        </w:rPr>
        <w:t>Stone, B. (2013). </w:t>
      </w:r>
      <w:r>
        <w:rPr>
          <w:i/>
          <w:sz w:val="24"/>
        </w:rPr>
        <w:t>The everything store: Jeff Bezos and the age of Amazon</w:t>
      </w:r>
      <w:r>
        <w:rPr>
          <w:sz w:val="24"/>
        </w:rPr>
        <w:t>. Little, Brown</w:t>
      </w:r>
      <w:r>
        <w:rPr>
          <w:spacing w:val="-42"/>
          <w:sz w:val="24"/>
        </w:rPr>
        <w:t> </w:t>
      </w:r>
      <w:r>
        <w:rPr>
          <w:sz w:val="24"/>
        </w:rPr>
        <w:t>and Company, New</w:t>
      </w:r>
      <w:r>
        <w:rPr>
          <w:spacing w:val="-1"/>
          <w:sz w:val="24"/>
        </w:rPr>
        <w:t> </w:t>
      </w:r>
      <w:r>
        <w:rPr>
          <w:sz w:val="24"/>
        </w:rPr>
        <w:t>York.</w:t>
      </w:r>
    </w:p>
    <w:p>
      <w:pPr>
        <w:pStyle w:val="BodyText"/>
        <w:spacing w:before="121"/>
        <w:ind w:left="1256" w:right="310" w:hanging="708"/>
      </w:pPr>
      <w:r>
        <w:rPr/>
        <w:t>Su</w:t>
      </w:r>
      <w:r>
        <w:rPr>
          <w:spacing w:val="-6"/>
        </w:rPr>
        <w:t> </w:t>
      </w:r>
      <w:r>
        <w:rPr/>
        <w:t>S.,</w:t>
      </w:r>
      <w:r>
        <w:rPr>
          <w:spacing w:val="-9"/>
        </w:rPr>
        <w:t> </w:t>
      </w:r>
      <w:r>
        <w:rPr/>
        <w:t>Chen</w:t>
      </w:r>
      <w:r>
        <w:rPr>
          <w:spacing w:val="-6"/>
        </w:rPr>
        <w:t> </w:t>
      </w:r>
      <w:r>
        <w:rPr/>
        <w:t>R.,</w:t>
      </w:r>
      <w:r>
        <w:rPr>
          <w:spacing w:val="-9"/>
        </w:rPr>
        <w:t> </w:t>
      </w:r>
      <w:r>
        <w:rPr/>
        <w:t>&amp;</w:t>
      </w:r>
      <w:r>
        <w:rPr>
          <w:spacing w:val="-8"/>
        </w:rPr>
        <w:t> </w:t>
      </w:r>
      <w:r>
        <w:rPr/>
        <w:t>Zhao</w:t>
      </w:r>
      <w:r>
        <w:rPr>
          <w:spacing w:val="-6"/>
        </w:rPr>
        <w:t> </w:t>
      </w:r>
      <w:r>
        <w:rPr/>
        <w:t>P.</w:t>
      </w:r>
      <w:r>
        <w:rPr>
          <w:spacing w:val="-6"/>
        </w:rPr>
        <w:t> </w:t>
      </w:r>
      <w:r>
        <w:rPr/>
        <w:t>(2009).</w:t>
      </w:r>
      <w:r>
        <w:rPr>
          <w:spacing w:val="-6"/>
        </w:rPr>
        <w:t> </w:t>
      </w:r>
      <w:r>
        <w:rPr/>
        <w:t>“Do</w:t>
      </w:r>
      <w:r>
        <w:rPr>
          <w:spacing w:val="-6"/>
        </w:rPr>
        <w:t> </w:t>
      </w:r>
      <w:r>
        <w:rPr/>
        <w:t>The</w:t>
      </w:r>
      <w:r>
        <w:rPr>
          <w:spacing w:val="-7"/>
        </w:rPr>
        <w:t> </w:t>
      </w:r>
      <w:r>
        <w:rPr/>
        <w:t>Size</w:t>
      </w:r>
      <w:r>
        <w:rPr>
          <w:spacing w:val="-8"/>
        </w:rPr>
        <w:t> </w:t>
      </w:r>
      <w:r>
        <w:rPr/>
        <w:t>of</w:t>
      </w:r>
      <w:r>
        <w:rPr>
          <w:spacing w:val="-7"/>
        </w:rPr>
        <w:t> </w:t>
      </w:r>
      <w:r>
        <w:rPr/>
        <w:t>Consideration</w:t>
      </w:r>
      <w:r>
        <w:rPr>
          <w:spacing w:val="-6"/>
        </w:rPr>
        <w:t> </w:t>
      </w:r>
      <w:r>
        <w:rPr/>
        <w:t>Set</w:t>
      </w:r>
      <w:r>
        <w:rPr>
          <w:spacing w:val="-8"/>
        </w:rPr>
        <w:t> </w:t>
      </w:r>
      <w:r>
        <w:rPr/>
        <w:t>and</w:t>
      </w:r>
      <w:r>
        <w:rPr>
          <w:spacing w:val="-6"/>
        </w:rPr>
        <w:t> </w:t>
      </w:r>
      <w:r>
        <w:rPr/>
        <w:t>The</w:t>
      </w:r>
      <w:r>
        <w:rPr>
          <w:spacing w:val="-5"/>
        </w:rPr>
        <w:t> </w:t>
      </w:r>
      <w:r>
        <w:rPr/>
        <w:t>Source</w:t>
      </w:r>
      <w:r>
        <w:rPr>
          <w:spacing w:val="-7"/>
        </w:rPr>
        <w:t> </w:t>
      </w:r>
      <w:r>
        <w:rPr/>
        <w:t>of</w:t>
      </w:r>
      <w:r>
        <w:rPr>
          <w:spacing w:val="-6"/>
        </w:rPr>
        <w:t> </w:t>
      </w:r>
      <w:r>
        <w:rPr/>
        <w:t>The Better Competing Option Influence Post-Choice Regret?”, </w:t>
      </w:r>
      <w:r>
        <w:rPr>
          <w:i/>
        </w:rPr>
        <w:t>Motivation and Emotion, </w:t>
      </w:r>
      <w:r>
        <w:rPr/>
        <w:t>33(3), 219–228.</w:t>
      </w:r>
      <w:r>
        <w:rPr>
          <w:spacing w:val="-1"/>
        </w:rPr>
        <w:t> </w:t>
      </w:r>
      <w:r>
        <w:rPr/>
        <w:t>doi:10.1007/s11031-009-9127-3</w:t>
      </w:r>
    </w:p>
    <w:p>
      <w:pPr>
        <w:pStyle w:val="BodyText"/>
        <w:spacing w:before="120"/>
        <w:ind w:left="1256" w:right="312" w:hanging="708"/>
      </w:pPr>
      <w:r>
        <w:rPr/>
        <w:t>Sun, M. (2012). “How Does The Variance of Product Ratings Matter?”, </w:t>
      </w:r>
      <w:r>
        <w:rPr>
          <w:i/>
        </w:rPr>
        <w:t>Management </w:t>
      </w:r>
      <w:r>
        <w:rPr>
          <w:i/>
        </w:rPr>
        <w:t>Science</w:t>
      </w:r>
      <w:r>
        <w:rPr/>
        <w:t>, 58(4), 696-707. doi:10.1287/mnsc.1110.1458</w:t>
      </w:r>
    </w:p>
    <w:p>
      <w:pPr>
        <w:pStyle w:val="BodyText"/>
        <w:spacing w:before="120"/>
        <w:ind w:left="1256" w:right="310" w:hanging="708"/>
      </w:pPr>
      <w:r>
        <w:rPr/>
        <w:t>Sundaram, D.S., Mitra, K., &amp; Webster, C. (1998). “Word-of-Mouth Communications: A Motivational Analysis”, </w:t>
      </w:r>
      <w:r>
        <w:rPr>
          <w:i/>
        </w:rPr>
        <w:t>Advances in Consumer Research</w:t>
      </w:r>
      <w:r>
        <w:rPr/>
        <w:t>, 25, 527–531.</w:t>
      </w:r>
    </w:p>
    <w:p>
      <w:pPr>
        <w:pStyle w:val="BodyText"/>
        <w:spacing w:before="120"/>
        <w:ind w:left="1256" w:right="310" w:hanging="708"/>
      </w:pPr>
      <w:r>
        <w:rPr/>
        <w:t>Suryadi,</w:t>
      </w:r>
      <w:r>
        <w:rPr>
          <w:spacing w:val="-3"/>
        </w:rPr>
        <w:t> </w:t>
      </w:r>
      <w:r>
        <w:rPr/>
        <w:t>D.,</w:t>
      </w:r>
      <w:r>
        <w:rPr>
          <w:spacing w:val="-4"/>
        </w:rPr>
        <w:t> </w:t>
      </w:r>
      <w:r>
        <w:rPr/>
        <w:t>&amp;</w:t>
      </w:r>
      <w:r>
        <w:rPr>
          <w:spacing w:val="-2"/>
        </w:rPr>
        <w:t> </w:t>
      </w:r>
      <w:r>
        <w:rPr/>
        <w:t>Kim,</w:t>
      </w:r>
      <w:r>
        <w:rPr>
          <w:spacing w:val="-3"/>
        </w:rPr>
        <w:t> </w:t>
      </w:r>
      <w:r>
        <w:rPr/>
        <w:t>H.</w:t>
      </w:r>
      <w:r>
        <w:rPr>
          <w:spacing w:val="-3"/>
        </w:rPr>
        <w:t> </w:t>
      </w:r>
      <w:r>
        <w:rPr/>
        <w:t>(2018).</w:t>
      </w:r>
      <w:r>
        <w:rPr>
          <w:spacing w:val="-4"/>
        </w:rPr>
        <w:t> </w:t>
      </w:r>
      <w:r>
        <w:rPr/>
        <w:t>“A</w:t>
      </w:r>
      <w:r>
        <w:rPr>
          <w:spacing w:val="-3"/>
        </w:rPr>
        <w:t> </w:t>
      </w:r>
      <w:r>
        <w:rPr/>
        <w:t>Systematic</w:t>
      </w:r>
      <w:r>
        <w:rPr>
          <w:spacing w:val="-5"/>
        </w:rPr>
        <w:t> </w:t>
      </w:r>
      <w:r>
        <w:rPr/>
        <w:t>Methodology</w:t>
      </w:r>
      <w:r>
        <w:rPr>
          <w:spacing w:val="-4"/>
        </w:rPr>
        <w:t> </w:t>
      </w:r>
      <w:r>
        <w:rPr/>
        <w:t>Based</w:t>
      </w:r>
      <w:r>
        <w:rPr>
          <w:spacing w:val="-3"/>
        </w:rPr>
        <w:t> </w:t>
      </w:r>
      <w:r>
        <w:rPr/>
        <w:t>on</w:t>
      </w:r>
      <w:r>
        <w:rPr>
          <w:spacing w:val="-4"/>
        </w:rPr>
        <w:t> </w:t>
      </w:r>
      <w:r>
        <w:rPr/>
        <w:t>Word</w:t>
      </w:r>
      <w:r>
        <w:rPr>
          <w:spacing w:val="-4"/>
        </w:rPr>
        <w:t> </w:t>
      </w:r>
      <w:r>
        <w:rPr/>
        <w:t>Embedding</w:t>
      </w:r>
      <w:r>
        <w:rPr>
          <w:spacing w:val="-3"/>
        </w:rPr>
        <w:t> </w:t>
      </w:r>
      <w:r>
        <w:rPr/>
        <w:t>for Identifying The Relation Between Online Customer Reviews and Sales Rank”, </w:t>
      </w:r>
      <w:r>
        <w:rPr>
          <w:i/>
        </w:rPr>
        <w:t>Journal of Mechanical Design</w:t>
      </w:r>
      <w:r>
        <w:rPr/>
        <w:t>, 140(12), 121403.</w:t>
      </w:r>
      <w:r>
        <w:rPr>
          <w:spacing w:val="1"/>
        </w:rPr>
        <w:t> </w:t>
      </w:r>
      <w:r>
        <w:rPr/>
        <w:t>doi:10.1115/1.4040913</w:t>
      </w:r>
    </w:p>
    <w:p>
      <w:pPr>
        <w:pStyle w:val="BodyText"/>
        <w:spacing w:before="120"/>
        <w:ind w:left="1256" w:right="310" w:hanging="708"/>
      </w:pPr>
      <w:r>
        <w:rPr/>
        <w:t>Susarla, A., Oh, J. H., &amp; Tan, Y. (2012). “Social Networks and The Diffusion of User- Generated Content: Evidence From Youtube”, </w:t>
      </w:r>
      <w:r>
        <w:rPr>
          <w:i/>
        </w:rPr>
        <w:t>Information Systems Research</w:t>
      </w:r>
      <w:r>
        <w:rPr/>
        <w:t>,</w:t>
      </w:r>
      <w:r>
        <w:rPr>
          <w:spacing w:val="-16"/>
        </w:rPr>
        <w:t> </w:t>
      </w:r>
      <w:r>
        <w:rPr/>
        <w:t>23(1), 23-41.</w:t>
      </w:r>
      <w:r>
        <w:rPr>
          <w:spacing w:val="-1"/>
        </w:rPr>
        <w:t> </w:t>
      </w:r>
      <w:r>
        <w:rPr/>
        <w:t>doi:10.1287/isre.1100.0339</w:t>
      </w:r>
    </w:p>
    <w:p>
      <w:pPr>
        <w:pStyle w:val="BodyText"/>
        <w:spacing w:before="120"/>
        <w:ind w:left="1256" w:right="313" w:hanging="708"/>
      </w:pPr>
      <w:r>
        <w:rPr/>
        <w:t>Tamimi, N., &amp; Sebastianelli, R. (2015). “The Relative Importance of E-Tailer Website Attributes</w:t>
      </w:r>
      <w:r>
        <w:rPr>
          <w:spacing w:val="-16"/>
        </w:rPr>
        <w:t> </w:t>
      </w:r>
      <w:r>
        <w:rPr/>
        <w:t>on</w:t>
      </w:r>
      <w:r>
        <w:rPr>
          <w:spacing w:val="-16"/>
        </w:rPr>
        <w:t> </w:t>
      </w:r>
      <w:r>
        <w:rPr/>
        <w:t>The</w:t>
      </w:r>
      <w:r>
        <w:rPr>
          <w:spacing w:val="-15"/>
        </w:rPr>
        <w:t> </w:t>
      </w:r>
      <w:r>
        <w:rPr/>
        <w:t>Likelihood</w:t>
      </w:r>
      <w:r>
        <w:rPr>
          <w:spacing w:val="-16"/>
        </w:rPr>
        <w:t> </w:t>
      </w:r>
      <w:r>
        <w:rPr/>
        <w:t>of</w:t>
      </w:r>
      <w:r>
        <w:rPr>
          <w:spacing w:val="-16"/>
        </w:rPr>
        <w:t> </w:t>
      </w:r>
      <w:r>
        <w:rPr/>
        <w:t>Online</w:t>
      </w:r>
      <w:r>
        <w:rPr>
          <w:spacing w:val="-14"/>
        </w:rPr>
        <w:t> </w:t>
      </w:r>
      <w:r>
        <w:rPr/>
        <w:t>Purchase”,</w:t>
      </w:r>
      <w:r>
        <w:rPr>
          <w:spacing w:val="-13"/>
        </w:rPr>
        <w:t> </w:t>
      </w:r>
      <w:r>
        <w:rPr>
          <w:i/>
        </w:rPr>
        <w:t>Internet</w:t>
      </w:r>
      <w:r>
        <w:rPr>
          <w:i/>
          <w:spacing w:val="-15"/>
        </w:rPr>
        <w:t> </w:t>
      </w:r>
      <w:r>
        <w:rPr>
          <w:i/>
        </w:rPr>
        <w:t>Research</w:t>
      </w:r>
      <w:r>
        <w:rPr/>
        <w:t>,</w:t>
      </w:r>
      <w:r>
        <w:rPr>
          <w:spacing w:val="-16"/>
        </w:rPr>
        <w:t> </w:t>
      </w:r>
      <w:r>
        <w:rPr/>
        <w:t>25(2),</w:t>
      </w:r>
      <w:r>
        <w:rPr>
          <w:spacing w:val="-12"/>
        </w:rPr>
        <w:t> </w:t>
      </w:r>
      <w:r>
        <w:rPr/>
        <w:t>169-183. doi:10.1108/IntR-07-2013-0131</w:t>
      </w:r>
    </w:p>
    <w:p>
      <w:pPr>
        <w:pStyle w:val="BodyText"/>
        <w:spacing w:before="121"/>
        <w:ind w:left="1256" w:right="309" w:hanging="708"/>
      </w:pPr>
      <w:r>
        <w:rPr/>
        <w:t>Tang, T., Fang, E., &amp; Wang, F. (2014). “Is Neutral Really Neutral? The Effects of Neutral User-Generated Content on Product Sales”, </w:t>
      </w:r>
      <w:r>
        <w:rPr>
          <w:i/>
        </w:rPr>
        <w:t>Journal of Marketing</w:t>
      </w:r>
      <w:r>
        <w:rPr/>
        <w:t>, 78(4), 41-58. doi: 10.1509/jm.13.0301</w:t>
      </w:r>
    </w:p>
    <w:p>
      <w:pPr>
        <w:pStyle w:val="BodyText"/>
        <w:spacing w:before="120"/>
        <w:ind w:left="1256" w:right="310" w:hanging="708"/>
      </w:pPr>
      <w:r>
        <w:rPr/>
        <w:t>Teng, S., Khong, K. W., Goh, W. W., &amp; Chong, A. Y. L. (2014). “Examining The Antecedents of Persuasive Ewom Messages in Social Media”, </w:t>
      </w:r>
      <w:r>
        <w:rPr>
          <w:i/>
        </w:rPr>
        <w:t>Online Information </w:t>
      </w:r>
      <w:r>
        <w:rPr>
          <w:i/>
        </w:rPr>
        <w:t>Review</w:t>
      </w:r>
      <w:r>
        <w:rPr/>
        <w:t>, 38(6), 746-768. doi:10.1108/OIR-04-2014-0089</w:t>
      </w:r>
    </w:p>
    <w:p>
      <w:pPr>
        <w:pStyle w:val="BodyText"/>
        <w:spacing w:before="120"/>
        <w:ind w:left="1256" w:right="312" w:hanging="708"/>
      </w:pPr>
      <w:r>
        <w:rPr/>
        <w:t>Teo, T. S., &amp; Yeong, Y. D. (2003). “Assessing The Consumer Decision Process in The Digital Marketplace”, </w:t>
      </w:r>
      <w:r>
        <w:rPr>
          <w:i/>
        </w:rPr>
        <w:t>Omega</w:t>
      </w:r>
      <w:r>
        <w:rPr/>
        <w:t>, 31(5), 349-363. doi:10.1016/S0305-0483(03)00055-0</w:t>
      </w:r>
    </w:p>
    <w:p>
      <w:pPr>
        <w:pStyle w:val="BodyText"/>
        <w:spacing w:before="120"/>
        <w:ind w:left="1256" w:right="312" w:hanging="708"/>
      </w:pPr>
      <w:r>
        <w:rPr/>
        <w:t>The Week (16 Mayıs 2019). “Top Billionaires: Who is The Richest Person in The UK and The World?”</w:t>
      </w:r>
      <w:r>
        <w:rPr>
          <w:spacing w:val="-33"/>
        </w:rPr>
        <w:t> </w:t>
      </w:r>
      <w:r>
        <w:rPr/>
        <w:t>htt</w:t>
      </w:r>
      <w:hyperlink r:id="rId50">
        <w:r>
          <w:rPr/>
          <w:t>ps://www.thew</w:t>
        </w:r>
      </w:hyperlink>
      <w:r>
        <w:rPr/>
        <w:t>e</w:t>
      </w:r>
      <w:hyperlink r:id="rId50">
        <w:r>
          <w:rPr/>
          <w:t>ek.co.uk/people/57553/top-billionaires-who-richest-</w:t>
        </w:r>
      </w:hyperlink>
      <w:r>
        <w:rPr/>
        <w:t> person-world</w:t>
      </w:r>
      <w:r>
        <w:rPr>
          <w:spacing w:val="2"/>
        </w:rPr>
        <w:t> </w:t>
      </w:r>
      <w:r>
        <w:rPr/>
        <w:t>(14/10/2019)</w:t>
      </w:r>
    </w:p>
    <w:p>
      <w:pPr>
        <w:pStyle w:val="BodyText"/>
        <w:spacing w:before="120"/>
        <w:ind w:left="1256" w:right="310" w:hanging="708"/>
      </w:pPr>
      <w:r>
        <w:rPr/>
        <w:t>Thornhill, J. (14 Temmuz 2019). “Five Stars or Fake? How to Beat Fraudulent Online Reviews”, </w:t>
      </w:r>
      <w:r>
        <w:rPr>
          <w:i/>
        </w:rPr>
        <w:t>The Guardian. </w:t>
      </w:r>
      <w:r>
        <w:rPr/>
        <w:t>htt</w:t>
      </w:r>
      <w:hyperlink r:id="rId51">
        <w:r>
          <w:rPr/>
          <w:t>ps://www.theguardian.com/money/2019/jul/14/five</w:t>
        </w:r>
      </w:hyperlink>
      <w:r>
        <w:rPr/>
        <w:t>- stars-or-fake-how-to-beat-fraudulent-online-reviews (13/11/2019)</w:t>
      </w:r>
    </w:p>
    <w:p>
      <w:pPr>
        <w:pStyle w:val="BodyText"/>
        <w:tabs>
          <w:tab w:pos="1582" w:val="left" w:leader="none"/>
          <w:tab w:pos="2071" w:val="left" w:leader="none"/>
          <w:tab w:pos="2527" w:val="left" w:leader="none"/>
          <w:tab w:pos="3304" w:val="left" w:leader="none"/>
          <w:tab w:pos="4182" w:val="left" w:leader="none"/>
          <w:tab w:pos="4970" w:val="left" w:leader="none"/>
          <w:tab w:pos="5653" w:val="left" w:leader="none"/>
          <w:tab w:pos="6217" w:val="left" w:leader="none"/>
          <w:tab w:pos="7007" w:val="left" w:leader="none"/>
          <w:tab w:pos="7448" w:val="left" w:leader="none"/>
          <w:tab w:pos="7971" w:val="left" w:leader="none"/>
          <w:tab w:pos="8952" w:val="left" w:leader="none"/>
        </w:tabs>
        <w:spacing w:before="120"/>
        <w:ind w:left="1256" w:right="313" w:hanging="708"/>
        <w:jc w:val="left"/>
      </w:pPr>
      <w:r>
        <w:rPr/>
        <w:t>Tiffany,</w:t>
        <w:tab/>
        <w:t>K.</w:t>
        <w:tab/>
        <w:t>(4</w:t>
        <w:tab/>
        <w:t>Ekim</w:t>
        <w:tab/>
        <w:t>2019).</w:t>
        <w:tab/>
        <w:t>“Was</w:t>
        <w:tab/>
        <w:t>Etsy</w:t>
        <w:tab/>
        <w:t>too</w:t>
        <w:tab/>
        <w:t>Good</w:t>
        <w:tab/>
        <w:t>to</w:t>
        <w:tab/>
        <w:t>Be</w:t>
        <w:tab/>
        <w:t>True?”,</w:t>
        <w:tab/>
      </w:r>
      <w:r>
        <w:rPr>
          <w:i/>
          <w:spacing w:val="-6"/>
        </w:rPr>
        <w:t>Vox</w:t>
      </w:r>
      <w:r>
        <w:rPr>
          <w:spacing w:val="-6"/>
        </w:rPr>
        <w:t>. </w:t>
      </w:r>
      <w:r>
        <w:rPr/>
        <w:t>htt</w:t>
      </w:r>
      <w:hyperlink r:id="rId52">
        <w:r>
          <w:rPr/>
          <w:t>ps://www.vox.com/the</w:t>
        </w:r>
      </w:hyperlink>
      <w:r>
        <w:rPr/>
        <w:t>-</w:t>
      </w:r>
      <w:hyperlink r:id="rId52">
        <w:r>
          <w:rPr/>
          <w:t>goods/2019/9/4/20841475/etsy-free-shipping-amazon-</w:t>
        </w:r>
      </w:hyperlink>
      <w:r>
        <w:rPr/>
        <w:t> handmade-josh-silverman</w:t>
      </w:r>
      <w:r>
        <w:rPr>
          <w:spacing w:val="-1"/>
        </w:rPr>
        <w:t> </w:t>
      </w:r>
      <w:r>
        <w:rPr/>
        <w:t>(15/01/2020)</w:t>
      </w:r>
    </w:p>
    <w:p>
      <w:pPr>
        <w:pStyle w:val="BodyText"/>
        <w:spacing w:before="119"/>
        <w:ind w:left="1256" w:right="309" w:hanging="708"/>
      </w:pPr>
      <w:r>
        <w:rPr/>
        <w:t>Torres, E. N., Singh, D., &amp; Robertson-Ring, A. (2015). “Consumer Reviews and The Creation of Booking Transaction Value: Lessons from The Hotel Industry”, </w:t>
      </w:r>
      <w:r>
        <w:rPr>
          <w:i/>
        </w:rPr>
        <w:t>International Journal of Hospitality Management</w:t>
      </w:r>
      <w:r>
        <w:rPr/>
        <w:t>, 50, 77-83. doi: 10.1016/j.ijhm.2015.07.012</w:t>
      </w:r>
    </w:p>
    <w:p>
      <w:pPr>
        <w:spacing w:after="0"/>
        <w:sectPr>
          <w:pgSz w:w="12240" w:h="15840"/>
          <w:pgMar w:header="718" w:footer="0" w:top="1300" w:bottom="280" w:left="1720" w:right="820"/>
        </w:sectPr>
      </w:pPr>
    </w:p>
    <w:p>
      <w:pPr>
        <w:pStyle w:val="BodyText"/>
        <w:spacing w:before="100"/>
        <w:ind w:left="1256" w:right="311" w:hanging="708"/>
      </w:pPr>
      <w:r>
        <w:rPr/>
        <w:t>Trabelsi-Zoghlami, A., Yahia, K. B., Touiti, S., &amp; Touzani, M. (2016). “Exploring the Role of Culture in Determining Boycotting Behaviour after a Negative Word of Mouth”, </w:t>
      </w:r>
      <w:r>
        <w:rPr>
          <w:i/>
        </w:rPr>
        <w:t>Journal of Marketing Research &amp; Case Studies</w:t>
      </w:r>
      <w:r>
        <w:rPr/>
        <w:t>, 90-105. doi: 10.5171/2016.984059</w:t>
      </w:r>
    </w:p>
    <w:p>
      <w:pPr>
        <w:pStyle w:val="BodyText"/>
        <w:spacing w:before="121"/>
        <w:ind w:left="1256" w:right="311" w:hanging="708"/>
      </w:pPr>
      <w:r>
        <w:rPr/>
        <w:t>Tsang, A. S., &amp; Prendergast, G. (2009). “Does Culture Affect Evaluation Expressions?: A Cross-Cultural Analysis of Chinese and American Computer Game Reviews”, </w:t>
      </w:r>
      <w:r>
        <w:rPr>
          <w:i/>
        </w:rPr>
        <w:t>European</w:t>
      </w:r>
      <w:r>
        <w:rPr>
          <w:i/>
          <w:spacing w:val="-15"/>
        </w:rPr>
        <w:t> </w:t>
      </w:r>
      <w:r>
        <w:rPr>
          <w:i/>
        </w:rPr>
        <w:t>Journal</w:t>
      </w:r>
      <w:r>
        <w:rPr>
          <w:i/>
          <w:spacing w:val="-15"/>
        </w:rPr>
        <w:t> </w:t>
      </w:r>
      <w:r>
        <w:rPr>
          <w:i/>
        </w:rPr>
        <w:t>of</w:t>
      </w:r>
      <w:r>
        <w:rPr>
          <w:i/>
          <w:spacing w:val="-14"/>
        </w:rPr>
        <w:t> </w:t>
      </w:r>
      <w:r>
        <w:rPr>
          <w:i/>
        </w:rPr>
        <w:t>Marketing</w:t>
      </w:r>
      <w:r>
        <w:rPr/>
        <w:t>,</w:t>
      </w:r>
      <w:r>
        <w:rPr>
          <w:spacing w:val="-15"/>
        </w:rPr>
        <w:t> </w:t>
      </w:r>
      <w:r>
        <w:rPr/>
        <w:t>43(5-6),</w:t>
      </w:r>
      <w:r>
        <w:rPr>
          <w:spacing w:val="-14"/>
        </w:rPr>
        <w:t> </w:t>
      </w:r>
      <w:r>
        <w:rPr/>
        <w:t>686-707.</w:t>
      </w:r>
      <w:r>
        <w:rPr>
          <w:spacing w:val="-12"/>
        </w:rPr>
        <w:t> </w:t>
      </w:r>
      <w:r>
        <w:rPr/>
        <w:t>doi:10.1108/03090560910947007</w:t>
      </w:r>
    </w:p>
    <w:p>
      <w:pPr>
        <w:pStyle w:val="BodyText"/>
        <w:spacing w:before="120"/>
        <w:ind w:left="1256" w:right="315" w:hanging="708"/>
      </w:pPr>
      <w:r>
        <w:rPr/>
        <w:t>Ullah, S., Akhtar, P., &amp; Zaefarian, G. (2018). “Dealing with Endogeneity Bias: The Generalized Method Of Moments (GMM) for Panel Data”, </w:t>
      </w:r>
      <w:r>
        <w:rPr>
          <w:i/>
        </w:rPr>
        <w:t>Industrial Marketing </w:t>
      </w:r>
      <w:r>
        <w:rPr>
          <w:i/>
        </w:rPr>
        <w:t>Management</w:t>
      </w:r>
      <w:r>
        <w:rPr/>
        <w:t>, 71, 69-78. doi:10.1016/j.indmarman.2017.11.010</w:t>
      </w:r>
    </w:p>
    <w:p>
      <w:pPr>
        <w:pStyle w:val="BodyText"/>
        <w:spacing w:before="120"/>
        <w:ind w:left="1256" w:right="309" w:hanging="708"/>
      </w:pPr>
      <w:r>
        <w:rPr/>
        <w:t>Ursic,</w:t>
      </w:r>
      <w:r>
        <w:rPr>
          <w:spacing w:val="-7"/>
        </w:rPr>
        <w:t> </w:t>
      </w:r>
      <w:r>
        <w:rPr/>
        <w:t>M.L.</w:t>
      </w:r>
      <w:r>
        <w:rPr>
          <w:spacing w:val="-6"/>
        </w:rPr>
        <w:t> </w:t>
      </w:r>
      <w:r>
        <w:rPr/>
        <w:t>&amp;</w:t>
      </w:r>
      <w:r>
        <w:rPr>
          <w:spacing w:val="-7"/>
        </w:rPr>
        <w:t> </w:t>
      </w:r>
      <w:r>
        <w:rPr/>
        <w:t>Helgeson,</w:t>
      </w:r>
      <w:r>
        <w:rPr>
          <w:spacing w:val="-6"/>
        </w:rPr>
        <w:t> </w:t>
      </w:r>
      <w:r>
        <w:rPr/>
        <w:t>J.G.</w:t>
      </w:r>
      <w:r>
        <w:rPr>
          <w:spacing w:val="-7"/>
        </w:rPr>
        <w:t> </w:t>
      </w:r>
      <w:r>
        <w:rPr/>
        <w:t>(1990).</w:t>
      </w:r>
      <w:r>
        <w:rPr>
          <w:spacing w:val="-7"/>
        </w:rPr>
        <w:t> </w:t>
      </w:r>
      <w:r>
        <w:rPr/>
        <w:t>“The</w:t>
      </w:r>
      <w:r>
        <w:rPr>
          <w:spacing w:val="-5"/>
        </w:rPr>
        <w:t> </w:t>
      </w:r>
      <w:r>
        <w:rPr/>
        <w:t>Impact</w:t>
      </w:r>
      <w:r>
        <w:rPr>
          <w:spacing w:val="-3"/>
        </w:rPr>
        <w:t> </w:t>
      </w:r>
      <w:r>
        <w:rPr/>
        <w:t>of</w:t>
      </w:r>
      <w:r>
        <w:rPr>
          <w:spacing w:val="-8"/>
        </w:rPr>
        <w:t> </w:t>
      </w:r>
      <w:r>
        <w:rPr/>
        <w:t>Choice</w:t>
      </w:r>
      <w:r>
        <w:rPr>
          <w:spacing w:val="-8"/>
        </w:rPr>
        <w:t> </w:t>
      </w:r>
      <w:r>
        <w:rPr/>
        <w:t>Phase</w:t>
      </w:r>
      <w:r>
        <w:rPr>
          <w:spacing w:val="-7"/>
        </w:rPr>
        <w:t> </w:t>
      </w:r>
      <w:r>
        <w:rPr/>
        <w:t>and</w:t>
      </w:r>
      <w:r>
        <w:rPr>
          <w:spacing w:val="-7"/>
        </w:rPr>
        <w:t> </w:t>
      </w:r>
      <w:r>
        <w:rPr/>
        <w:t>Task</w:t>
      </w:r>
      <w:r>
        <w:rPr>
          <w:spacing w:val="-4"/>
        </w:rPr>
        <w:t> </w:t>
      </w:r>
      <w:r>
        <w:rPr/>
        <w:t>Complexity</w:t>
      </w:r>
      <w:r>
        <w:rPr>
          <w:spacing w:val="-6"/>
        </w:rPr>
        <w:t> </w:t>
      </w:r>
      <w:r>
        <w:rPr/>
        <w:t>on Consumer Decision Making”, </w:t>
      </w:r>
      <w:r>
        <w:rPr>
          <w:i/>
        </w:rPr>
        <w:t>Journal of Business Research</w:t>
      </w:r>
      <w:r>
        <w:rPr/>
        <w:t>, 21(1): 69–90. doi: 10.1016/0148-2963(90)90006-Y</w:t>
      </w:r>
    </w:p>
    <w:p>
      <w:pPr>
        <w:pStyle w:val="BodyText"/>
        <w:spacing w:before="120"/>
        <w:ind w:left="1256" w:right="311" w:hanging="708"/>
      </w:pPr>
      <w:r>
        <w:rPr/>
        <w:t>Utz,</w:t>
      </w:r>
      <w:r>
        <w:rPr>
          <w:spacing w:val="-4"/>
        </w:rPr>
        <w:t> </w:t>
      </w:r>
      <w:r>
        <w:rPr/>
        <w:t>S.,</w:t>
      </w:r>
      <w:r>
        <w:rPr>
          <w:spacing w:val="-4"/>
        </w:rPr>
        <w:t> </w:t>
      </w:r>
      <w:r>
        <w:rPr/>
        <w:t>Kerkhof,</w:t>
      </w:r>
      <w:r>
        <w:rPr>
          <w:spacing w:val="-4"/>
        </w:rPr>
        <w:t> </w:t>
      </w:r>
      <w:r>
        <w:rPr/>
        <w:t>P.,</w:t>
      </w:r>
      <w:r>
        <w:rPr>
          <w:spacing w:val="-4"/>
        </w:rPr>
        <w:t> </w:t>
      </w:r>
      <w:r>
        <w:rPr/>
        <w:t>&amp;</w:t>
      </w:r>
      <w:r>
        <w:rPr>
          <w:spacing w:val="-2"/>
        </w:rPr>
        <w:t> </w:t>
      </w:r>
      <w:r>
        <w:rPr/>
        <w:t>Van</w:t>
      </w:r>
      <w:r>
        <w:rPr>
          <w:spacing w:val="-4"/>
        </w:rPr>
        <w:t> </w:t>
      </w:r>
      <w:r>
        <w:rPr/>
        <w:t>Den</w:t>
      </w:r>
      <w:r>
        <w:rPr>
          <w:spacing w:val="-4"/>
        </w:rPr>
        <w:t> </w:t>
      </w:r>
      <w:r>
        <w:rPr/>
        <w:t>Bos,</w:t>
      </w:r>
      <w:r>
        <w:rPr>
          <w:spacing w:val="-4"/>
        </w:rPr>
        <w:t> </w:t>
      </w:r>
      <w:r>
        <w:rPr/>
        <w:t>J.</w:t>
      </w:r>
      <w:r>
        <w:rPr>
          <w:spacing w:val="-4"/>
        </w:rPr>
        <w:t> </w:t>
      </w:r>
      <w:r>
        <w:rPr/>
        <w:t>(2012).</w:t>
      </w:r>
      <w:r>
        <w:rPr>
          <w:spacing w:val="-2"/>
        </w:rPr>
        <w:t> </w:t>
      </w:r>
      <w:r>
        <w:rPr/>
        <w:t>“Consumers</w:t>
      </w:r>
      <w:r>
        <w:rPr>
          <w:spacing w:val="-3"/>
        </w:rPr>
        <w:t> </w:t>
      </w:r>
      <w:r>
        <w:rPr/>
        <w:t>Rule:</w:t>
      </w:r>
      <w:r>
        <w:rPr>
          <w:spacing w:val="-4"/>
        </w:rPr>
        <w:t> </w:t>
      </w:r>
      <w:r>
        <w:rPr/>
        <w:t>How</w:t>
      </w:r>
      <w:r>
        <w:rPr>
          <w:spacing w:val="-5"/>
        </w:rPr>
        <w:t> </w:t>
      </w:r>
      <w:r>
        <w:rPr/>
        <w:t>Consumer</w:t>
      </w:r>
      <w:r>
        <w:rPr>
          <w:spacing w:val="-5"/>
        </w:rPr>
        <w:t> </w:t>
      </w:r>
      <w:r>
        <w:rPr/>
        <w:t>Reviews Influence Perceived Trustworthiness of Online Stores”, </w:t>
      </w:r>
      <w:r>
        <w:rPr>
          <w:i/>
        </w:rPr>
        <w:t>Electronic Commerce </w:t>
      </w:r>
      <w:r>
        <w:rPr>
          <w:i/>
        </w:rPr>
        <w:t>Research and Applications</w:t>
      </w:r>
      <w:r>
        <w:rPr/>
        <w:t>, 11(1), 49-58.</w:t>
      </w:r>
      <w:r>
        <w:rPr>
          <w:spacing w:val="-3"/>
        </w:rPr>
        <w:t> </w:t>
      </w:r>
      <w:r>
        <w:rPr/>
        <w:t>doi:10.1016/j.elerap.2011.07.010</w:t>
      </w:r>
    </w:p>
    <w:p>
      <w:pPr>
        <w:pStyle w:val="BodyText"/>
        <w:spacing w:before="120"/>
        <w:ind w:left="1256" w:right="309" w:hanging="708"/>
      </w:pPr>
      <w:r>
        <w:rPr/>
        <w:t>Van Doorn, J., Lemon, K. N., Mittal, V., Nass, S., Pick, D., Pirner, P., &amp; Verhoef, P. C. (2010). “Customer Engagement Behavior: Theoretical Foundations and Research Directions”, </w:t>
      </w:r>
      <w:r>
        <w:rPr>
          <w:i/>
        </w:rPr>
        <w:t>Journal of Service Research</w:t>
      </w:r>
      <w:r>
        <w:rPr/>
        <w:t>, 13(3), 253-266. doi: 10.1177/1094670510375599</w:t>
      </w:r>
    </w:p>
    <w:p>
      <w:pPr>
        <w:pStyle w:val="BodyText"/>
        <w:spacing w:before="121"/>
        <w:ind w:left="1256" w:right="312" w:hanging="708"/>
      </w:pPr>
      <w:r>
        <w:rPr/>
        <w:t>Vega, N. (22 Temmuz 2019). “Etsy Acquires Musical Instruments Site Reverb for $275 Million”, https://nypost.com/2019/07/22/etsy-acquires-musical-instruments-site- reverb-for-275-million/ (15/01/2020)</w:t>
      </w:r>
    </w:p>
    <w:p>
      <w:pPr>
        <w:pStyle w:val="BodyText"/>
        <w:spacing w:before="120"/>
        <w:ind w:left="1256" w:right="313" w:hanging="708"/>
      </w:pPr>
      <w:r>
        <w:rPr/>
        <w:t>Venkatesh, V., &amp; Davis, F. D. (2000). “A Theoretical Extension of The Technology Acceptance Model: Four Longitudinal Field Studies”, </w:t>
      </w:r>
      <w:r>
        <w:rPr>
          <w:i/>
        </w:rPr>
        <w:t>Management Science</w:t>
      </w:r>
      <w:r>
        <w:rPr/>
        <w:t>, 46(2), 186-204. doi: 10.1287/mnsc.46.2.186.11926</w:t>
      </w:r>
    </w:p>
    <w:p>
      <w:pPr>
        <w:pStyle w:val="BodyText"/>
        <w:spacing w:before="120"/>
        <w:ind w:left="1256" w:right="313" w:hanging="708"/>
      </w:pPr>
      <w:r>
        <w:rPr/>
        <w:t>Villarroel Ordenes, F., Ludwig, S., De Ruyter, K., Grewal, D., &amp; Wetzels, M. (2017). “Unveiling</w:t>
      </w:r>
      <w:r>
        <w:rPr>
          <w:spacing w:val="-14"/>
        </w:rPr>
        <w:t> </w:t>
      </w:r>
      <w:r>
        <w:rPr/>
        <w:t>What</w:t>
      </w:r>
      <w:r>
        <w:rPr>
          <w:spacing w:val="-13"/>
        </w:rPr>
        <w:t> </w:t>
      </w:r>
      <w:r>
        <w:rPr/>
        <w:t>is</w:t>
      </w:r>
      <w:r>
        <w:rPr>
          <w:spacing w:val="-13"/>
        </w:rPr>
        <w:t> </w:t>
      </w:r>
      <w:r>
        <w:rPr/>
        <w:t>Written</w:t>
      </w:r>
      <w:r>
        <w:rPr>
          <w:spacing w:val="-14"/>
        </w:rPr>
        <w:t> </w:t>
      </w:r>
      <w:r>
        <w:rPr/>
        <w:t>in</w:t>
      </w:r>
      <w:r>
        <w:rPr>
          <w:spacing w:val="-13"/>
        </w:rPr>
        <w:t> </w:t>
      </w:r>
      <w:r>
        <w:rPr/>
        <w:t>The</w:t>
      </w:r>
      <w:r>
        <w:rPr>
          <w:spacing w:val="-15"/>
        </w:rPr>
        <w:t> </w:t>
      </w:r>
      <w:r>
        <w:rPr/>
        <w:t>Stars:</w:t>
      </w:r>
      <w:r>
        <w:rPr>
          <w:spacing w:val="-13"/>
        </w:rPr>
        <w:t> </w:t>
      </w:r>
      <w:r>
        <w:rPr/>
        <w:t>Analyzing</w:t>
      </w:r>
      <w:r>
        <w:rPr>
          <w:spacing w:val="-13"/>
        </w:rPr>
        <w:t> </w:t>
      </w:r>
      <w:r>
        <w:rPr/>
        <w:t>Explicit,</w:t>
      </w:r>
      <w:r>
        <w:rPr>
          <w:spacing w:val="-11"/>
        </w:rPr>
        <w:t> </w:t>
      </w:r>
      <w:r>
        <w:rPr/>
        <w:t>Implicit,</w:t>
      </w:r>
      <w:r>
        <w:rPr>
          <w:spacing w:val="-13"/>
        </w:rPr>
        <w:t> </w:t>
      </w:r>
      <w:r>
        <w:rPr/>
        <w:t>And</w:t>
      </w:r>
      <w:r>
        <w:rPr>
          <w:spacing w:val="-12"/>
        </w:rPr>
        <w:t> </w:t>
      </w:r>
      <w:r>
        <w:rPr/>
        <w:t>Discourse Patterns of Sentiment in Social Media”, </w:t>
      </w:r>
      <w:r>
        <w:rPr>
          <w:i/>
        </w:rPr>
        <w:t>Journal of Consumer Research</w:t>
      </w:r>
      <w:r>
        <w:rPr/>
        <w:t>, 43(6), 875- 894.</w:t>
      </w:r>
      <w:r>
        <w:rPr>
          <w:spacing w:val="-1"/>
        </w:rPr>
        <w:t> </w:t>
      </w:r>
      <w:r>
        <w:rPr/>
        <w:t>doi:10.1093/jcr/ucw070</w:t>
      </w:r>
    </w:p>
    <w:p>
      <w:pPr>
        <w:pStyle w:val="BodyText"/>
        <w:spacing w:before="120"/>
        <w:ind w:left="1256" w:right="311" w:hanging="708"/>
      </w:pPr>
      <w:r>
        <w:rPr/>
        <w:t>Vinson, D. W., Dale, R., &amp; Jones, M. N. (2019). “Decision Contamination in The Wild: Sequential Dependencies in Online Review Ratings”, </w:t>
      </w:r>
      <w:r>
        <w:rPr>
          <w:i/>
        </w:rPr>
        <w:t>Behavior Research Methods</w:t>
      </w:r>
      <w:r>
        <w:rPr/>
        <w:t>, 51(4), 1477–1484. doi:10.3758/s13428-018-1175-8</w:t>
      </w:r>
    </w:p>
    <w:p>
      <w:pPr>
        <w:spacing w:before="120"/>
        <w:ind w:left="1256" w:right="312" w:hanging="708"/>
        <w:jc w:val="both"/>
        <w:rPr>
          <w:sz w:val="24"/>
        </w:rPr>
      </w:pPr>
      <w:r>
        <w:rPr>
          <w:sz w:val="24"/>
        </w:rPr>
        <w:t>Virdi, P., Kalro, A. D., &amp; Sharma, D. (2020). “Online Decision Aids: The Role of</w:t>
      </w:r>
      <w:r>
        <w:rPr>
          <w:spacing w:val="-35"/>
          <w:sz w:val="24"/>
        </w:rPr>
        <w:t> </w:t>
      </w:r>
      <w:r>
        <w:rPr>
          <w:sz w:val="24"/>
        </w:rPr>
        <w:t>Decision- Making Styles and Decision-Making Stages”, </w:t>
      </w:r>
      <w:r>
        <w:rPr>
          <w:i/>
          <w:sz w:val="24"/>
        </w:rPr>
        <w:t>International Journal of Retail &amp; </w:t>
      </w:r>
      <w:r>
        <w:rPr>
          <w:i/>
          <w:sz w:val="24"/>
        </w:rPr>
        <w:t>Distribution Management</w:t>
      </w:r>
      <w:r>
        <w:rPr>
          <w:sz w:val="24"/>
        </w:rPr>
        <w:t>.</w:t>
      </w:r>
      <w:r>
        <w:rPr>
          <w:spacing w:val="-1"/>
          <w:sz w:val="24"/>
        </w:rPr>
        <w:t> </w:t>
      </w:r>
      <w:r>
        <w:rPr>
          <w:sz w:val="24"/>
        </w:rPr>
        <w:t>doi:10.1108/IJRDM-02-2019-0068</w:t>
      </w:r>
    </w:p>
    <w:p>
      <w:pPr>
        <w:pStyle w:val="BodyText"/>
        <w:spacing w:before="119"/>
      </w:pPr>
      <w:r>
        <w:rPr/>
        <w:t>Vosoughi, S., Roy, D., &amp; Aral, S. (2018). “The Spread of True and False News Online”,</w:t>
      </w:r>
    </w:p>
    <w:p>
      <w:pPr>
        <w:pStyle w:val="BodyText"/>
        <w:ind w:left="1256"/>
      </w:pPr>
      <w:r>
        <w:rPr>
          <w:i/>
        </w:rPr>
        <w:t>Science</w:t>
      </w:r>
      <w:r>
        <w:rPr/>
        <w:t>, 359(6380), 1146-1151. doi: 10.1126/science.aap9559</w:t>
      </w:r>
    </w:p>
    <w:p>
      <w:pPr>
        <w:pStyle w:val="BodyText"/>
        <w:spacing w:before="120"/>
        <w:ind w:left="1256" w:right="311" w:hanging="708"/>
      </w:pPr>
      <w:r>
        <w:rPr/>
        <w:t>Vujić, S., &amp; Zhang, X. (2018). “Does Twitter Chatter Matter? Online Reviews and Box Office Revenues”, </w:t>
      </w:r>
      <w:r>
        <w:rPr>
          <w:i/>
        </w:rPr>
        <w:t>Applied Economics</w:t>
      </w:r>
      <w:r>
        <w:rPr/>
        <w:t>, 50(34-35), 3702-3717. doi: 10.1080/00036846.2018.1436148</w:t>
      </w:r>
    </w:p>
    <w:p>
      <w:pPr>
        <w:spacing w:after="0"/>
        <w:sectPr>
          <w:pgSz w:w="12240" w:h="15840"/>
          <w:pgMar w:header="718" w:footer="0" w:top="1300" w:bottom="280" w:left="1720" w:right="820"/>
        </w:sectPr>
      </w:pPr>
    </w:p>
    <w:p>
      <w:pPr>
        <w:pStyle w:val="BodyText"/>
        <w:spacing w:before="100"/>
        <w:ind w:left="1256" w:right="312" w:hanging="708"/>
      </w:pPr>
      <w:r>
        <w:rPr/>
        <w:t>Wan,</w:t>
      </w:r>
      <w:r>
        <w:rPr>
          <w:spacing w:val="-12"/>
        </w:rPr>
        <w:t> </w:t>
      </w:r>
      <w:r>
        <w:rPr/>
        <w:t>Y.</w:t>
      </w:r>
      <w:r>
        <w:rPr>
          <w:spacing w:val="-12"/>
        </w:rPr>
        <w:t> </w:t>
      </w:r>
      <w:r>
        <w:rPr/>
        <w:t>(2015).</w:t>
      </w:r>
      <w:r>
        <w:rPr>
          <w:spacing w:val="-9"/>
        </w:rPr>
        <w:t> </w:t>
      </w:r>
      <w:r>
        <w:rPr/>
        <w:t>“The</w:t>
      </w:r>
      <w:r>
        <w:rPr>
          <w:spacing w:val="-12"/>
        </w:rPr>
        <w:t> </w:t>
      </w:r>
      <w:r>
        <w:rPr/>
        <w:t>Matthew</w:t>
      </w:r>
      <w:r>
        <w:rPr>
          <w:spacing w:val="-11"/>
        </w:rPr>
        <w:t> </w:t>
      </w:r>
      <w:r>
        <w:rPr/>
        <w:t>Effect</w:t>
      </w:r>
      <w:r>
        <w:rPr>
          <w:spacing w:val="-11"/>
        </w:rPr>
        <w:t> </w:t>
      </w:r>
      <w:r>
        <w:rPr/>
        <w:t>in</w:t>
      </w:r>
      <w:r>
        <w:rPr>
          <w:spacing w:val="-11"/>
        </w:rPr>
        <w:t> </w:t>
      </w:r>
      <w:r>
        <w:rPr/>
        <w:t>Social</w:t>
      </w:r>
      <w:r>
        <w:rPr>
          <w:spacing w:val="-11"/>
        </w:rPr>
        <w:t> </w:t>
      </w:r>
      <w:r>
        <w:rPr/>
        <w:t>Commerce”,</w:t>
      </w:r>
      <w:r>
        <w:rPr>
          <w:spacing w:val="-12"/>
        </w:rPr>
        <w:t> </w:t>
      </w:r>
      <w:r>
        <w:rPr>
          <w:i/>
        </w:rPr>
        <w:t>Electronic</w:t>
      </w:r>
      <w:r>
        <w:rPr>
          <w:i/>
          <w:spacing w:val="-12"/>
        </w:rPr>
        <w:t> </w:t>
      </w:r>
      <w:r>
        <w:rPr>
          <w:i/>
        </w:rPr>
        <w:t>Markets</w:t>
      </w:r>
      <w:r>
        <w:rPr/>
        <w:t>,</w:t>
      </w:r>
      <w:r>
        <w:rPr>
          <w:spacing w:val="-11"/>
        </w:rPr>
        <w:t> </w:t>
      </w:r>
      <w:r>
        <w:rPr/>
        <w:t>25(4),</w:t>
      </w:r>
      <w:r>
        <w:rPr>
          <w:spacing w:val="-11"/>
        </w:rPr>
        <w:t> </w:t>
      </w:r>
      <w:r>
        <w:rPr/>
        <w:t>313- 324.</w:t>
      </w:r>
      <w:r>
        <w:rPr>
          <w:spacing w:val="-1"/>
        </w:rPr>
        <w:t> </w:t>
      </w:r>
      <w:r>
        <w:rPr/>
        <w:t>doi:10.1007/s12525-015-0186-x</w:t>
      </w:r>
    </w:p>
    <w:p>
      <w:pPr>
        <w:spacing w:before="121"/>
        <w:ind w:left="1256" w:right="311" w:hanging="708"/>
        <w:jc w:val="both"/>
        <w:rPr>
          <w:sz w:val="24"/>
        </w:rPr>
      </w:pPr>
      <w:r>
        <w:rPr>
          <w:sz w:val="24"/>
        </w:rPr>
        <w:t>Wan,</w:t>
      </w:r>
      <w:r>
        <w:rPr>
          <w:spacing w:val="-9"/>
          <w:sz w:val="24"/>
        </w:rPr>
        <w:t> </w:t>
      </w:r>
      <w:r>
        <w:rPr>
          <w:sz w:val="24"/>
        </w:rPr>
        <w:t>Y.,</w:t>
      </w:r>
      <w:r>
        <w:rPr>
          <w:spacing w:val="-7"/>
          <w:sz w:val="24"/>
        </w:rPr>
        <w:t> </w:t>
      </w:r>
      <w:r>
        <w:rPr>
          <w:sz w:val="24"/>
        </w:rPr>
        <w:t>&amp;</w:t>
      </w:r>
      <w:r>
        <w:rPr>
          <w:spacing w:val="-7"/>
          <w:sz w:val="24"/>
        </w:rPr>
        <w:t> </w:t>
      </w:r>
      <w:r>
        <w:rPr>
          <w:sz w:val="24"/>
        </w:rPr>
        <w:t>Nakayama,</w:t>
      </w:r>
      <w:r>
        <w:rPr>
          <w:spacing w:val="-7"/>
          <w:sz w:val="24"/>
        </w:rPr>
        <w:t> </w:t>
      </w:r>
      <w:r>
        <w:rPr>
          <w:sz w:val="24"/>
        </w:rPr>
        <w:t>M.</w:t>
      </w:r>
      <w:r>
        <w:rPr>
          <w:spacing w:val="-8"/>
          <w:sz w:val="24"/>
        </w:rPr>
        <w:t> </w:t>
      </w:r>
      <w:r>
        <w:rPr>
          <w:sz w:val="24"/>
        </w:rPr>
        <w:t>(2014).</w:t>
      </w:r>
      <w:r>
        <w:rPr>
          <w:spacing w:val="-6"/>
          <w:sz w:val="24"/>
        </w:rPr>
        <w:t> </w:t>
      </w:r>
      <w:r>
        <w:rPr>
          <w:sz w:val="24"/>
        </w:rPr>
        <w:t>“The</w:t>
      </w:r>
      <w:r>
        <w:rPr>
          <w:spacing w:val="-6"/>
          <w:sz w:val="24"/>
        </w:rPr>
        <w:t> </w:t>
      </w:r>
      <w:r>
        <w:rPr>
          <w:sz w:val="24"/>
        </w:rPr>
        <w:t>Reliability</w:t>
      </w:r>
      <w:r>
        <w:rPr>
          <w:spacing w:val="-9"/>
          <w:sz w:val="24"/>
        </w:rPr>
        <w:t> </w:t>
      </w:r>
      <w:r>
        <w:rPr>
          <w:sz w:val="24"/>
        </w:rPr>
        <w:t>of</w:t>
      </w:r>
      <w:r>
        <w:rPr>
          <w:spacing w:val="-8"/>
          <w:sz w:val="24"/>
        </w:rPr>
        <w:t> </w:t>
      </w:r>
      <w:r>
        <w:rPr>
          <w:sz w:val="24"/>
        </w:rPr>
        <w:t>Online</w:t>
      </w:r>
      <w:r>
        <w:rPr>
          <w:spacing w:val="-7"/>
          <w:sz w:val="24"/>
        </w:rPr>
        <w:t> </w:t>
      </w:r>
      <w:r>
        <w:rPr>
          <w:sz w:val="24"/>
        </w:rPr>
        <w:t>Review</w:t>
      </w:r>
      <w:r>
        <w:rPr>
          <w:spacing w:val="-7"/>
          <w:sz w:val="24"/>
        </w:rPr>
        <w:t> </w:t>
      </w:r>
      <w:r>
        <w:rPr>
          <w:sz w:val="24"/>
        </w:rPr>
        <w:t>Helpfulness”,</w:t>
      </w:r>
      <w:r>
        <w:rPr>
          <w:spacing w:val="-6"/>
          <w:sz w:val="24"/>
        </w:rPr>
        <w:t> </w:t>
      </w:r>
      <w:r>
        <w:rPr>
          <w:i/>
          <w:sz w:val="24"/>
        </w:rPr>
        <w:t>Journal </w:t>
      </w:r>
      <w:r>
        <w:rPr>
          <w:i/>
          <w:sz w:val="24"/>
        </w:rPr>
        <w:t>of Electronic Commerce Research</w:t>
      </w:r>
      <w:r>
        <w:rPr>
          <w:sz w:val="24"/>
        </w:rPr>
        <w:t>, 15(3),</w:t>
      </w:r>
      <w:r>
        <w:rPr>
          <w:spacing w:val="-2"/>
          <w:sz w:val="24"/>
        </w:rPr>
        <w:t> </w:t>
      </w:r>
      <w:r>
        <w:rPr>
          <w:sz w:val="24"/>
        </w:rPr>
        <w:t>179.</w:t>
      </w:r>
    </w:p>
    <w:p>
      <w:pPr>
        <w:pStyle w:val="BodyText"/>
        <w:spacing w:before="120"/>
        <w:ind w:left="1256" w:right="312" w:hanging="708"/>
      </w:pPr>
      <w:r>
        <w:rPr/>
        <w:t>Wang,</w:t>
      </w:r>
      <w:r>
        <w:rPr>
          <w:spacing w:val="-7"/>
        </w:rPr>
        <w:t> </w:t>
      </w:r>
      <w:r>
        <w:rPr/>
        <w:t>C.,</w:t>
      </w:r>
      <w:r>
        <w:rPr>
          <w:spacing w:val="-4"/>
        </w:rPr>
        <w:t> </w:t>
      </w:r>
      <w:r>
        <w:rPr/>
        <w:t>Zhang,</w:t>
      </w:r>
      <w:r>
        <w:rPr>
          <w:spacing w:val="-4"/>
        </w:rPr>
        <w:t> </w:t>
      </w:r>
      <w:r>
        <w:rPr/>
        <w:t>X.,</w:t>
      </w:r>
      <w:r>
        <w:rPr>
          <w:spacing w:val="-7"/>
        </w:rPr>
        <w:t> </w:t>
      </w:r>
      <w:r>
        <w:rPr/>
        <w:t>&amp;</w:t>
      </w:r>
      <w:r>
        <w:rPr>
          <w:spacing w:val="-3"/>
        </w:rPr>
        <w:t> </w:t>
      </w:r>
      <w:r>
        <w:rPr/>
        <w:t>Hann,</w:t>
      </w:r>
      <w:r>
        <w:rPr>
          <w:spacing w:val="-4"/>
        </w:rPr>
        <w:t> </w:t>
      </w:r>
      <w:r>
        <w:rPr/>
        <w:t>I.</w:t>
      </w:r>
      <w:r>
        <w:rPr>
          <w:spacing w:val="-5"/>
        </w:rPr>
        <w:t> </w:t>
      </w:r>
      <w:r>
        <w:rPr/>
        <w:t>H.</w:t>
      </w:r>
      <w:r>
        <w:rPr>
          <w:spacing w:val="-5"/>
        </w:rPr>
        <w:t> </w:t>
      </w:r>
      <w:r>
        <w:rPr/>
        <w:t>(2018).</w:t>
      </w:r>
      <w:r>
        <w:rPr>
          <w:spacing w:val="-3"/>
        </w:rPr>
        <w:t> </w:t>
      </w:r>
      <w:r>
        <w:rPr/>
        <w:t>“Socially</w:t>
      </w:r>
      <w:r>
        <w:rPr>
          <w:spacing w:val="-5"/>
        </w:rPr>
        <w:t> </w:t>
      </w:r>
      <w:r>
        <w:rPr/>
        <w:t>Nudged:</w:t>
      </w:r>
      <w:r>
        <w:rPr>
          <w:spacing w:val="-3"/>
        </w:rPr>
        <w:t> </w:t>
      </w:r>
      <w:r>
        <w:rPr/>
        <w:t>A</w:t>
      </w:r>
      <w:r>
        <w:rPr>
          <w:spacing w:val="-7"/>
        </w:rPr>
        <w:t> </w:t>
      </w:r>
      <w:r>
        <w:rPr/>
        <w:t>Quasi-Experimental</w:t>
      </w:r>
      <w:r>
        <w:rPr>
          <w:spacing w:val="-6"/>
        </w:rPr>
        <w:t> </w:t>
      </w:r>
      <w:r>
        <w:rPr/>
        <w:t>Study of Friends’ Social Influence in Online Product Ratings”, </w:t>
      </w:r>
      <w:r>
        <w:rPr>
          <w:i/>
        </w:rPr>
        <w:t>Information Systems </w:t>
      </w:r>
      <w:r>
        <w:rPr>
          <w:i/>
        </w:rPr>
        <w:t>Research</w:t>
      </w:r>
      <w:r>
        <w:rPr/>
        <w:t>, 29(3), 641-655.</w:t>
      </w:r>
      <w:r>
        <w:rPr>
          <w:spacing w:val="-1"/>
        </w:rPr>
        <w:t> </w:t>
      </w:r>
      <w:r>
        <w:rPr/>
        <w:t>doi:10.1287/isre.2017.0741</w:t>
      </w:r>
    </w:p>
    <w:p>
      <w:pPr>
        <w:pStyle w:val="BodyText"/>
        <w:spacing w:before="120"/>
        <w:ind w:left="1256" w:right="310" w:hanging="708"/>
      </w:pPr>
      <w:r>
        <w:rPr/>
        <w:t>Wang, F., &amp; Karimi, S. (2019). “This Product Works Well (For Me): The Impact of First- Person Singular Pronouns on Online Review Helpfulness”, </w:t>
      </w:r>
      <w:r>
        <w:rPr>
          <w:i/>
        </w:rPr>
        <w:t>Journal of Business </w:t>
      </w:r>
      <w:r>
        <w:rPr>
          <w:i/>
        </w:rPr>
        <w:t>Research</w:t>
      </w:r>
      <w:r>
        <w:rPr/>
        <w:t>, 104, 283-294. doi: 10.1016/j.jbusres.2019.07.028</w:t>
      </w:r>
    </w:p>
    <w:p>
      <w:pPr>
        <w:pStyle w:val="BodyText"/>
        <w:spacing w:before="120"/>
        <w:ind w:left="1256" w:right="311" w:hanging="708"/>
      </w:pPr>
      <w:r>
        <w:rPr/>
        <w:t>Wang,</w:t>
      </w:r>
      <w:r>
        <w:rPr>
          <w:spacing w:val="-12"/>
        </w:rPr>
        <w:t> </w:t>
      </w:r>
      <w:r>
        <w:rPr/>
        <w:t>F.,</w:t>
      </w:r>
      <w:r>
        <w:rPr>
          <w:spacing w:val="-11"/>
        </w:rPr>
        <w:t> </w:t>
      </w:r>
      <w:r>
        <w:rPr/>
        <w:t>Menon,</w:t>
      </w:r>
      <w:r>
        <w:rPr>
          <w:spacing w:val="-11"/>
        </w:rPr>
        <w:t> </w:t>
      </w:r>
      <w:r>
        <w:rPr/>
        <w:t>K.,</w:t>
      </w:r>
      <w:r>
        <w:rPr>
          <w:spacing w:val="-12"/>
        </w:rPr>
        <w:t> </w:t>
      </w:r>
      <w:r>
        <w:rPr/>
        <w:t>&amp;</w:t>
      </w:r>
      <w:r>
        <w:rPr>
          <w:spacing w:val="-11"/>
        </w:rPr>
        <w:t> </w:t>
      </w:r>
      <w:r>
        <w:rPr/>
        <w:t>Ranaweera,</w:t>
      </w:r>
      <w:r>
        <w:rPr>
          <w:spacing w:val="-11"/>
        </w:rPr>
        <w:t> </w:t>
      </w:r>
      <w:r>
        <w:rPr/>
        <w:t>C.</w:t>
      </w:r>
      <w:r>
        <w:rPr>
          <w:spacing w:val="-11"/>
        </w:rPr>
        <w:t> </w:t>
      </w:r>
      <w:r>
        <w:rPr/>
        <w:t>(2018).</w:t>
      </w:r>
      <w:r>
        <w:rPr>
          <w:spacing w:val="-12"/>
        </w:rPr>
        <w:t> </w:t>
      </w:r>
      <w:r>
        <w:rPr/>
        <w:t>“Dynamic</w:t>
      </w:r>
      <w:r>
        <w:rPr>
          <w:spacing w:val="-12"/>
        </w:rPr>
        <w:t> </w:t>
      </w:r>
      <w:r>
        <w:rPr/>
        <w:t>Trends</w:t>
      </w:r>
      <w:r>
        <w:rPr>
          <w:spacing w:val="-11"/>
        </w:rPr>
        <w:t> </w:t>
      </w:r>
      <w:r>
        <w:rPr/>
        <w:t>in</w:t>
      </w:r>
      <w:r>
        <w:rPr>
          <w:spacing w:val="-11"/>
        </w:rPr>
        <w:t> </w:t>
      </w:r>
      <w:r>
        <w:rPr/>
        <w:t>Online</w:t>
      </w:r>
      <w:r>
        <w:rPr>
          <w:spacing w:val="-12"/>
        </w:rPr>
        <w:t> </w:t>
      </w:r>
      <w:r>
        <w:rPr/>
        <w:t>Product</w:t>
      </w:r>
      <w:r>
        <w:rPr>
          <w:spacing w:val="-11"/>
        </w:rPr>
        <w:t> </w:t>
      </w:r>
      <w:r>
        <w:rPr/>
        <w:t>Ratings: A Diagnostic Utility Explanation”, </w:t>
      </w:r>
      <w:r>
        <w:rPr>
          <w:i/>
        </w:rPr>
        <w:t>Journal of Business Research</w:t>
      </w:r>
      <w:r>
        <w:rPr/>
        <w:t>, 87, 80-89. doi:10.1016/j.jbusres.2018.02.015</w:t>
      </w:r>
    </w:p>
    <w:p>
      <w:pPr>
        <w:pStyle w:val="BodyText"/>
        <w:spacing w:before="120"/>
        <w:ind w:left="1256" w:right="310" w:hanging="708"/>
      </w:pPr>
      <w:r>
        <w:rPr/>
        <w:t>Wang,</w:t>
      </w:r>
      <w:r>
        <w:rPr>
          <w:spacing w:val="-7"/>
        </w:rPr>
        <w:t> </w:t>
      </w:r>
      <w:r>
        <w:rPr/>
        <w:t>Q.,</w:t>
      </w:r>
      <w:r>
        <w:rPr>
          <w:spacing w:val="-8"/>
        </w:rPr>
        <w:t> </w:t>
      </w:r>
      <w:r>
        <w:rPr/>
        <w:t>Cui,</w:t>
      </w:r>
      <w:r>
        <w:rPr>
          <w:spacing w:val="-6"/>
        </w:rPr>
        <w:t> </w:t>
      </w:r>
      <w:r>
        <w:rPr/>
        <w:t>X.,</w:t>
      </w:r>
      <w:r>
        <w:rPr>
          <w:spacing w:val="-8"/>
        </w:rPr>
        <w:t> </w:t>
      </w:r>
      <w:r>
        <w:rPr/>
        <w:t>Huang,</w:t>
      </w:r>
      <w:r>
        <w:rPr>
          <w:spacing w:val="-6"/>
        </w:rPr>
        <w:t> </w:t>
      </w:r>
      <w:r>
        <w:rPr/>
        <w:t>L.,</w:t>
      </w:r>
      <w:r>
        <w:rPr>
          <w:spacing w:val="-7"/>
        </w:rPr>
        <w:t> </w:t>
      </w:r>
      <w:r>
        <w:rPr/>
        <w:t>&amp;</w:t>
      </w:r>
      <w:r>
        <w:rPr>
          <w:spacing w:val="-6"/>
        </w:rPr>
        <w:t> </w:t>
      </w:r>
      <w:r>
        <w:rPr/>
        <w:t>Dai,</w:t>
      </w:r>
      <w:r>
        <w:rPr>
          <w:spacing w:val="-7"/>
        </w:rPr>
        <w:t> </w:t>
      </w:r>
      <w:r>
        <w:rPr/>
        <w:t>Y.</w:t>
      </w:r>
      <w:r>
        <w:rPr>
          <w:spacing w:val="-7"/>
        </w:rPr>
        <w:t> </w:t>
      </w:r>
      <w:r>
        <w:rPr/>
        <w:t>(2016).</w:t>
      </w:r>
      <w:r>
        <w:rPr>
          <w:spacing w:val="-7"/>
        </w:rPr>
        <w:t> </w:t>
      </w:r>
      <w:r>
        <w:rPr/>
        <w:t>“Seller</w:t>
      </w:r>
      <w:r>
        <w:rPr>
          <w:spacing w:val="-8"/>
        </w:rPr>
        <w:t> </w:t>
      </w:r>
      <w:r>
        <w:rPr/>
        <w:t>Reputation</w:t>
      </w:r>
      <w:r>
        <w:rPr>
          <w:spacing w:val="-6"/>
        </w:rPr>
        <w:t> </w:t>
      </w:r>
      <w:r>
        <w:rPr/>
        <w:t>or</w:t>
      </w:r>
      <w:r>
        <w:rPr>
          <w:spacing w:val="-8"/>
        </w:rPr>
        <w:t> </w:t>
      </w:r>
      <w:r>
        <w:rPr/>
        <w:t>Product</w:t>
      </w:r>
      <w:r>
        <w:rPr>
          <w:spacing w:val="-6"/>
        </w:rPr>
        <w:t> </w:t>
      </w:r>
      <w:r>
        <w:rPr/>
        <w:t>Presentation? An Empirical Investigation from Cue Utilization Perspective”, </w:t>
      </w:r>
      <w:r>
        <w:rPr>
          <w:i/>
        </w:rPr>
        <w:t>International</w:t>
      </w:r>
      <w:r>
        <w:rPr>
          <w:i/>
          <w:spacing w:val="-20"/>
        </w:rPr>
        <w:t> </w:t>
      </w:r>
      <w:r>
        <w:rPr>
          <w:i/>
        </w:rPr>
        <w:t>Journal </w:t>
      </w:r>
      <w:r>
        <w:rPr>
          <w:i/>
        </w:rPr>
        <w:t>of Information Management</w:t>
      </w:r>
      <w:r>
        <w:rPr/>
        <w:t>, 36(3), 271-283.</w:t>
      </w:r>
      <w:r>
        <w:rPr>
          <w:spacing w:val="-3"/>
        </w:rPr>
        <w:t> </w:t>
      </w:r>
      <w:r>
        <w:rPr/>
        <w:t>doi:10.1016/j.ijinfomgt.2015.12.006</w:t>
      </w:r>
    </w:p>
    <w:p>
      <w:pPr>
        <w:pStyle w:val="BodyText"/>
        <w:spacing w:before="121"/>
        <w:ind w:left="1256" w:right="311" w:hanging="708"/>
      </w:pPr>
      <w:r>
        <w:rPr/>
        <w:t>Wang,</w:t>
      </w:r>
      <w:r>
        <w:rPr>
          <w:spacing w:val="-10"/>
        </w:rPr>
        <w:t> </w:t>
      </w:r>
      <w:r>
        <w:rPr/>
        <w:t>Y.,</w:t>
      </w:r>
      <w:r>
        <w:rPr>
          <w:spacing w:val="-9"/>
        </w:rPr>
        <w:t> </w:t>
      </w:r>
      <w:r>
        <w:rPr/>
        <w:t>Wang,</w:t>
      </w:r>
      <w:r>
        <w:rPr>
          <w:spacing w:val="-9"/>
        </w:rPr>
        <w:t> </w:t>
      </w:r>
      <w:r>
        <w:rPr/>
        <w:t>S.,</w:t>
      </w:r>
      <w:r>
        <w:rPr>
          <w:spacing w:val="-10"/>
        </w:rPr>
        <w:t> </w:t>
      </w:r>
      <w:r>
        <w:rPr/>
        <w:t>Fang,</w:t>
      </w:r>
      <w:r>
        <w:rPr>
          <w:spacing w:val="-9"/>
        </w:rPr>
        <w:t> </w:t>
      </w:r>
      <w:r>
        <w:rPr/>
        <w:t>Y.,</w:t>
      </w:r>
      <w:r>
        <w:rPr>
          <w:spacing w:val="-9"/>
        </w:rPr>
        <w:t> </w:t>
      </w:r>
      <w:r>
        <w:rPr/>
        <w:t>&amp;</w:t>
      </w:r>
      <w:r>
        <w:rPr>
          <w:spacing w:val="-9"/>
        </w:rPr>
        <w:t> </w:t>
      </w:r>
      <w:r>
        <w:rPr/>
        <w:t>Chau,</w:t>
      </w:r>
      <w:r>
        <w:rPr>
          <w:spacing w:val="-11"/>
        </w:rPr>
        <w:t> </w:t>
      </w:r>
      <w:r>
        <w:rPr/>
        <w:t>P.</w:t>
      </w:r>
      <w:r>
        <w:rPr>
          <w:spacing w:val="-9"/>
        </w:rPr>
        <w:t> </w:t>
      </w:r>
      <w:r>
        <w:rPr/>
        <w:t>Y.</w:t>
      </w:r>
      <w:r>
        <w:rPr>
          <w:spacing w:val="-10"/>
        </w:rPr>
        <w:t> </w:t>
      </w:r>
      <w:r>
        <w:rPr/>
        <w:t>(2013).</w:t>
      </w:r>
      <w:r>
        <w:rPr>
          <w:spacing w:val="-7"/>
        </w:rPr>
        <w:t> </w:t>
      </w:r>
      <w:r>
        <w:rPr/>
        <w:t>“Store</w:t>
      </w:r>
      <w:r>
        <w:rPr>
          <w:spacing w:val="-10"/>
        </w:rPr>
        <w:t> </w:t>
      </w:r>
      <w:r>
        <w:rPr/>
        <w:t>Survival</w:t>
      </w:r>
      <w:r>
        <w:rPr>
          <w:spacing w:val="-9"/>
        </w:rPr>
        <w:t> </w:t>
      </w:r>
      <w:r>
        <w:rPr/>
        <w:t>in</w:t>
      </w:r>
      <w:r>
        <w:rPr>
          <w:spacing w:val="-8"/>
        </w:rPr>
        <w:t> </w:t>
      </w:r>
      <w:r>
        <w:rPr/>
        <w:t>Online</w:t>
      </w:r>
      <w:r>
        <w:rPr>
          <w:spacing w:val="-9"/>
        </w:rPr>
        <w:t> </w:t>
      </w:r>
      <w:r>
        <w:rPr/>
        <w:t>Marketplace: An Empirical Investigation”, </w:t>
      </w:r>
      <w:r>
        <w:rPr>
          <w:i/>
        </w:rPr>
        <w:t>Decision Support Systems</w:t>
      </w:r>
      <w:r>
        <w:rPr/>
        <w:t>, 56, 482-493. doi:10.1016/j.dss.2012.11.005</w:t>
      </w:r>
    </w:p>
    <w:p>
      <w:pPr>
        <w:spacing w:before="120"/>
        <w:ind w:left="1256" w:right="311" w:hanging="708"/>
        <w:jc w:val="both"/>
        <w:rPr>
          <w:sz w:val="24"/>
        </w:rPr>
      </w:pPr>
      <w:r>
        <w:rPr>
          <w:sz w:val="24"/>
        </w:rPr>
        <w:t>Wang, Y., Wang, Z., Zhang, D., &amp; Zhang, R. (2019). “Discovering Cultural Differences in Online Consumer Product Reviews”, </w:t>
      </w:r>
      <w:r>
        <w:rPr>
          <w:i/>
          <w:sz w:val="24"/>
        </w:rPr>
        <w:t>Journal of Electronic Commerce Research</w:t>
      </w:r>
      <w:r>
        <w:rPr>
          <w:sz w:val="24"/>
        </w:rPr>
        <w:t>, 20(3), 169-183.</w:t>
      </w:r>
    </w:p>
    <w:p>
      <w:pPr>
        <w:pStyle w:val="BodyText"/>
        <w:spacing w:line="390" w:lineRule="atLeast" w:before="6"/>
        <w:ind w:right="313"/>
      </w:pPr>
      <w:r>
        <w:rPr/>
        <w:t>Wearesocial (2019). https://wearesocial.com/global-digital-report-2019, (05/03/2019) Weathers,</w:t>
      </w:r>
      <w:r>
        <w:rPr>
          <w:spacing w:val="17"/>
        </w:rPr>
        <w:t> </w:t>
      </w:r>
      <w:r>
        <w:rPr/>
        <w:t>D.,</w:t>
      </w:r>
      <w:r>
        <w:rPr>
          <w:spacing w:val="17"/>
        </w:rPr>
        <w:t> </w:t>
      </w:r>
      <w:r>
        <w:rPr/>
        <w:t>Swain,</w:t>
      </w:r>
      <w:r>
        <w:rPr>
          <w:spacing w:val="18"/>
        </w:rPr>
        <w:t> </w:t>
      </w:r>
      <w:r>
        <w:rPr/>
        <w:t>S.</w:t>
      </w:r>
      <w:r>
        <w:rPr>
          <w:spacing w:val="18"/>
        </w:rPr>
        <w:t> </w:t>
      </w:r>
      <w:r>
        <w:rPr/>
        <w:t>D.,</w:t>
      </w:r>
      <w:r>
        <w:rPr>
          <w:spacing w:val="17"/>
        </w:rPr>
        <w:t> </w:t>
      </w:r>
      <w:r>
        <w:rPr/>
        <w:t>&amp;</w:t>
      </w:r>
      <w:r>
        <w:rPr>
          <w:spacing w:val="18"/>
        </w:rPr>
        <w:t> </w:t>
      </w:r>
      <w:r>
        <w:rPr/>
        <w:t>Grover,</w:t>
      </w:r>
      <w:r>
        <w:rPr>
          <w:spacing w:val="17"/>
        </w:rPr>
        <w:t> </w:t>
      </w:r>
      <w:r>
        <w:rPr/>
        <w:t>V.</w:t>
      </w:r>
      <w:r>
        <w:rPr>
          <w:spacing w:val="18"/>
        </w:rPr>
        <w:t> </w:t>
      </w:r>
      <w:r>
        <w:rPr/>
        <w:t>(2015).</w:t>
      </w:r>
      <w:r>
        <w:rPr>
          <w:spacing w:val="22"/>
        </w:rPr>
        <w:t> </w:t>
      </w:r>
      <w:r>
        <w:rPr/>
        <w:t>“Can</w:t>
      </w:r>
      <w:r>
        <w:rPr>
          <w:spacing w:val="17"/>
        </w:rPr>
        <w:t> </w:t>
      </w:r>
      <w:r>
        <w:rPr/>
        <w:t>Online</w:t>
      </w:r>
      <w:r>
        <w:rPr>
          <w:spacing w:val="17"/>
        </w:rPr>
        <w:t> </w:t>
      </w:r>
      <w:r>
        <w:rPr/>
        <w:t>Product</w:t>
      </w:r>
      <w:r>
        <w:rPr>
          <w:spacing w:val="19"/>
        </w:rPr>
        <w:t> </w:t>
      </w:r>
      <w:r>
        <w:rPr/>
        <w:t>Reviews</w:t>
      </w:r>
      <w:r>
        <w:rPr>
          <w:spacing w:val="18"/>
        </w:rPr>
        <w:t> </w:t>
      </w:r>
      <w:r>
        <w:rPr/>
        <w:t>be</w:t>
      </w:r>
      <w:r>
        <w:rPr>
          <w:spacing w:val="17"/>
        </w:rPr>
        <w:t> </w:t>
      </w:r>
      <w:r>
        <w:rPr/>
        <w:t>More</w:t>
      </w:r>
    </w:p>
    <w:p>
      <w:pPr>
        <w:pStyle w:val="BodyText"/>
        <w:spacing w:before="6"/>
        <w:ind w:left="1256"/>
      </w:pPr>
      <w:r>
        <w:rPr/>
        <w:t>Helpful? </w:t>
      </w:r>
      <w:r>
        <w:rPr>
          <w:spacing w:val="9"/>
        </w:rPr>
        <w:t> </w:t>
      </w:r>
      <w:r>
        <w:rPr/>
        <w:t>Examining </w:t>
      </w:r>
      <w:r>
        <w:rPr>
          <w:spacing w:val="11"/>
        </w:rPr>
        <w:t> </w:t>
      </w:r>
      <w:r>
        <w:rPr/>
        <w:t>Characteristics </w:t>
      </w:r>
      <w:r>
        <w:rPr>
          <w:spacing w:val="11"/>
        </w:rPr>
        <w:t> </w:t>
      </w:r>
      <w:r>
        <w:rPr/>
        <w:t>of </w:t>
      </w:r>
      <w:r>
        <w:rPr>
          <w:spacing w:val="14"/>
        </w:rPr>
        <w:t> </w:t>
      </w:r>
      <w:r>
        <w:rPr/>
        <w:t>Information </w:t>
      </w:r>
      <w:r>
        <w:rPr>
          <w:spacing w:val="11"/>
        </w:rPr>
        <w:t> </w:t>
      </w:r>
      <w:r>
        <w:rPr/>
        <w:t>Content </w:t>
      </w:r>
      <w:r>
        <w:rPr>
          <w:spacing w:val="10"/>
        </w:rPr>
        <w:t> </w:t>
      </w:r>
      <w:r>
        <w:rPr/>
        <w:t>by </w:t>
      </w:r>
      <w:r>
        <w:rPr>
          <w:spacing w:val="10"/>
        </w:rPr>
        <w:t> </w:t>
      </w:r>
      <w:r>
        <w:rPr/>
        <w:t>Product </w:t>
      </w:r>
      <w:r>
        <w:rPr>
          <w:spacing w:val="10"/>
        </w:rPr>
        <w:t> </w:t>
      </w:r>
      <w:r>
        <w:rPr/>
        <w:t>Type”,</w:t>
      </w:r>
    </w:p>
    <w:p>
      <w:pPr>
        <w:spacing w:before="0"/>
        <w:ind w:left="1256" w:right="0" w:firstLine="0"/>
        <w:jc w:val="both"/>
        <w:rPr>
          <w:sz w:val="24"/>
        </w:rPr>
      </w:pPr>
      <w:r>
        <w:rPr>
          <w:i/>
          <w:sz w:val="24"/>
        </w:rPr>
        <w:t>Decision Support Systems</w:t>
      </w:r>
      <w:r>
        <w:rPr>
          <w:sz w:val="24"/>
        </w:rPr>
        <w:t>, 79, 12-23. doi: 10.1016/j.dss.2015.07.009</w:t>
      </w:r>
    </w:p>
    <w:p>
      <w:pPr>
        <w:pStyle w:val="BodyText"/>
        <w:spacing w:before="120"/>
        <w:ind w:left="1256" w:right="311" w:hanging="708"/>
      </w:pPr>
      <w:r>
        <w:rPr/>
        <w:t>Wei’an,</w:t>
      </w:r>
      <w:r>
        <w:rPr>
          <w:spacing w:val="-5"/>
        </w:rPr>
        <w:t> </w:t>
      </w:r>
      <w:r>
        <w:rPr/>
        <w:t>L.</w:t>
      </w:r>
      <w:r>
        <w:rPr>
          <w:spacing w:val="-2"/>
        </w:rPr>
        <w:t> </w:t>
      </w:r>
      <w:r>
        <w:rPr/>
        <w:t>I.,</w:t>
      </w:r>
      <w:r>
        <w:rPr>
          <w:spacing w:val="-5"/>
        </w:rPr>
        <w:t> </w:t>
      </w:r>
      <w:r>
        <w:rPr/>
        <w:t>Desheng,</w:t>
      </w:r>
      <w:r>
        <w:rPr>
          <w:spacing w:val="-5"/>
        </w:rPr>
        <w:t> </w:t>
      </w:r>
      <w:r>
        <w:rPr/>
        <w:t>W.</w:t>
      </w:r>
      <w:r>
        <w:rPr>
          <w:spacing w:val="-4"/>
        </w:rPr>
        <w:t> </w:t>
      </w:r>
      <w:r>
        <w:rPr/>
        <w:t>U.,</w:t>
      </w:r>
      <w:r>
        <w:rPr>
          <w:spacing w:val="-5"/>
        </w:rPr>
        <w:t> </w:t>
      </w:r>
      <w:r>
        <w:rPr/>
        <w:t>&amp;</w:t>
      </w:r>
      <w:r>
        <w:rPr>
          <w:spacing w:val="-4"/>
        </w:rPr>
        <w:t> </w:t>
      </w:r>
      <w:r>
        <w:rPr/>
        <w:t>Hao,</w:t>
      </w:r>
      <w:r>
        <w:rPr>
          <w:spacing w:val="-5"/>
        </w:rPr>
        <w:t> </w:t>
      </w:r>
      <w:r>
        <w:rPr/>
        <w:t>X.</w:t>
      </w:r>
      <w:r>
        <w:rPr>
          <w:spacing w:val="-4"/>
        </w:rPr>
        <w:t> </w:t>
      </w:r>
      <w:r>
        <w:rPr/>
        <w:t>U.</w:t>
      </w:r>
      <w:r>
        <w:rPr>
          <w:spacing w:val="-5"/>
        </w:rPr>
        <w:t> </w:t>
      </w:r>
      <w:r>
        <w:rPr/>
        <w:t>(2008).</w:t>
      </w:r>
      <w:r>
        <w:rPr>
          <w:spacing w:val="-4"/>
        </w:rPr>
        <w:t> </w:t>
      </w:r>
      <w:r>
        <w:rPr/>
        <w:t>“Reputation</w:t>
      </w:r>
      <w:r>
        <w:rPr>
          <w:spacing w:val="-4"/>
        </w:rPr>
        <w:t> </w:t>
      </w:r>
      <w:r>
        <w:rPr/>
        <w:t>in</w:t>
      </w:r>
      <w:r>
        <w:rPr>
          <w:spacing w:val="-3"/>
        </w:rPr>
        <w:t> </w:t>
      </w:r>
      <w:r>
        <w:rPr/>
        <w:t>China’s</w:t>
      </w:r>
      <w:r>
        <w:rPr>
          <w:spacing w:val="-4"/>
        </w:rPr>
        <w:t> </w:t>
      </w:r>
      <w:r>
        <w:rPr/>
        <w:t>Online</w:t>
      </w:r>
      <w:r>
        <w:rPr>
          <w:spacing w:val="-5"/>
        </w:rPr>
        <w:t> </w:t>
      </w:r>
      <w:r>
        <w:rPr/>
        <w:t>Auction Market:</w:t>
      </w:r>
      <w:r>
        <w:rPr>
          <w:spacing w:val="-9"/>
        </w:rPr>
        <w:t> </w:t>
      </w:r>
      <w:r>
        <w:rPr/>
        <w:t>Evidence</w:t>
      </w:r>
      <w:r>
        <w:rPr>
          <w:spacing w:val="-10"/>
        </w:rPr>
        <w:t> </w:t>
      </w:r>
      <w:r>
        <w:rPr/>
        <w:t>from</w:t>
      </w:r>
      <w:r>
        <w:rPr>
          <w:spacing w:val="-8"/>
        </w:rPr>
        <w:t> </w:t>
      </w:r>
      <w:r>
        <w:rPr/>
        <w:t>Taobao.com”,</w:t>
      </w:r>
      <w:r>
        <w:rPr>
          <w:spacing w:val="-6"/>
        </w:rPr>
        <w:t> </w:t>
      </w:r>
      <w:r>
        <w:rPr>
          <w:i/>
        </w:rPr>
        <w:t>Frontiers</w:t>
      </w:r>
      <w:r>
        <w:rPr>
          <w:i/>
          <w:spacing w:val="-8"/>
        </w:rPr>
        <w:t> </w:t>
      </w:r>
      <w:r>
        <w:rPr>
          <w:i/>
        </w:rPr>
        <w:t>of</w:t>
      </w:r>
      <w:r>
        <w:rPr>
          <w:i/>
          <w:spacing w:val="-8"/>
        </w:rPr>
        <w:t> </w:t>
      </w:r>
      <w:r>
        <w:rPr>
          <w:i/>
        </w:rPr>
        <w:t>Business</w:t>
      </w:r>
      <w:r>
        <w:rPr>
          <w:i/>
          <w:spacing w:val="-9"/>
        </w:rPr>
        <w:t> </w:t>
      </w:r>
      <w:r>
        <w:rPr>
          <w:i/>
        </w:rPr>
        <w:t>Research</w:t>
      </w:r>
      <w:r>
        <w:rPr>
          <w:i/>
          <w:spacing w:val="-9"/>
        </w:rPr>
        <w:t> </w:t>
      </w:r>
      <w:r>
        <w:rPr>
          <w:i/>
        </w:rPr>
        <w:t>in</w:t>
      </w:r>
      <w:r>
        <w:rPr>
          <w:i/>
          <w:spacing w:val="-8"/>
        </w:rPr>
        <w:t> </w:t>
      </w:r>
      <w:r>
        <w:rPr>
          <w:i/>
        </w:rPr>
        <w:t>China</w:t>
      </w:r>
      <w:r>
        <w:rPr/>
        <w:t>,</w:t>
      </w:r>
      <w:r>
        <w:rPr>
          <w:spacing w:val="-9"/>
        </w:rPr>
        <w:t> </w:t>
      </w:r>
      <w:r>
        <w:rPr/>
        <w:t>2(3), 323-338.</w:t>
      </w:r>
      <w:r>
        <w:rPr>
          <w:spacing w:val="-1"/>
        </w:rPr>
        <w:t> </w:t>
      </w:r>
      <w:r>
        <w:rPr/>
        <w:t>doi:10.1007/s11782-008-0019-2</w:t>
      </w:r>
    </w:p>
    <w:p>
      <w:pPr>
        <w:pStyle w:val="BodyText"/>
        <w:spacing w:before="120"/>
        <w:ind w:left="1256" w:right="310" w:hanging="708"/>
      </w:pPr>
      <w:r>
        <w:rPr/>
        <w:t>Weinberger, M. G., Allen, C. T., &amp; Dillon, W. R. (1981). “Negative Information: Perspectives and Research Directions”, </w:t>
      </w:r>
      <w:r>
        <w:rPr>
          <w:i/>
        </w:rPr>
        <w:t>Advances in Consumer Research, Vol. 8</w:t>
      </w:r>
      <w:r>
        <w:rPr/>
        <w:t>, ed. Kent Monroe, Ann Arbor, MI:Association for Consumer Research, 398-404.</w:t>
      </w:r>
    </w:p>
    <w:p>
      <w:pPr>
        <w:pStyle w:val="BodyText"/>
        <w:spacing w:before="120"/>
        <w:ind w:left="1256" w:right="308" w:hanging="708"/>
        <w:jc w:val="left"/>
      </w:pPr>
      <w:r>
        <w:rPr/>
        <w:t>Weise, E. (2017). “That Review You Wrote on Amazon? Priceless”, </w:t>
      </w:r>
      <w:r>
        <w:rPr>
          <w:i/>
        </w:rPr>
        <w:t>USA Today </w:t>
      </w:r>
      <w:r>
        <w:rPr/>
        <w:t>htt</w:t>
      </w:r>
      <w:hyperlink r:id="rId53">
        <w:r>
          <w:rPr/>
          <w:t>ps://www.usatoday.com/story/t</w:t>
        </w:r>
      </w:hyperlink>
      <w:r>
        <w:rPr/>
        <w:t>e</w:t>
      </w:r>
      <w:hyperlink r:id="rId53">
        <w:r>
          <w:rPr/>
          <w:t>ch/news/2017/03/20/review-you-wrote-amazon-</w:t>
        </w:r>
      </w:hyperlink>
      <w:r>
        <w:rPr/>
        <w:t> priceless/99332602/ (e.t: 19.11.2018).</w:t>
      </w:r>
    </w:p>
    <w:p>
      <w:pPr>
        <w:pStyle w:val="BodyText"/>
        <w:spacing w:before="119"/>
        <w:ind w:left="1256" w:right="311" w:hanging="708"/>
      </w:pPr>
      <w:r>
        <w:rPr/>
        <w:t>Westbrook, R. A. (1987). “Product/Consumption-Based Affective Responses and Postpurchase Processes”, </w:t>
      </w:r>
      <w:r>
        <w:rPr>
          <w:i/>
        </w:rPr>
        <w:t>Journal of Marketing Research</w:t>
      </w:r>
      <w:r>
        <w:rPr/>
        <w:t>, 24(3), 258-270. doi:10.2307/3151636</w:t>
      </w:r>
    </w:p>
    <w:p>
      <w:pPr>
        <w:pStyle w:val="BodyText"/>
        <w:spacing w:before="120"/>
        <w:ind w:left="1256" w:right="308" w:hanging="708"/>
      </w:pPr>
      <w:r>
        <w:rPr/>
        <w:t>Westbrook, R. A., &amp; Fornell, C. (1979). “Patterns of Information Source Usage among Durable Goods Buyers”, </w:t>
      </w:r>
      <w:r>
        <w:rPr>
          <w:i/>
        </w:rPr>
        <w:t>Journal of Marketing Research</w:t>
      </w:r>
      <w:r>
        <w:rPr/>
        <w:t>, 16(3), 303-312. doi:10.2307/3150704</w:t>
      </w:r>
    </w:p>
    <w:p>
      <w:pPr>
        <w:spacing w:after="0"/>
        <w:sectPr>
          <w:pgSz w:w="12240" w:h="15840"/>
          <w:pgMar w:header="718" w:footer="0" w:top="1300" w:bottom="280" w:left="1720" w:right="820"/>
        </w:sectPr>
      </w:pPr>
    </w:p>
    <w:p>
      <w:pPr>
        <w:pStyle w:val="BodyText"/>
        <w:spacing w:before="100"/>
        <w:ind w:left="1256" w:right="310" w:hanging="708"/>
      </w:pPr>
      <w:r>
        <w:rPr/>
        <w:t>Wintoki, M. B., Linck, J. S., &amp; Netter, J. M. (2012). “Endogeneity and the Dynamics of Internal Corporate Governance”, </w:t>
      </w:r>
      <w:r>
        <w:rPr>
          <w:i/>
        </w:rPr>
        <w:t>Journal of Financial Economics</w:t>
      </w:r>
      <w:r>
        <w:rPr/>
        <w:t>, 3(105), 581–606. doi:10.1016/j.jfineco.2012.03.005</w:t>
      </w:r>
    </w:p>
    <w:p>
      <w:pPr>
        <w:spacing w:before="121"/>
        <w:ind w:left="1256" w:right="310" w:hanging="708"/>
        <w:jc w:val="both"/>
        <w:rPr>
          <w:sz w:val="24"/>
        </w:rPr>
      </w:pPr>
      <w:r>
        <w:rPr>
          <w:sz w:val="24"/>
        </w:rPr>
        <w:t>Wooldridge, J. M. (2016). </w:t>
      </w:r>
      <w:r>
        <w:rPr>
          <w:i/>
          <w:sz w:val="24"/>
        </w:rPr>
        <w:t>Introductory econometrics: A modern approach</w:t>
      </w:r>
      <w:r>
        <w:rPr>
          <w:sz w:val="24"/>
        </w:rPr>
        <w:t>. Cengage Learning. Boston, MA.</w:t>
      </w:r>
    </w:p>
    <w:p>
      <w:pPr>
        <w:pStyle w:val="BodyText"/>
        <w:spacing w:before="120"/>
        <w:ind w:left="1256" w:right="310" w:hanging="708"/>
      </w:pPr>
      <w:r>
        <w:rPr/>
        <w:t>Woollacott, E. (16 Nisan 2019). “Amazon's Fake Review Problem Is Getting Worse”, </w:t>
      </w:r>
      <w:r>
        <w:rPr>
          <w:i/>
        </w:rPr>
        <w:t>Forbes</w:t>
      </w:r>
      <w:r>
        <w:rPr/>
        <w:t>. htt</w:t>
      </w:r>
      <w:hyperlink r:id="rId54">
        <w:r>
          <w:rPr/>
          <w:t>ps://www.forbes.com/sit</w:t>
        </w:r>
      </w:hyperlink>
      <w:r>
        <w:rPr/>
        <w:t>e</w:t>
      </w:r>
      <w:hyperlink r:id="rId54">
        <w:r>
          <w:rPr/>
          <w:t>s/emmawoollacott/2019/04/16/amazons-fake-</w:t>
        </w:r>
      </w:hyperlink>
      <w:r>
        <w:rPr/>
        <w:t> review-problem-is-getting-worse/#960662d195f5 (11/11/2019)</w:t>
      </w:r>
    </w:p>
    <w:p>
      <w:pPr>
        <w:spacing w:before="120"/>
        <w:ind w:left="1256" w:right="309" w:hanging="708"/>
        <w:jc w:val="both"/>
        <w:rPr>
          <w:sz w:val="24"/>
        </w:rPr>
      </w:pPr>
      <w:r>
        <w:rPr>
          <w:sz w:val="24"/>
        </w:rPr>
        <w:t>Wright, P. (1975). “Consumer Choice Strategies: Simplifying vs. Optimizing”, </w:t>
      </w:r>
      <w:r>
        <w:rPr>
          <w:i/>
          <w:sz w:val="24"/>
        </w:rPr>
        <w:t>Journal of </w:t>
      </w:r>
      <w:r>
        <w:rPr>
          <w:i/>
          <w:sz w:val="24"/>
        </w:rPr>
        <w:t>Marketing Research</w:t>
      </w:r>
      <w:r>
        <w:rPr>
          <w:sz w:val="24"/>
        </w:rPr>
        <w:t>, 12(1), 60-67. doi:10.2307/3150659</w:t>
      </w:r>
    </w:p>
    <w:p>
      <w:pPr>
        <w:pStyle w:val="BodyText"/>
        <w:spacing w:before="120"/>
        <w:ind w:left="1256" w:right="310" w:hanging="708"/>
      </w:pPr>
      <w:r>
        <w:rPr/>
        <w:t>Wu, P. F. (2013). “In Search of Negativity Bias: An Empirical Study of Perceived Helpfulness of Online Reviews”, </w:t>
      </w:r>
      <w:r>
        <w:rPr>
          <w:i/>
        </w:rPr>
        <w:t>Psychology &amp; Marketing</w:t>
      </w:r>
      <w:r>
        <w:rPr/>
        <w:t>, 30(11), 971-984. doi: 10.1002/mar.20660</w:t>
      </w:r>
    </w:p>
    <w:p>
      <w:pPr>
        <w:pStyle w:val="BodyText"/>
        <w:spacing w:before="120"/>
        <w:ind w:left="1256" w:right="311" w:hanging="708"/>
      </w:pPr>
      <w:r>
        <w:rPr/>
        <w:t>Wu, Y., Ngai, E. W., Wu, P., &amp; Wu, C. (2020). “Fake Online Reviews: Literature Review, Synthesis, and Directions for Future Research”, </w:t>
      </w:r>
      <w:r>
        <w:rPr>
          <w:i/>
        </w:rPr>
        <w:t>Decision Support Systems</w:t>
      </w:r>
      <w:r>
        <w:rPr/>
        <w:t>, 113280. doi:10.1016/j.dss.2020.113280</w:t>
      </w:r>
    </w:p>
    <w:p>
      <w:pPr>
        <w:spacing w:before="121"/>
        <w:ind w:left="1256" w:right="310" w:hanging="708"/>
        <w:jc w:val="both"/>
        <w:rPr>
          <w:sz w:val="24"/>
        </w:rPr>
      </w:pPr>
      <w:r>
        <w:rPr>
          <w:sz w:val="24"/>
        </w:rPr>
        <w:t>Xie, K. L., Zhang, Z., &amp; Zhang, Z. (2014). “The Business Value of Online Consumer Reviews</w:t>
      </w:r>
      <w:r>
        <w:rPr>
          <w:spacing w:val="-9"/>
          <w:sz w:val="24"/>
        </w:rPr>
        <w:t> </w:t>
      </w:r>
      <w:r>
        <w:rPr>
          <w:sz w:val="24"/>
        </w:rPr>
        <w:t>and</w:t>
      </w:r>
      <w:r>
        <w:rPr>
          <w:spacing w:val="-9"/>
          <w:sz w:val="24"/>
        </w:rPr>
        <w:t> </w:t>
      </w:r>
      <w:r>
        <w:rPr>
          <w:sz w:val="24"/>
        </w:rPr>
        <w:t>Management</w:t>
      </w:r>
      <w:r>
        <w:rPr>
          <w:spacing w:val="-8"/>
          <w:sz w:val="24"/>
        </w:rPr>
        <w:t> </w:t>
      </w:r>
      <w:r>
        <w:rPr>
          <w:sz w:val="24"/>
        </w:rPr>
        <w:t>Response</w:t>
      </w:r>
      <w:r>
        <w:rPr>
          <w:spacing w:val="-9"/>
          <w:sz w:val="24"/>
        </w:rPr>
        <w:t> </w:t>
      </w:r>
      <w:r>
        <w:rPr>
          <w:sz w:val="24"/>
        </w:rPr>
        <w:t>to</w:t>
      </w:r>
      <w:r>
        <w:rPr>
          <w:spacing w:val="-9"/>
          <w:sz w:val="24"/>
        </w:rPr>
        <w:t> </w:t>
      </w:r>
      <w:r>
        <w:rPr>
          <w:sz w:val="24"/>
        </w:rPr>
        <w:t>Hotel</w:t>
      </w:r>
      <w:r>
        <w:rPr>
          <w:spacing w:val="-8"/>
          <w:sz w:val="24"/>
        </w:rPr>
        <w:t> </w:t>
      </w:r>
      <w:r>
        <w:rPr>
          <w:sz w:val="24"/>
        </w:rPr>
        <w:t>Performance”,</w:t>
      </w:r>
      <w:r>
        <w:rPr>
          <w:spacing w:val="-9"/>
          <w:sz w:val="24"/>
        </w:rPr>
        <w:t> </w:t>
      </w:r>
      <w:r>
        <w:rPr>
          <w:i/>
          <w:sz w:val="24"/>
        </w:rPr>
        <w:t>International</w:t>
      </w:r>
      <w:r>
        <w:rPr>
          <w:i/>
          <w:spacing w:val="-8"/>
          <w:sz w:val="24"/>
        </w:rPr>
        <w:t> </w:t>
      </w:r>
      <w:r>
        <w:rPr>
          <w:i/>
          <w:sz w:val="24"/>
        </w:rPr>
        <w:t>Journal</w:t>
      </w:r>
      <w:r>
        <w:rPr>
          <w:i/>
          <w:spacing w:val="-8"/>
          <w:sz w:val="24"/>
        </w:rPr>
        <w:t> </w:t>
      </w:r>
      <w:r>
        <w:rPr>
          <w:i/>
          <w:sz w:val="24"/>
        </w:rPr>
        <w:t>of </w:t>
      </w:r>
      <w:r>
        <w:rPr>
          <w:i/>
          <w:sz w:val="24"/>
        </w:rPr>
        <w:t>Hospitality Management</w:t>
      </w:r>
      <w:r>
        <w:rPr>
          <w:sz w:val="24"/>
        </w:rPr>
        <w:t>, 43, 1-12.</w:t>
      </w:r>
      <w:r>
        <w:rPr>
          <w:spacing w:val="1"/>
          <w:sz w:val="24"/>
        </w:rPr>
        <w:t> </w:t>
      </w:r>
      <w:r>
        <w:rPr>
          <w:sz w:val="24"/>
        </w:rPr>
        <w:t>doi:10.1016/j.ijhm.2014.07.007</w:t>
      </w:r>
    </w:p>
    <w:p>
      <w:pPr>
        <w:pStyle w:val="BodyText"/>
        <w:spacing w:before="120"/>
        <w:ind w:left="1256" w:right="309" w:hanging="708"/>
      </w:pPr>
      <w:r>
        <w:rPr/>
        <w:t>Xiong, G., &amp; Bharadwaj, S. (2014). “Prerelease Buzz Evolution Patterns and New Product Performance”, </w:t>
      </w:r>
      <w:r>
        <w:rPr>
          <w:i/>
        </w:rPr>
        <w:t>Marketing Science</w:t>
      </w:r>
      <w:r>
        <w:rPr/>
        <w:t>, 33(3), 401-421. doi:10.1287/mksc.2013.0828</w:t>
      </w:r>
    </w:p>
    <w:p>
      <w:pPr>
        <w:pStyle w:val="BodyText"/>
        <w:spacing w:before="120"/>
      </w:pPr>
      <w:r>
        <w:rPr/>
        <w:t>Yahoo Finance (08/10/2019) https://finance.yahoo.com/quote/AMZN/ (08/10/2019)</w:t>
      </w:r>
    </w:p>
    <w:p>
      <w:pPr>
        <w:pStyle w:val="BodyText"/>
        <w:spacing w:before="120"/>
        <w:ind w:left="1256" w:right="310" w:hanging="708"/>
      </w:pPr>
      <w:r>
        <w:rPr/>
        <w:t>Yan,</w:t>
      </w:r>
      <w:r>
        <w:rPr>
          <w:spacing w:val="-16"/>
        </w:rPr>
        <w:t> </w:t>
      </w:r>
      <w:r>
        <w:rPr/>
        <w:t>Q.,</w:t>
      </w:r>
      <w:r>
        <w:rPr>
          <w:spacing w:val="-16"/>
        </w:rPr>
        <w:t> </w:t>
      </w:r>
      <w:r>
        <w:rPr/>
        <w:t>Wu,</w:t>
      </w:r>
      <w:r>
        <w:rPr>
          <w:spacing w:val="-13"/>
        </w:rPr>
        <w:t> </w:t>
      </w:r>
      <w:r>
        <w:rPr/>
        <w:t>S.,</w:t>
      </w:r>
      <w:r>
        <w:rPr>
          <w:spacing w:val="-16"/>
        </w:rPr>
        <w:t> </w:t>
      </w:r>
      <w:r>
        <w:rPr/>
        <w:t>Wang,</w:t>
      </w:r>
      <w:r>
        <w:rPr>
          <w:spacing w:val="-16"/>
        </w:rPr>
        <w:t> </w:t>
      </w:r>
      <w:r>
        <w:rPr/>
        <w:t>L.,</w:t>
      </w:r>
      <w:r>
        <w:rPr>
          <w:spacing w:val="-15"/>
        </w:rPr>
        <w:t> </w:t>
      </w:r>
      <w:r>
        <w:rPr/>
        <w:t>Wu,</w:t>
      </w:r>
      <w:r>
        <w:rPr>
          <w:spacing w:val="-16"/>
        </w:rPr>
        <w:t> </w:t>
      </w:r>
      <w:r>
        <w:rPr/>
        <w:t>P.,</w:t>
      </w:r>
      <w:r>
        <w:rPr>
          <w:spacing w:val="-15"/>
        </w:rPr>
        <w:t> </w:t>
      </w:r>
      <w:r>
        <w:rPr/>
        <w:t>Chen,</w:t>
      </w:r>
      <w:r>
        <w:rPr>
          <w:spacing w:val="-16"/>
        </w:rPr>
        <w:t> </w:t>
      </w:r>
      <w:r>
        <w:rPr/>
        <w:t>H.,</w:t>
      </w:r>
      <w:r>
        <w:rPr>
          <w:spacing w:val="-16"/>
        </w:rPr>
        <w:t> </w:t>
      </w:r>
      <w:r>
        <w:rPr/>
        <w:t>&amp;</w:t>
      </w:r>
      <w:r>
        <w:rPr>
          <w:spacing w:val="-14"/>
        </w:rPr>
        <w:t> </w:t>
      </w:r>
      <w:r>
        <w:rPr/>
        <w:t>Wei,</w:t>
      </w:r>
      <w:r>
        <w:rPr>
          <w:spacing w:val="-15"/>
        </w:rPr>
        <w:t> </w:t>
      </w:r>
      <w:r>
        <w:rPr/>
        <w:t>G.</w:t>
      </w:r>
      <w:r>
        <w:rPr>
          <w:spacing w:val="-16"/>
        </w:rPr>
        <w:t> </w:t>
      </w:r>
      <w:r>
        <w:rPr/>
        <w:t>(2016).</w:t>
      </w:r>
      <w:r>
        <w:rPr>
          <w:spacing w:val="-13"/>
        </w:rPr>
        <w:t> </w:t>
      </w:r>
      <w:r>
        <w:rPr/>
        <w:t>“E-WOM</w:t>
      </w:r>
      <w:r>
        <w:rPr>
          <w:spacing w:val="-13"/>
        </w:rPr>
        <w:t> </w:t>
      </w:r>
      <w:r>
        <w:rPr/>
        <w:t>from</w:t>
      </w:r>
      <w:r>
        <w:rPr>
          <w:spacing w:val="-15"/>
        </w:rPr>
        <w:t> </w:t>
      </w:r>
      <w:r>
        <w:rPr/>
        <w:t>E-Commerce Websites and Social Media: Which Will Consumers Adopt?”, </w:t>
      </w:r>
      <w:r>
        <w:rPr>
          <w:i/>
        </w:rPr>
        <w:t>Electronic Commerce </w:t>
      </w:r>
      <w:r>
        <w:rPr>
          <w:i/>
        </w:rPr>
        <w:t>Research and Applications</w:t>
      </w:r>
      <w:r>
        <w:rPr/>
        <w:t>, 17, 62-73. doi:</w:t>
      </w:r>
      <w:r>
        <w:rPr>
          <w:spacing w:val="-2"/>
        </w:rPr>
        <w:t> </w:t>
      </w:r>
      <w:r>
        <w:rPr/>
        <w:t>10.1016/j.elerap.2016.03.004</w:t>
      </w:r>
    </w:p>
    <w:p>
      <w:pPr>
        <w:pStyle w:val="BodyText"/>
        <w:spacing w:before="120"/>
        <w:ind w:left="1256" w:right="310" w:hanging="708"/>
      </w:pPr>
      <w:r>
        <w:rPr/>
        <w:t>Yan,</w:t>
      </w:r>
      <w:r>
        <w:rPr>
          <w:spacing w:val="-11"/>
        </w:rPr>
        <w:t> </w:t>
      </w:r>
      <w:r>
        <w:rPr/>
        <w:t>Q.,</w:t>
      </w:r>
      <w:r>
        <w:rPr>
          <w:spacing w:val="-12"/>
        </w:rPr>
        <w:t> </w:t>
      </w:r>
      <w:r>
        <w:rPr/>
        <w:t>Zhang,</w:t>
      </w:r>
      <w:r>
        <w:rPr>
          <w:spacing w:val="-11"/>
        </w:rPr>
        <w:t> </w:t>
      </w:r>
      <w:r>
        <w:rPr/>
        <w:t>L.,</w:t>
      </w:r>
      <w:r>
        <w:rPr>
          <w:spacing w:val="-11"/>
        </w:rPr>
        <w:t> </w:t>
      </w:r>
      <w:r>
        <w:rPr/>
        <w:t>Li,</w:t>
      </w:r>
      <w:r>
        <w:rPr>
          <w:spacing w:val="-11"/>
        </w:rPr>
        <w:t> </w:t>
      </w:r>
      <w:r>
        <w:rPr/>
        <w:t>Y.,</w:t>
      </w:r>
      <w:r>
        <w:rPr>
          <w:spacing w:val="-11"/>
        </w:rPr>
        <w:t> </w:t>
      </w:r>
      <w:r>
        <w:rPr/>
        <w:t>Wu,</w:t>
      </w:r>
      <w:r>
        <w:rPr>
          <w:spacing w:val="-11"/>
        </w:rPr>
        <w:t> </w:t>
      </w:r>
      <w:r>
        <w:rPr/>
        <w:t>S.,</w:t>
      </w:r>
      <w:r>
        <w:rPr>
          <w:spacing w:val="-11"/>
        </w:rPr>
        <w:t> </w:t>
      </w:r>
      <w:r>
        <w:rPr/>
        <w:t>Sun,</w:t>
      </w:r>
      <w:r>
        <w:rPr>
          <w:spacing w:val="-10"/>
        </w:rPr>
        <w:t> </w:t>
      </w:r>
      <w:r>
        <w:rPr/>
        <w:t>T.,</w:t>
      </w:r>
      <w:r>
        <w:rPr>
          <w:spacing w:val="-11"/>
        </w:rPr>
        <w:t> </w:t>
      </w:r>
      <w:r>
        <w:rPr/>
        <w:t>Wang,</w:t>
      </w:r>
      <w:r>
        <w:rPr>
          <w:spacing w:val="-11"/>
        </w:rPr>
        <w:t> </w:t>
      </w:r>
      <w:r>
        <w:rPr/>
        <w:t>L.,</w:t>
      </w:r>
      <w:r>
        <w:rPr>
          <w:spacing w:val="-10"/>
        </w:rPr>
        <w:t> </w:t>
      </w:r>
      <w:r>
        <w:rPr/>
        <w:t>&amp;</w:t>
      </w:r>
      <w:r>
        <w:rPr>
          <w:spacing w:val="-11"/>
        </w:rPr>
        <w:t> </w:t>
      </w:r>
      <w:r>
        <w:rPr/>
        <w:t>Chen,</w:t>
      </w:r>
      <w:r>
        <w:rPr>
          <w:spacing w:val="-11"/>
        </w:rPr>
        <w:t> </w:t>
      </w:r>
      <w:r>
        <w:rPr/>
        <w:t>H.</w:t>
      </w:r>
      <w:r>
        <w:rPr>
          <w:spacing w:val="-12"/>
        </w:rPr>
        <w:t> </w:t>
      </w:r>
      <w:r>
        <w:rPr/>
        <w:t>(2016).</w:t>
      </w:r>
      <w:r>
        <w:rPr>
          <w:spacing w:val="-11"/>
        </w:rPr>
        <w:t> </w:t>
      </w:r>
      <w:r>
        <w:rPr/>
        <w:t>“Effects</w:t>
      </w:r>
      <w:r>
        <w:rPr>
          <w:spacing w:val="-10"/>
        </w:rPr>
        <w:t> </w:t>
      </w:r>
      <w:r>
        <w:rPr/>
        <w:t>of</w:t>
      </w:r>
      <w:r>
        <w:rPr>
          <w:spacing w:val="-11"/>
        </w:rPr>
        <w:t> </w:t>
      </w:r>
      <w:r>
        <w:rPr/>
        <w:t>Product Portfolios and Recommendation Timing in The Efficiency of Personalized Recommendation”, </w:t>
      </w:r>
      <w:r>
        <w:rPr>
          <w:i/>
        </w:rPr>
        <w:t>Journal of Consumer Behaviour</w:t>
      </w:r>
      <w:r>
        <w:rPr/>
        <w:t>, 15: 516–526. doi: 10.1002/cb.1588.</w:t>
      </w:r>
    </w:p>
    <w:p>
      <w:pPr>
        <w:pStyle w:val="BodyText"/>
        <w:spacing w:before="120"/>
        <w:ind w:left="1256" w:right="310" w:hanging="708"/>
      </w:pPr>
      <w:r>
        <w:rPr/>
        <w:t>Yang,</w:t>
      </w:r>
      <w:r>
        <w:rPr>
          <w:spacing w:val="-4"/>
        </w:rPr>
        <w:t> </w:t>
      </w:r>
      <w:r>
        <w:rPr/>
        <w:t>J.,</w:t>
      </w:r>
      <w:r>
        <w:rPr>
          <w:spacing w:val="-4"/>
        </w:rPr>
        <w:t> </w:t>
      </w:r>
      <w:r>
        <w:rPr/>
        <w:t>Sarathy,</w:t>
      </w:r>
      <w:r>
        <w:rPr>
          <w:spacing w:val="-3"/>
        </w:rPr>
        <w:t> </w:t>
      </w:r>
      <w:r>
        <w:rPr/>
        <w:t>R.,</w:t>
      </w:r>
      <w:r>
        <w:rPr>
          <w:spacing w:val="-4"/>
        </w:rPr>
        <w:t> </w:t>
      </w:r>
      <w:r>
        <w:rPr/>
        <w:t>&amp; Lee,</w:t>
      </w:r>
      <w:r>
        <w:rPr>
          <w:spacing w:val="-4"/>
        </w:rPr>
        <w:t> </w:t>
      </w:r>
      <w:r>
        <w:rPr/>
        <w:t>J.</w:t>
      </w:r>
      <w:r>
        <w:rPr>
          <w:spacing w:val="-1"/>
        </w:rPr>
        <w:t> </w:t>
      </w:r>
      <w:r>
        <w:rPr/>
        <w:t>(2016). “The</w:t>
      </w:r>
      <w:r>
        <w:rPr>
          <w:spacing w:val="-5"/>
        </w:rPr>
        <w:t> </w:t>
      </w:r>
      <w:r>
        <w:rPr/>
        <w:t>Effect</w:t>
      </w:r>
      <w:r>
        <w:rPr>
          <w:spacing w:val="-2"/>
        </w:rPr>
        <w:t> </w:t>
      </w:r>
      <w:r>
        <w:rPr/>
        <w:t>of</w:t>
      </w:r>
      <w:r>
        <w:rPr>
          <w:spacing w:val="-5"/>
        </w:rPr>
        <w:t> </w:t>
      </w:r>
      <w:r>
        <w:rPr/>
        <w:t>Product</w:t>
      </w:r>
      <w:r>
        <w:rPr>
          <w:spacing w:val="-3"/>
        </w:rPr>
        <w:t> </w:t>
      </w:r>
      <w:r>
        <w:rPr/>
        <w:t>Review</w:t>
      </w:r>
      <w:r>
        <w:rPr>
          <w:spacing w:val="-5"/>
        </w:rPr>
        <w:t> </w:t>
      </w:r>
      <w:r>
        <w:rPr/>
        <w:t>Balance</w:t>
      </w:r>
      <w:r>
        <w:rPr>
          <w:spacing w:val="-2"/>
        </w:rPr>
        <w:t> </w:t>
      </w:r>
      <w:r>
        <w:rPr/>
        <w:t>and</w:t>
      </w:r>
      <w:r>
        <w:rPr>
          <w:spacing w:val="-3"/>
        </w:rPr>
        <w:t> </w:t>
      </w:r>
      <w:r>
        <w:rPr/>
        <w:t>Volume on Online Shoppers' Risk Perception and Purchase Intention”, </w:t>
      </w:r>
      <w:r>
        <w:rPr>
          <w:i/>
        </w:rPr>
        <w:t>Decision Support </w:t>
      </w:r>
      <w:r>
        <w:rPr>
          <w:i/>
        </w:rPr>
        <w:t>Systems</w:t>
      </w:r>
      <w:r>
        <w:rPr/>
        <w:t>, 89, 66-76. doi:</w:t>
      </w:r>
      <w:r>
        <w:rPr>
          <w:spacing w:val="2"/>
        </w:rPr>
        <w:t> </w:t>
      </w:r>
      <w:r>
        <w:rPr/>
        <w:t>10.1016/j.dss.2016.06.009</w:t>
      </w:r>
    </w:p>
    <w:p>
      <w:pPr>
        <w:spacing w:line="240" w:lineRule="auto" w:before="120"/>
        <w:ind w:left="1256" w:right="310" w:hanging="708"/>
        <w:jc w:val="both"/>
        <w:rPr>
          <w:sz w:val="24"/>
        </w:rPr>
      </w:pPr>
      <w:r>
        <w:rPr>
          <w:sz w:val="24"/>
        </w:rPr>
        <w:t>Ye, Q., Li, Y., Kiang, M., &amp; Wu, W. (2009). “The Impact of Seller Reputation on the Performance</w:t>
      </w:r>
      <w:r>
        <w:rPr>
          <w:spacing w:val="-15"/>
          <w:sz w:val="24"/>
        </w:rPr>
        <w:t> </w:t>
      </w:r>
      <w:r>
        <w:rPr>
          <w:sz w:val="24"/>
        </w:rPr>
        <w:t>of</w:t>
      </w:r>
      <w:r>
        <w:rPr>
          <w:spacing w:val="-11"/>
          <w:sz w:val="24"/>
        </w:rPr>
        <w:t> </w:t>
      </w:r>
      <w:r>
        <w:rPr>
          <w:sz w:val="24"/>
        </w:rPr>
        <w:t>Online</w:t>
      </w:r>
      <w:r>
        <w:rPr>
          <w:spacing w:val="-14"/>
          <w:sz w:val="24"/>
        </w:rPr>
        <w:t> </w:t>
      </w:r>
      <w:r>
        <w:rPr>
          <w:sz w:val="24"/>
        </w:rPr>
        <w:t>Sales:</w:t>
      </w:r>
      <w:r>
        <w:rPr>
          <w:spacing w:val="-13"/>
          <w:sz w:val="24"/>
        </w:rPr>
        <w:t> </w:t>
      </w:r>
      <w:r>
        <w:rPr>
          <w:sz w:val="24"/>
        </w:rPr>
        <w:t>Evidence</w:t>
      </w:r>
      <w:r>
        <w:rPr>
          <w:spacing w:val="-14"/>
          <w:sz w:val="24"/>
        </w:rPr>
        <w:t> </w:t>
      </w:r>
      <w:r>
        <w:rPr>
          <w:sz w:val="24"/>
        </w:rPr>
        <w:t>from</w:t>
      </w:r>
      <w:r>
        <w:rPr>
          <w:spacing w:val="-13"/>
          <w:sz w:val="24"/>
        </w:rPr>
        <w:t> </w:t>
      </w:r>
      <w:r>
        <w:rPr>
          <w:sz w:val="24"/>
        </w:rPr>
        <w:t>TaoBao</w:t>
      </w:r>
      <w:r>
        <w:rPr>
          <w:spacing w:val="-13"/>
          <w:sz w:val="24"/>
        </w:rPr>
        <w:t> </w:t>
      </w:r>
      <w:r>
        <w:rPr>
          <w:sz w:val="24"/>
        </w:rPr>
        <w:t>Buy-It-Now</w:t>
      </w:r>
      <w:r>
        <w:rPr>
          <w:spacing w:val="-11"/>
          <w:sz w:val="24"/>
        </w:rPr>
        <w:t> </w:t>
      </w:r>
      <w:r>
        <w:rPr>
          <w:sz w:val="24"/>
        </w:rPr>
        <w:t>(BIN)</w:t>
      </w:r>
      <w:r>
        <w:rPr>
          <w:spacing w:val="-12"/>
          <w:sz w:val="24"/>
        </w:rPr>
        <w:t> </w:t>
      </w:r>
      <w:r>
        <w:rPr>
          <w:sz w:val="24"/>
        </w:rPr>
        <w:t>Data”,</w:t>
      </w:r>
      <w:r>
        <w:rPr>
          <w:spacing w:val="-13"/>
          <w:sz w:val="24"/>
        </w:rPr>
        <w:t> </w:t>
      </w:r>
      <w:r>
        <w:rPr>
          <w:i/>
          <w:sz w:val="24"/>
        </w:rPr>
        <w:t>ACM </w:t>
      </w:r>
      <w:r>
        <w:rPr>
          <w:i/>
          <w:sz w:val="24"/>
        </w:rPr>
        <w:t>SIGMIS Database: the DATABASE for Advances in Information Systems</w:t>
      </w:r>
      <w:r>
        <w:rPr>
          <w:sz w:val="24"/>
        </w:rPr>
        <w:t>, 40(1), 12- 19.</w:t>
      </w:r>
      <w:r>
        <w:rPr>
          <w:spacing w:val="-1"/>
          <w:sz w:val="24"/>
        </w:rPr>
        <w:t> </w:t>
      </w:r>
      <w:r>
        <w:rPr>
          <w:sz w:val="24"/>
        </w:rPr>
        <w:t>doi:10.1145/1496930.1496935</w:t>
      </w:r>
    </w:p>
    <w:p>
      <w:pPr>
        <w:pStyle w:val="BodyText"/>
        <w:spacing w:before="119"/>
        <w:ind w:left="1256" w:right="310" w:hanging="708"/>
      </w:pPr>
      <w:r>
        <w:rPr/>
        <w:t>Ye, Q., Xu, M., Kiang, M., Wu, W., &amp; Sun, F. (2013). “In-Depth Analysis of The Seller Reputation and Price Premium Relationship: A Comparison Between Ebay US and Taobao China”, </w:t>
      </w:r>
      <w:r>
        <w:rPr>
          <w:i/>
        </w:rPr>
        <w:t>Journal of Electronic Commerce Research</w:t>
      </w:r>
      <w:r>
        <w:rPr/>
        <w:t>, 14(1), 1.</w:t>
      </w:r>
    </w:p>
    <w:p>
      <w:pPr>
        <w:spacing w:after="0"/>
        <w:sectPr>
          <w:pgSz w:w="12240" w:h="15840"/>
          <w:pgMar w:header="718" w:footer="0" w:top="1300" w:bottom="280" w:left="1720" w:right="820"/>
        </w:sectPr>
      </w:pPr>
    </w:p>
    <w:p>
      <w:pPr>
        <w:pStyle w:val="BodyText"/>
        <w:spacing w:before="100"/>
        <w:ind w:left="1256" w:right="310" w:hanging="708"/>
      </w:pPr>
      <w:r>
        <w:rPr/>
        <w:t>Yoon,</w:t>
      </w:r>
      <w:r>
        <w:rPr>
          <w:spacing w:val="-14"/>
        </w:rPr>
        <w:t> </w:t>
      </w:r>
      <w:r>
        <w:rPr/>
        <w:t>G.,</w:t>
      </w:r>
      <w:r>
        <w:rPr>
          <w:spacing w:val="-13"/>
        </w:rPr>
        <w:t> </w:t>
      </w:r>
      <w:r>
        <w:rPr/>
        <w:t>Li,</w:t>
      </w:r>
      <w:r>
        <w:rPr>
          <w:spacing w:val="-12"/>
        </w:rPr>
        <w:t> </w:t>
      </w:r>
      <w:r>
        <w:rPr/>
        <w:t>C.,</w:t>
      </w:r>
      <w:r>
        <w:rPr>
          <w:spacing w:val="-13"/>
        </w:rPr>
        <w:t> </w:t>
      </w:r>
      <w:r>
        <w:rPr/>
        <w:t>Ji,</w:t>
      </w:r>
      <w:r>
        <w:rPr>
          <w:spacing w:val="-12"/>
        </w:rPr>
        <w:t> </w:t>
      </w:r>
      <w:r>
        <w:rPr/>
        <w:t>Y.,</w:t>
      </w:r>
      <w:r>
        <w:rPr>
          <w:spacing w:val="-13"/>
        </w:rPr>
        <w:t> </w:t>
      </w:r>
      <w:r>
        <w:rPr/>
        <w:t>North,</w:t>
      </w:r>
      <w:r>
        <w:rPr>
          <w:spacing w:val="-14"/>
        </w:rPr>
        <w:t> </w:t>
      </w:r>
      <w:r>
        <w:rPr/>
        <w:t>M.,</w:t>
      </w:r>
      <w:r>
        <w:rPr>
          <w:spacing w:val="-12"/>
        </w:rPr>
        <w:t> </w:t>
      </w:r>
      <w:r>
        <w:rPr/>
        <w:t>Hong,</w:t>
      </w:r>
      <w:r>
        <w:rPr>
          <w:spacing w:val="-13"/>
        </w:rPr>
        <w:t> </w:t>
      </w:r>
      <w:r>
        <w:rPr/>
        <w:t>C.,</w:t>
      </w:r>
      <w:r>
        <w:rPr>
          <w:spacing w:val="-13"/>
        </w:rPr>
        <w:t> </w:t>
      </w:r>
      <w:r>
        <w:rPr/>
        <w:t>&amp;</w:t>
      </w:r>
      <w:r>
        <w:rPr>
          <w:spacing w:val="-12"/>
        </w:rPr>
        <w:t> </w:t>
      </w:r>
      <w:r>
        <w:rPr/>
        <w:t>Liu,</w:t>
      </w:r>
      <w:r>
        <w:rPr>
          <w:spacing w:val="-12"/>
        </w:rPr>
        <w:t> </w:t>
      </w:r>
      <w:r>
        <w:rPr/>
        <w:t>J.</w:t>
      </w:r>
      <w:r>
        <w:rPr>
          <w:spacing w:val="-13"/>
        </w:rPr>
        <w:t> </w:t>
      </w:r>
      <w:r>
        <w:rPr/>
        <w:t>(2018).</w:t>
      </w:r>
      <w:r>
        <w:rPr>
          <w:spacing w:val="-12"/>
        </w:rPr>
        <w:t> </w:t>
      </w:r>
      <w:r>
        <w:rPr/>
        <w:t>“Attracting</w:t>
      </w:r>
      <w:r>
        <w:rPr>
          <w:spacing w:val="-12"/>
        </w:rPr>
        <w:t> </w:t>
      </w:r>
      <w:r>
        <w:rPr/>
        <w:t>Comments:</w:t>
      </w:r>
      <w:r>
        <w:rPr>
          <w:spacing w:val="-13"/>
        </w:rPr>
        <w:t> </w:t>
      </w:r>
      <w:r>
        <w:rPr/>
        <w:t>Digital Engagement Metrics on Facebook and Financial Performance”, </w:t>
      </w:r>
      <w:r>
        <w:rPr>
          <w:i/>
        </w:rPr>
        <w:t>Journal of </w:t>
      </w:r>
      <w:r>
        <w:rPr>
          <w:i/>
        </w:rPr>
        <w:t>Advertising</w:t>
      </w:r>
      <w:r>
        <w:rPr/>
        <w:t>, 47(1), 24-37. doi:</w:t>
      </w:r>
      <w:r>
        <w:rPr>
          <w:spacing w:val="-1"/>
        </w:rPr>
        <w:t> </w:t>
      </w:r>
      <w:r>
        <w:rPr/>
        <w:t>10.1080/00913367.2017.1405753</w:t>
      </w:r>
    </w:p>
    <w:p>
      <w:pPr>
        <w:pStyle w:val="BodyText"/>
        <w:spacing w:before="121"/>
        <w:ind w:left="1256" w:right="311" w:hanging="708"/>
      </w:pPr>
      <w:r>
        <w:rPr/>
        <w:t>Yoon, Y., Polpanumas, C., &amp; Park, Y. J. (2017). “The Impact of Word of Mouth via</w:t>
      </w:r>
      <w:r>
        <w:rPr>
          <w:spacing w:val="-41"/>
        </w:rPr>
        <w:t> </w:t>
      </w:r>
      <w:r>
        <w:rPr/>
        <w:t>Twitter on Moviegoers' Decisions and Film Revenues: Revisiting Prospect Theory: How WOM About Movies Drives Loss-Aversion and Reference-Dependence Behaviors”, </w:t>
      </w:r>
      <w:r>
        <w:rPr>
          <w:i/>
        </w:rPr>
        <w:t>Journal of Advertising Research</w:t>
      </w:r>
      <w:r>
        <w:rPr/>
        <w:t>, 57(2), 144-158. doi:</w:t>
      </w:r>
      <w:r>
        <w:rPr>
          <w:spacing w:val="-1"/>
        </w:rPr>
        <w:t> </w:t>
      </w:r>
      <w:r>
        <w:rPr/>
        <w:t>10.2501/JAR-2017-022</w:t>
      </w:r>
    </w:p>
    <w:p>
      <w:pPr>
        <w:pStyle w:val="BodyText"/>
        <w:spacing w:before="120"/>
        <w:ind w:left="1256" w:right="310" w:hanging="708"/>
      </w:pPr>
      <w:r>
        <w:rPr/>
        <w:t>You, Y., Vadakkepatt, G. G., &amp; Joshi, A. M. (2015). “A Meta-Analysis of Electronic</w:t>
      </w:r>
      <w:r>
        <w:rPr>
          <w:spacing w:val="-32"/>
        </w:rPr>
        <w:t> </w:t>
      </w:r>
      <w:r>
        <w:rPr/>
        <w:t>Word- of-Mouth Elasticity”, </w:t>
      </w:r>
      <w:r>
        <w:rPr>
          <w:i/>
        </w:rPr>
        <w:t>Journal of Marketing</w:t>
      </w:r>
      <w:r>
        <w:rPr/>
        <w:t>, 79(2), 19-39.</w:t>
      </w:r>
      <w:r>
        <w:rPr>
          <w:spacing w:val="-4"/>
        </w:rPr>
        <w:t> </w:t>
      </w:r>
      <w:r>
        <w:rPr/>
        <w:t>doi:10.1509/jm.14.0169</w:t>
      </w:r>
    </w:p>
    <w:p>
      <w:pPr>
        <w:pStyle w:val="BodyText"/>
        <w:spacing w:before="120"/>
        <w:ind w:left="1256" w:right="311" w:hanging="708"/>
      </w:pPr>
      <w:r>
        <w:rPr/>
        <w:t>Yue,</w:t>
      </w:r>
      <w:r>
        <w:rPr>
          <w:spacing w:val="-17"/>
        </w:rPr>
        <w:t> </w:t>
      </w:r>
      <w:r>
        <w:rPr/>
        <w:t>L.,</w:t>
      </w:r>
      <w:r>
        <w:rPr>
          <w:spacing w:val="-16"/>
        </w:rPr>
        <w:t> </w:t>
      </w:r>
      <w:r>
        <w:rPr/>
        <w:t>Liu,</w:t>
      </w:r>
      <w:r>
        <w:rPr>
          <w:spacing w:val="-13"/>
        </w:rPr>
        <w:t> </w:t>
      </w:r>
      <w:r>
        <w:rPr/>
        <w:t>Y.,</w:t>
      </w:r>
      <w:r>
        <w:rPr>
          <w:spacing w:val="-16"/>
        </w:rPr>
        <w:t> </w:t>
      </w:r>
      <w:r>
        <w:rPr/>
        <w:t>&amp;</w:t>
      </w:r>
      <w:r>
        <w:rPr>
          <w:spacing w:val="-16"/>
        </w:rPr>
        <w:t> </w:t>
      </w:r>
      <w:r>
        <w:rPr/>
        <w:t>Wei,</w:t>
      </w:r>
      <w:r>
        <w:rPr>
          <w:spacing w:val="-13"/>
        </w:rPr>
        <w:t> </w:t>
      </w:r>
      <w:r>
        <w:rPr/>
        <w:t>X.</w:t>
      </w:r>
      <w:r>
        <w:rPr>
          <w:spacing w:val="-16"/>
        </w:rPr>
        <w:t> </w:t>
      </w:r>
      <w:r>
        <w:rPr/>
        <w:t>(2017).</w:t>
      </w:r>
      <w:r>
        <w:rPr>
          <w:spacing w:val="-14"/>
        </w:rPr>
        <w:t> </w:t>
      </w:r>
      <w:r>
        <w:rPr/>
        <w:t>“Influence</w:t>
      </w:r>
      <w:r>
        <w:rPr>
          <w:spacing w:val="-15"/>
        </w:rPr>
        <w:t> </w:t>
      </w:r>
      <w:r>
        <w:rPr/>
        <w:t>of</w:t>
      </w:r>
      <w:r>
        <w:rPr>
          <w:spacing w:val="-13"/>
        </w:rPr>
        <w:t> </w:t>
      </w:r>
      <w:r>
        <w:rPr/>
        <w:t>Online</w:t>
      </w:r>
      <w:r>
        <w:rPr>
          <w:spacing w:val="-16"/>
        </w:rPr>
        <w:t> </w:t>
      </w:r>
      <w:r>
        <w:rPr/>
        <w:t>Product</w:t>
      </w:r>
      <w:r>
        <w:rPr>
          <w:spacing w:val="-16"/>
        </w:rPr>
        <w:t> </w:t>
      </w:r>
      <w:r>
        <w:rPr/>
        <w:t>Presentation</w:t>
      </w:r>
      <w:r>
        <w:rPr>
          <w:spacing w:val="-16"/>
        </w:rPr>
        <w:t> </w:t>
      </w:r>
      <w:r>
        <w:rPr/>
        <w:t>on</w:t>
      </w:r>
      <w:r>
        <w:rPr>
          <w:spacing w:val="-16"/>
        </w:rPr>
        <w:t> </w:t>
      </w:r>
      <w:r>
        <w:rPr/>
        <w:t>Consumers’ Trust in Organic Food: A Mediated Moderation Model”, </w:t>
      </w:r>
      <w:r>
        <w:rPr>
          <w:i/>
        </w:rPr>
        <w:t>British Food Journal</w:t>
      </w:r>
      <w:r>
        <w:rPr/>
        <w:t>, 119(12), 2724-2739.</w:t>
      </w:r>
      <w:r>
        <w:rPr>
          <w:spacing w:val="-1"/>
        </w:rPr>
        <w:t> </w:t>
      </w:r>
      <w:r>
        <w:rPr/>
        <w:t>doi:10.1108/BFJ-09-2016-0421</w:t>
      </w:r>
    </w:p>
    <w:p>
      <w:pPr>
        <w:pStyle w:val="BodyText"/>
        <w:spacing w:before="120"/>
        <w:ind w:left="1256" w:right="309" w:hanging="708"/>
      </w:pPr>
      <w:r>
        <w:rPr/>
        <w:t>Zaefarian, G., Kadile, V., Henneberg, S. C., &amp; Leischnig, A. (2017). “Endogeneity Bias in Marketing Research: Problem, Causes and Remedies”, </w:t>
      </w:r>
      <w:r>
        <w:rPr>
          <w:i/>
        </w:rPr>
        <w:t>Industrial Marketing </w:t>
      </w:r>
      <w:r>
        <w:rPr>
          <w:i/>
        </w:rPr>
        <w:t>Management</w:t>
      </w:r>
      <w:r>
        <w:rPr/>
        <w:t>, 65, 39-46. doi:10.1016/j.indmarman.2017.05.006</w:t>
      </w:r>
    </w:p>
    <w:p>
      <w:pPr>
        <w:pStyle w:val="BodyText"/>
        <w:spacing w:before="120"/>
        <w:ind w:left="1256" w:right="310" w:hanging="708"/>
      </w:pPr>
      <w:r>
        <w:rPr/>
        <w:t>Zaichkowsky, J. L. (1994). “The Personal Involvement Inventory: Reduction, Revision, and Application to Advertising”, </w:t>
      </w:r>
      <w:r>
        <w:rPr>
          <w:i/>
        </w:rPr>
        <w:t>Journal of Advertising</w:t>
      </w:r>
      <w:r>
        <w:rPr/>
        <w:t>, 23(4), 59-70. doi:10.1080/00913367.1943.10673459</w:t>
      </w:r>
    </w:p>
    <w:p>
      <w:pPr>
        <w:pStyle w:val="BodyText"/>
        <w:spacing w:before="121"/>
        <w:ind w:left="1256" w:right="311" w:hanging="708"/>
      </w:pPr>
      <w:r>
        <w:rPr/>
        <w:t>Zhang, D., Zhou, L., Kehoe, J. L., &amp; Kilic, I. Y. (2016). “What Online Reviewer Behaviors Really Matter? Effects of Verbal and Nonverbal Behaviors on Detection of Fake Online Reviews”, </w:t>
      </w:r>
      <w:r>
        <w:rPr>
          <w:i/>
        </w:rPr>
        <w:t>Journal of Management Information Systems</w:t>
      </w:r>
      <w:r>
        <w:rPr/>
        <w:t>, 33(2), 456-481. doi:10.1080/07421222.2016.1205907</w:t>
      </w:r>
    </w:p>
    <w:p>
      <w:pPr>
        <w:pStyle w:val="BodyText"/>
        <w:spacing w:before="120"/>
      </w:pPr>
      <w:r>
        <w:rPr/>
        <w:t>Zhang, L. F., &amp; Zhang, F. J. (2011). “Does E-commerce Reputation Mechanism Matter?”,</w:t>
      </w:r>
    </w:p>
    <w:p>
      <w:pPr>
        <w:spacing w:before="0"/>
        <w:ind w:left="1256" w:right="0" w:firstLine="0"/>
        <w:jc w:val="both"/>
        <w:rPr>
          <w:sz w:val="24"/>
        </w:rPr>
      </w:pPr>
      <w:r>
        <w:rPr>
          <w:i/>
          <w:sz w:val="24"/>
        </w:rPr>
        <w:t>Procedia Engineering</w:t>
      </w:r>
      <w:r>
        <w:rPr>
          <w:sz w:val="24"/>
        </w:rPr>
        <w:t>, 15, 4885-4889. doi:10.1016/j.proeng.2011.08.910</w:t>
      </w:r>
    </w:p>
    <w:p>
      <w:pPr>
        <w:spacing w:before="120"/>
        <w:ind w:left="1256" w:right="310" w:hanging="708"/>
        <w:jc w:val="both"/>
        <w:rPr>
          <w:sz w:val="24"/>
        </w:rPr>
      </w:pPr>
      <w:r>
        <w:rPr>
          <w:sz w:val="24"/>
        </w:rPr>
        <w:t>Zhang, W. &amp; Watts, S. A. (2008). “Capitalizing on Content: Information Adoption in Two Online Communities”, </w:t>
      </w:r>
      <w:r>
        <w:rPr>
          <w:i/>
          <w:sz w:val="24"/>
        </w:rPr>
        <w:t>Journal of the Association for Information Systems</w:t>
      </w:r>
      <w:r>
        <w:rPr>
          <w:sz w:val="24"/>
        </w:rPr>
        <w:t>, 9(2), 73- 94.</w:t>
      </w:r>
    </w:p>
    <w:p>
      <w:pPr>
        <w:pStyle w:val="BodyText"/>
        <w:spacing w:before="120"/>
        <w:ind w:left="1256" w:right="309" w:hanging="708"/>
      </w:pPr>
      <w:r>
        <w:rPr/>
        <w:t>Zhang, X., &amp; Dellarocas, C. (2006). “The Lord of The Ratings: Is A Movie's Fate is Influenced by Reviews?”, </w:t>
      </w:r>
      <w:r>
        <w:rPr>
          <w:i/>
        </w:rPr>
        <w:t>ICIS 2006 proceedings</w:t>
      </w:r>
      <w:r>
        <w:rPr/>
        <w:t>, 1959-1978.</w:t>
      </w:r>
    </w:p>
    <w:p>
      <w:pPr>
        <w:spacing w:before="120"/>
        <w:ind w:left="1256" w:right="311" w:hanging="708"/>
        <w:jc w:val="both"/>
        <w:rPr>
          <w:sz w:val="24"/>
        </w:rPr>
      </w:pPr>
      <w:r>
        <w:rPr>
          <w:sz w:val="24"/>
        </w:rPr>
        <w:t>Zhang,</w:t>
      </w:r>
      <w:r>
        <w:rPr>
          <w:spacing w:val="-13"/>
          <w:sz w:val="24"/>
        </w:rPr>
        <w:t> </w:t>
      </w:r>
      <w:r>
        <w:rPr>
          <w:sz w:val="24"/>
        </w:rPr>
        <w:t>X.,</w:t>
      </w:r>
      <w:r>
        <w:rPr>
          <w:spacing w:val="-14"/>
          <w:sz w:val="24"/>
        </w:rPr>
        <w:t> </w:t>
      </w:r>
      <w:r>
        <w:rPr>
          <w:sz w:val="24"/>
        </w:rPr>
        <w:t>Gong,</w:t>
      </w:r>
      <w:r>
        <w:rPr>
          <w:spacing w:val="-14"/>
          <w:sz w:val="24"/>
        </w:rPr>
        <w:t> </w:t>
      </w:r>
      <w:r>
        <w:rPr>
          <w:sz w:val="24"/>
        </w:rPr>
        <w:t>Y.,</w:t>
      </w:r>
      <w:r>
        <w:rPr>
          <w:spacing w:val="-12"/>
          <w:sz w:val="24"/>
        </w:rPr>
        <w:t> </w:t>
      </w:r>
      <w:r>
        <w:rPr>
          <w:sz w:val="24"/>
        </w:rPr>
        <w:t>&amp;</w:t>
      </w:r>
      <w:r>
        <w:rPr>
          <w:spacing w:val="-12"/>
          <w:sz w:val="24"/>
        </w:rPr>
        <w:t> </w:t>
      </w:r>
      <w:r>
        <w:rPr>
          <w:sz w:val="24"/>
        </w:rPr>
        <w:t>Houser,</w:t>
      </w:r>
      <w:r>
        <w:rPr>
          <w:spacing w:val="-14"/>
          <w:sz w:val="24"/>
        </w:rPr>
        <w:t> </w:t>
      </w:r>
      <w:r>
        <w:rPr>
          <w:sz w:val="24"/>
        </w:rPr>
        <w:t>D.</w:t>
      </w:r>
      <w:r>
        <w:rPr>
          <w:spacing w:val="-14"/>
          <w:sz w:val="24"/>
        </w:rPr>
        <w:t> </w:t>
      </w:r>
      <w:r>
        <w:rPr>
          <w:sz w:val="24"/>
        </w:rPr>
        <w:t>(2016).</w:t>
      </w:r>
      <w:r>
        <w:rPr>
          <w:spacing w:val="-13"/>
          <w:sz w:val="24"/>
        </w:rPr>
        <w:t> </w:t>
      </w:r>
      <w:r>
        <w:rPr>
          <w:sz w:val="24"/>
        </w:rPr>
        <w:t>“Seller</w:t>
      </w:r>
      <w:r>
        <w:rPr>
          <w:spacing w:val="-10"/>
          <w:sz w:val="24"/>
        </w:rPr>
        <w:t> </w:t>
      </w:r>
      <w:r>
        <w:rPr>
          <w:sz w:val="24"/>
        </w:rPr>
        <w:t>Reputation</w:t>
      </w:r>
      <w:r>
        <w:rPr>
          <w:spacing w:val="-13"/>
          <w:sz w:val="24"/>
        </w:rPr>
        <w:t> </w:t>
      </w:r>
      <w:r>
        <w:rPr>
          <w:sz w:val="24"/>
        </w:rPr>
        <w:t>and</w:t>
      </w:r>
      <w:r>
        <w:rPr>
          <w:spacing w:val="-13"/>
          <w:sz w:val="24"/>
        </w:rPr>
        <w:t> </w:t>
      </w:r>
      <w:r>
        <w:rPr>
          <w:sz w:val="24"/>
        </w:rPr>
        <w:t>Buyer</w:t>
      </w:r>
      <w:r>
        <w:rPr>
          <w:spacing w:val="-12"/>
          <w:sz w:val="24"/>
        </w:rPr>
        <w:t> </w:t>
      </w:r>
      <w:r>
        <w:rPr>
          <w:sz w:val="24"/>
        </w:rPr>
        <w:t>Feedback”,</w:t>
      </w:r>
      <w:r>
        <w:rPr>
          <w:spacing w:val="-13"/>
          <w:sz w:val="24"/>
        </w:rPr>
        <w:t> </w:t>
      </w:r>
      <w:r>
        <w:rPr>
          <w:i/>
          <w:sz w:val="24"/>
        </w:rPr>
        <w:t>Journal </w:t>
      </w:r>
      <w:r>
        <w:rPr>
          <w:i/>
          <w:sz w:val="24"/>
        </w:rPr>
        <w:t>of Neuroscience, Psychology, and Economics</w:t>
      </w:r>
      <w:r>
        <w:rPr>
          <w:sz w:val="24"/>
        </w:rPr>
        <w:t>, 9(2), 121.</w:t>
      </w:r>
      <w:r>
        <w:rPr>
          <w:spacing w:val="-1"/>
          <w:sz w:val="24"/>
        </w:rPr>
        <w:t> </w:t>
      </w:r>
      <w:r>
        <w:rPr>
          <w:sz w:val="24"/>
        </w:rPr>
        <w:t>doi:10.1037/npe0000058</w:t>
      </w:r>
    </w:p>
    <w:p>
      <w:pPr>
        <w:pStyle w:val="BodyText"/>
        <w:spacing w:before="120"/>
        <w:ind w:left="1256" w:right="309" w:hanging="708"/>
      </w:pPr>
      <w:r>
        <w:rPr/>
        <w:t>Zhou, Q., Xia, R., &amp; Zhang, C. (2016). “Online Shopping Behavior Study Based on Multi- Granularity Opinion Mining: China versus America”, </w:t>
      </w:r>
      <w:r>
        <w:rPr>
          <w:i/>
        </w:rPr>
        <w:t>Cognitive Computation</w:t>
      </w:r>
      <w:r>
        <w:rPr/>
        <w:t>, 8(4), 587-602. doi: 10.1007/s12559-016-9384-x</w:t>
      </w:r>
    </w:p>
    <w:p>
      <w:pPr>
        <w:spacing w:before="119"/>
        <w:ind w:left="1256" w:right="312" w:hanging="708"/>
        <w:jc w:val="both"/>
        <w:rPr>
          <w:sz w:val="24"/>
        </w:rPr>
      </w:pPr>
      <w:r>
        <w:rPr>
          <w:sz w:val="24"/>
        </w:rPr>
        <w:t>Zhou, W. and Duan, W. (2012). “How Does the Distribution of Word-of-Mouth across Websites Affect Online Retail Sales?”, </w:t>
      </w:r>
      <w:r>
        <w:rPr>
          <w:i/>
          <w:sz w:val="24"/>
        </w:rPr>
        <w:t>Proceedings of the Eleventh Workshop on E- </w:t>
      </w:r>
      <w:r>
        <w:rPr>
          <w:i/>
          <w:sz w:val="24"/>
        </w:rPr>
        <w:t>business of International Conference on Information Systems (WeB)</w:t>
      </w:r>
      <w:r>
        <w:rPr>
          <w:sz w:val="24"/>
        </w:rPr>
        <w:t>, Orlando, FL.</w:t>
      </w:r>
    </w:p>
    <w:p>
      <w:pPr>
        <w:pStyle w:val="BodyText"/>
        <w:spacing w:before="120"/>
        <w:ind w:left="1256" w:right="310" w:hanging="708"/>
      </w:pPr>
      <w:r>
        <w:rPr/>
        <w:t>Zhou,</w:t>
      </w:r>
      <w:r>
        <w:rPr>
          <w:spacing w:val="-9"/>
        </w:rPr>
        <w:t> </w:t>
      </w:r>
      <w:r>
        <w:rPr/>
        <w:t>W.,</w:t>
      </w:r>
      <w:r>
        <w:rPr>
          <w:spacing w:val="-9"/>
        </w:rPr>
        <w:t> </w:t>
      </w:r>
      <w:r>
        <w:rPr/>
        <w:t>&amp;</w:t>
      </w:r>
      <w:r>
        <w:rPr>
          <w:spacing w:val="-8"/>
        </w:rPr>
        <w:t> </w:t>
      </w:r>
      <w:r>
        <w:rPr/>
        <w:t>Duan,</w:t>
      </w:r>
      <w:r>
        <w:rPr>
          <w:spacing w:val="-8"/>
        </w:rPr>
        <w:t> </w:t>
      </w:r>
      <w:r>
        <w:rPr/>
        <w:t>W.</w:t>
      </w:r>
      <w:r>
        <w:rPr>
          <w:spacing w:val="-6"/>
        </w:rPr>
        <w:t> </w:t>
      </w:r>
      <w:r>
        <w:rPr/>
        <w:t>(2015).</w:t>
      </w:r>
      <w:r>
        <w:rPr>
          <w:spacing w:val="-8"/>
        </w:rPr>
        <w:t> </w:t>
      </w:r>
      <w:r>
        <w:rPr/>
        <w:t>“An</w:t>
      </w:r>
      <w:r>
        <w:rPr>
          <w:spacing w:val="-8"/>
        </w:rPr>
        <w:t> </w:t>
      </w:r>
      <w:r>
        <w:rPr/>
        <w:t>Empirical</w:t>
      </w:r>
      <w:r>
        <w:rPr>
          <w:spacing w:val="-8"/>
        </w:rPr>
        <w:t> </w:t>
      </w:r>
      <w:r>
        <w:rPr/>
        <w:t>Study</w:t>
      </w:r>
      <w:r>
        <w:rPr>
          <w:spacing w:val="-8"/>
        </w:rPr>
        <w:t> </w:t>
      </w:r>
      <w:r>
        <w:rPr/>
        <w:t>of</w:t>
      </w:r>
      <w:r>
        <w:rPr>
          <w:spacing w:val="-8"/>
        </w:rPr>
        <w:t> </w:t>
      </w:r>
      <w:r>
        <w:rPr/>
        <w:t>How</w:t>
      </w:r>
      <w:r>
        <w:rPr>
          <w:spacing w:val="-7"/>
        </w:rPr>
        <w:t> </w:t>
      </w:r>
      <w:r>
        <w:rPr/>
        <w:t>Third-Party</w:t>
      </w:r>
      <w:r>
        <w:rPr>
          <w:spacing w:val="-7"/>
        </w:rPr>
        <w:t> </w:t>
      </w:r>
      <w:r>
        <w:rPr/>
        <w:t>Websites</w:t>
      </w:r>
      <w:r>
        <w:rPr>
          <w:spacing w:val="-7"/>
        </w:rPr>
        <w:t> </w:t>
      </w:r>
      <w:r>
        <w:rPr/>
        <w:t>Influence The Feedback Mechanism Between Online Word-of-Mouth and Retail Sales”, </w:t>
      </w:r>
      <w:r>
        <w:rPr>
          <w:i/>
        </w:rPr>
        <w:t>Decision Support Systems</w:t>
      </w:r>
      <w:r>
        <w:rPr/>
        <w:t>, 76, 14-23. doi: 10.1016/j.dss.2015.03.010</w:t>
      </w:r>
    </w:p>
    <w:p>
      <w:pPr>
        <w:spacing w:after="0"/>
        <w:sectPr>
          <w:pgSz w:w="12240" w:h="15840"/>
          <w:pgMar w:header="718" w:footer="0" w:top="1300" w:bottom="280" w:left="1720" w:right="820"/>
        </w:sectPr>
      </w:pPr>
    </w:p>
    <w:p>
      <w:pPr>
        <w:pStyle w:val="BodyText"/>
        <w:spacing w:before="100"/>
        <w:ind w:left="1256" w:right="311" w:hanging="708"/>
      </w:pPr>
      <w:r>
        <w:rPr/>
        <w:t>Zhu, F., &amp; Zhang, X. (2010). “Impact of Online Consumer Reviews on Sales: The Moderating Role of Product and Consumer Characteristics”, </w:t>
      </w:r>
      <w:r>
        <w:rPr>
          <w:i/>
        </w:rPr>
        <w:t>Journal of Marketing</w:t>
      </w:r>
      <w:r>
        <w:rPr/>
        <w:t>, 74(2), 133-148. doi:10.1509/jmkg.74.2.133</w:t>
      </w:r>
    </w:p>
    <w:p>
      <w:pPr>
        <w:spacing w:after="0"/>
        <w:sectPr>
          <w:pgSz w:w="12240" w:h="15840"/>
          <w:pgMar w:header="718" w:footer="0" w:top="1300" w:bottom="280" w:left="1720" w:right="82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25"/>
        </w:rPr>
      </w:pPr>
    </w:p>
    <w:p>
      <w:pPr>
        <w:spacing w:before="84"/>
        <w:ind w:left="562" w:right="328" w:firstLine="0"/>
        <w:jc w:val="center"/>
        <w:rPr>
          <w:b/>
          <w:sz w:val="40"/>
        </w:rPr>
      </w:pPr>
      <w:r>
        <w:rPr>
          <w:b/>
          <w:sz w:val="40"/>
        </w:rPr>
        <w:t>EKLER</w:t>
      </w:r>
    </w:p>
    <w:p>
      <w:pPr>
        <w:spacing w:after="0"/>
        <w:jc w:val="center"/>
        <w:rPr>
          <w:sz w:val="40"/>
        </w:rPr>
        <w:sectPr>
          <w:pgSz w:w="12240" w:h="15840"/>
          <w:pgMar w:header="718" w:footer="0" w:top="1300" w:bottom="280" w:left="1720" w:right="820"/>
        </w:sectPr>
      </w:pPr>
    </w:p>
    <w:p>
      <w:pPr>
        <w:pStyle w:val="Heading1"/>
        <w:spacing w:before="80"/>
        <w:ind w:left="118" w:firstLine="0"/>
        <w:jc w:val="left"/>
      </w:pPr>
      <w:r>
        <w:rPr/>
        <w:t>Ek-1 Amazon.com Örnekleminde Bulunan Ürünler</w:t>
      </w: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9"/>
        <w:gridCol w:w="1610"/>
        <w:gridCol w:w="5029"/>
        <w:gridCol w:w="6212"/>
      </w:tblGrid>
      <w:tr>
        <w:trPr>
          <w:trHeight w:val="304" w:hRule="atLeast"/>
        </w:trPr>
        <w:tc>
          <w:tcPr>
            <w:tcW w:w="689" w:type="dxa"/>
          </w:tcPr>
          <w:p>
            <w:pPr>
              <w:pStyle w:val="TableParagraph"/>
              <w:spacing w:line="163" w:lineRule="exact" w:before="121"/>
              <w:rPr>
                <w:b/>
                <w:sz w:val="16"/>
              </w:rPr>
            </w:pPr>
            <w:r>
              <w:rPr>
                <w:b/>
                <w:w w:val="100"/>
                <w:sz w:val="16"/>
              </w:rPr>
              <w:t>#</w:t>
            </w:r>
          </w:p>
        </w:tc>
        <w:tc>
          <w:tcPr>
            <w:tcW w:w="1610" w:type="dxa"/>
          </w:tcPr>
          <w:p>
            <w:pPr>
              <w:pStyle w:val="TableParagraph"/>
              <w:spacing w:line="163" w:lineRule="exact" w:before="121"/>
              <w:ind w:left="84"/>
              <w:rPr>
                <w:b/>
                <w:sz w:val="16"/>
              </w:rPr>
            </w:pPr>
            <w:r>
              <w:rPr>
                <w:b/>
                <w:sz w:val="16"/>
              </w:rPr>
              <w:t>Ürün Kategorisi</w:t>
            </w:r>
          </w:p>
        </w:tc>
        <w:tc>
          <w:tcPr>
            <w:tcW w:w="5029" w:type="dxa"/>
          </w:tcPr>
          <w:p>
            <w:pPr>
              <w:pStyle w:val="TableParagraph"/>
              <w:spacing w:line="163" w:lineRule="exact" w:before="121"/>
              <w:ind w:left="84"/>
              <w:rPr>
                <w:b/>
                <w:sz w:val="16"/>
              </w:rPr>
            </w:pPr>
            <w:r>
              <w:rPr>
                <w:b/>
                <w:sz w:val="16"/>
              </w:rPr>
              <w:t>Ürün</w:t>
            </w:r>
          </w:p>
        </w:tc>
        <w:tc>
          <w:tcPr>
            <w:tcW w:w="6212" w:type="dxa"/>
          </w:tcPr>
          <w:p>
            <w:pPr>
              <w:pStyle w:val="TableParagraph"/>
              <w:spacing w:line="163" w:lineRule="exact" w:before="121"/>
              <w:ind w:left="108"/>
              <w:rPr>
                <w:b/>
                <w:sz w:val="16"/>
              </w:rPr>
            </w:pPr>
            <w:r>
              <w:rPr>
                <w:b/>
                <w:sz w:val="16"/>
              </w:rPr>
              <w:t>Amazon.com linki</w:t>
            </w:r>
          </w:p>
        </w:tc>
      </w:tr>
      <w:tr>
        <w:trPr>
          <w:trHeight w:val="489" w:hRule="atLeast"/>
        </w:trPr>
        <w:tc>
          <w:tcPr>
            <w:tcW w:w="689" w:type="dxa"/>
          </w:tcPr>
          <w:p>
            <w:pPr>
              <w:pStyle w:val="TableParagraph"/>
              <w:spacing w:before="121"/>
              <w:rPr>
                <w:sz w:val="16"/>
              </w:rPr>
            </w:pPr>
            <w:r>
              <w:rPr>
                <w:w w:val="100"/>
                <w:sz w:val="16"/>
              </w:rPr>
              <w:t>1</w:t>
            </w:r>
          </w:p>
        </w:tc>
        <w:tc>
          <w:tcPr>
            <w:tcW w:w="1610" w:type="dxa"/>
          </w:tcPr>
          <w:p>
            <w:pPr>
              <w:pStyle w:val="TableParagraph"/>
              <w:spacing w:before="121"/>
              <w:ind w:left="108"/>
              <w:rPr>
                <w:sz w:val="16"/>
              </w:rPr>
            </w:pPr>
            <w:r>
              <w:rPr>
                <w:sz w:val="16"/>
              </w:rPr>
              <w:t>Dizüstü Bilgisayar</w:t>
            </w:r>
          </w:p>
        </w:tc>
        <w:tc>
          <w:tcPr>
            <w:tcW w:w="5029" w:type="dxa"/>
          </w:tcPr>
          <w:p>
            <w:pPr>
              <w:pStyle w:val="TableParagraph"/>
              <w:spacing w:before="121"/>
              <w:ind w:left="108"/>
              <w:rPr>
                <w:sz w:val="16"/>
              </w:rPr>
            </w:pPr>
            <w:r>
              <w:rPr>
                <w:sz w:val="16"/>
              </w:rPr>
              <w:t>Acer Aspire E5-575G-53VG</w:t>
            </w:r>
          </w:p>
        </w:tc>
        <w:tc>
          <w:tcPr>
            <w:tcW w:w="6212" w:type="dxa"/>
          </w:tcPr>
          <w:p>
            <w:pPr>
              <w:pStyle w:val="TableParagraph"/>
              <w:spacing w:line="180" w:lineRule="atLeast" w:before="121"/>
              <w:ind w:left="816" w:right="1773" w:hanging="708"/>
              <w:rPr>
                <w:sz w:val="16"/>
              </w:rPr>
            </w:pPr>
            <w:r>
              <w:rPr>
                <w:sz w:val="16"/>
              </w:rPr>
              <w:t>https://</w:t>
            </w:r>
            <w:hyperlink r:id="rId56">
              <w:r>
                <w:rPr>
                  <w:sz w:val="16"/>
                </w:rPr>
                <w:t>www.amazon.com/Acer-Aspire-E5-575G-53VG-15-6-Inch-</w:t>
              </w:r>
            </w:hyperlink>
            <w:r>
              <w:rPr>
                <w:sz w:val="16"/>
              </w:rPr>
              <w:t> Windows/dp/B01DT4A2R4/</w:t>
            </w:r>
          </w:p>
        </w:tc>
      </w:tr>
      <w:tr>
        <w:trPr>
          <w:trHeight w:val="486" w:hRule="atLeast"/>
        </w:trPr>
        <w:tc>
          <w:tcPr>
            <w:tcW w:w="689" w:type="dxa"/>
          </w:tcPr>
          <w:p>
            <w:pPr>
              <w:pStyle w:val="TableParagraph"/>
              <w:spacing w:before="121"/>
              <w:rPr>
                <w:sz w:val="16"/>
              </w:rPr>
            </w:pPr>
            <w:r>
              <w:rPr>
                <w:w w:val="100"/>
                <w:sz w:val="16"/>
              </w:rPr>
              <w:t>2</w:t>
            </w:r>
          </w:p>
        </w:tc>
        <w:tc>
          <w:tcPr>
            <w:tcW w:w="1610" w:type="dxa"/>
          </w:tcPr>
          <w:p>
            <w:pPr>
              <w:pStyle w:val="TableParagraph"/>
              <w:spacing w:before="121"/>
              <w:ind w:left="108"/>
              <w:rPr>
                <w:sz w:val="16"/>
              </w:rPr>
            </w:pPr>
            <w:r>
              <w:rPr>
                <w:sz w:val="16"/>
              </w:rPr>
              <w:t>Dizüstü Bilgisayar</w:t>
            </w:r>
          </w:p>
        </w:tc>
        <w:tc>
          <w:tcPr>
            <w:tcW w:w="5029" w:type="dxa"/>
          </w:tcPr>
          <w:p>
            <w:pPr>
              <w:pStyle w:val="TableParagraph"/>
              <w:spacing w:before="121"/>
              <w:ind w:left="108"/>
              <w:rPr>
                <w:sz w:val="16"/>
              </w:rPr>
            </w:pPr>
            <w:r>
              <w:rPr>
                <w:sz w:val="16"/>
              </w:rPr>
              <w:t>Acer Aspire VX 15 Gaming Laptop</w:t>
            </w:r>
          </w:p>
        </w:tc>
        <w:tc>
          <w:tcPr>
            <w:tcW w:w="6212" w:type="dxa"/>
          </w:tcPr>
          <w:p>
            <w:pPr>
              <w:pStyle w:val="TableParagraph"/>
              <w:spacing w:line="182" w:lineRule="exact" w:before="125"/>
              <w:ind w:left="816" w:right="1595" w:hanging="708"/>
              <w:rPr>
                <w:sz w:val="16"/>
              </w:rPr>
            </w:pPr>
            <w:r>
              <w:rPr>
                <w:sz w:val="16"/>
              </w:rPr>
              <w:t>https://</w:t>
            </w:r>
            <w:hyperlink r:id="rId57">
              <w:r>
                <w:rPr>
                  <w:sz w:val="16"/>
                </w:rPr>
                <w:t>www.amazon.com/Acer-Aspire-Gaming-GeForce-VX5-591G-</w:t>
              </w:r>
            </w:hyperlink>
            <w:r>
              <w:rPr>
                <w:sz w:val="16"/>
              </w:rPr>
              <w:t> 75RM/dp/B01N12YZ7B/</w:t>
            </w:r>
          </w:p>
        </w:tc>
      </w:tr>
      <w:tr>
        <w:trPr>
          <w:trHeight w:val="487" w:hRule="atLeast"/>
        </w:trPr>
        <w:tc>
          <w:tcPr>
            <w:tcW w:w="689" w:type="dxa"/>
          </w:tcPr>
          <w:p>
            <w:pPr>
              <w:pStyle w:val="TableParagraph"/>
              <w:spacing w:before="119"/>
              <w:rPr>
                <w:sz w:val="16"/>
              </w:rPr>
            </w:pPr>
            <w:r>
              <w:rPr>
                <w:w w:val="100"/>
                <w:sz w:val="16"/>
              </w:rPr>
              <w:t>3</w:t>
            </w:r>
          </w:p>
        </w:tc>
        <w:tc>
          <w:tcPr>
            <w:tcW w:w="1610" w:type="dxa"/>
          </w:tcPr>
          <w:p>
            <w:pPr>
              <w:pStyle w:val="TableParagraph"/>
              <w:spacing w:before="119"/>
              <w:ind w:left="108"/>
              <w:rPr>
                <w:sz w:val="16"/>
              </w:rPr>
            </w:pPr>
            <w:r>
              <w:rPr>
                <w:sz w:val="16"/>
              </w:rPr>
              <w:t>Dizüstü Bilgisayar</w:t>
            </w:r>
          </w:p>
        </w:tc>
        <w:tc>
          <w:tcPr>
            <w:tcW w:w="5029" w:type="dxa"/>
          </w:tcPr>
          <w:p>
            <w:pPr>
              <w:pStyle w:val="TableParagraph"/>
              <w:spacing w:before="119"/>
              <w:ind w:left="108"/>
              <w:rPr>
                <w:sz w:val="16"/>
              </w:rPr>
            </w:pPr>
            <w:r>
              <w:rPr>
                <w:sz w:val="16"/>
              </w:rPr>
              <w:t>Acer Aspire ES 15</w:t>
            </w:r>
          </w:p>
        </w:tc>
        <w:tc>
          <w:tcPr>
            <w:tcW w:w="6212" w:type="dxa"/>
          </w:tcPr>
          <w:p>
            <w:pPr>
              <w:pStyle w:val="TableParagraph"/>
              <w:spacing w:line="180" w:lineRule="atLeast" w:before="119"/>
              <w:ind w:left="816" w:right="1595" w:hanging="708"/>
              <w:rPr>
                <w:sz w:val="16"/>
              </w:rPr>
            </w:pPr>
            <w:r>
              <w:rPr>
                <w:sz w:val="16"/>
              </w:rPr>
              <w:t>https://</w:t>
            </w:r>
            <w:hyperlink r:id="rId58">
              <w:r>
                <w:rPr>
                  <w:sz w:val="16"/>
                </w:rPr>
                <w:t>www.amazon.com/Acer-Aspire-i3-6100U-Windows-ES1-572-</w:t>
              </w:r>
            </w:hyperlink>
            <w:r>
              <w:rPr>
                <w:sz w:val="16"/>
              </w:rPr>
              <w:t> 31KW/dp/B01J42JPL4/</w:t>
            </w:r>
          </w:p>
        </w:tc>
      </w:tr>
      <w:tr>
        <w:trPr>
          <w:trHeight w:val="486" w:hRule="atLeast"/>
        </w:trPr>
        <w:tc>
          <w:tcPr>
            <w:tcW w:w="689" w:type="dxa"/>
          </w:tcPr>
          <w:p>
            <w:pPr>
              <w:pStyle w:val="TableParagraph"/>
              <w:spacing w:before="121"/>
              <w:rPr>
                <w:sz w:val="16"/>
              </w:rPr>
            </w:pPr>
            <w:r>
              <w:rPr>
                <w:w w:val="100"/>
                <w:sz w:val="16"/>
              </w:rPr>
              <w:t>4</w:t>
            </w:r>
          </w:p>
        </w:tc>
        <w:tc>
          <w:tcPr>
            <w:tcW w:w="1610" w:type="dxa"/>
          </w:tcPr>
          <w:p>
            <w:pPr>
              <w:pStyle w:val="TableParagraph"/>
              <w:spacing w:before="121"/>
              <w:ind w:left="108"/>
              <w:rPr>
                <w:sz w:val="16"/>
              </w:rPr>
            </w:pPr>
            <w:r>
              <w:rPr>
                <w:sz w:val="16"/>
              </w:rPr>
              <w:t>Dizüstü Bilgisayar</w:t>
            </w:r>
          </w:p>
        </w:tc>
        <w:tc>
          <w:tcPr>
            <w:tcW w:w="5029" w:type="dxa"/>
          </w:tcPr>
          <w:p>
            <w:pPr>
              <w:pStyle w:val="TableParagraph"/>
              <w:spacing w:before="121"/>
              <w:ind w:left="108"/>
              <w:rPr>
                <w:sz w:val="16"/>
              </w:rPr>
            </w:pPr>
            <w:r>
              <w:rPr>
                <w:sz w:val="16"/>
              </w:rPr>
              <w:t>Acer Chromebook 15</w:t>
            </w:r>
          </w:p>
        </w:tc>
        <w:tc>
          <w:tcPr>
            <w:tcW w:w="6212" w:type="dxa"/>
          </w:tcPr>
          <w:p>
            <w:pPr>
              <w:pStyle w:val="TableParagraph"/>
              <w:spacing w:line="182" w:lineRule="exact" w:before="125"/>
              <w:ind w:left="816" w:right="1257" w:hanging="708"/>
              <w:rPr>
                <w:sz w:val="16"/>
              </w:rPr>
            </w:pPr>
            <w:r>
              <w:rPr>
                <w:sz w:val="16"/>
              </w:rPr>
              <w:t>https://</w:t>
            </w:r>
            <w:hyperlink r:id="rId59">
              <w:r>
                <w:rPr>
                  <w:sz w:val="16"/>
                </w:rPr>
                <w:t>www.amazon.com/Acer-Chromebook-15-6-inch-Celeron-CB5-571-</w:t>
              </w:r>
            </w:hyperlink>
            <w:r>
              <w:rPr>
                <w:sz w:val="16"/>
              </w:rPr>
              <w:t> C4G4/dp/B01CMYGAGY/</w:t>
            </w:r>
          </w:p>
        </w:tc>
      </w:tr>
      <w:tr>
        <w:trPr>
          <w:trHeight w:val="487" w:hRule="atLeast"/>
        </w:trPr>
        <w:tc>
          <w:tcPr>
            <w:tcW w:w="689" w:type="dxa"/>
          </w:tcPr>
          <w:p>
            <w:pPr>
              <w:pStyle w:val="TableParagraph"/>
              <w:spacing w:before="120"/>
              <w:rPr>
                <w:sz w:val="16"/>
              </w:rPr>
            </w:pPr>
            <w:r>
              <w:rPr>
                <w:w w:val="100"/>
                <w:sz w:val="16"/>
              </w:rPr>
              <w:t>5</w:t>
            </w:r>
          </w:p>
        </w:tc>
        <w:tc>
          <w:tcPr>
            <w:tcW w:w="1610" w:type="dxa"/>
          </w:tcPr>
          <w:p>
            <w:pPr>
              <w:pStyle w:val="TableParagraph"/>
              <w:spacing w:before="120"/>
              <w:ind w:left="108"/>
              <w:rPr>
                <w:sz w:val="16"/>
              </w:rPr>
            </w:pPr>
            <w:r>
              <w:rPr>
                <w:sz w:val="16"/>
              </w:rPr>
              <w:t>Dizüstü Bilgisayar</w:t>
            </w:r>
          </w:p>
        </w:tc>
        <w:tc>
          <w:tcPr>
            <w:tcW w:w="5029" w:type="dxa"/>
          </w:tcPr>
          <w:p>
            <w:pPr>
              <w:pStyle w:val="TableParagraph"/>
              <w:spacing w:before="120"/>
              <w:ind w:left="108"/>
              <w:rPr>
                <w:sz w:val="16"/>
              </w:rPr>
            </w:pPr>
            <w:r>
              <w:rPr>
                <w:sz w:val="16"/>
              </w:rPr>
              <w:t>Acer Chromebook 14</w:t>
            </w:r>
          </w:p>
        </w:tc>
        <w:tc>
          <w:tcPr>
            <w:tcW w:w="6212" w:type="dxa"/>
          </w:tcPr>
          <w:p>
            <w:pPr>
              <w:pStyle w:val="TableParagraph"/>
              <w:spacing w:line="180" w:lineRule="atLeast" w:before="120"/>
              <w:ind w:left="816" w:right="981" w:hanging="708"/>
              <w:rPr>
                <w:sz w:val="16"/>
              </w:rPr>
            </w:pPr>
            <w:r>
              <w:rPr>
                <w:sz w:val="16"/>
              </w:rPr>
              <w:t>https://</w:t>
            </w:r>
            <w:hyperlink r:id="rId60">
              <w:r>
                <w:rPr>
                  <w:sz w:val="16"/>
                </w:rPr>
                <w:t>www.amazon.com/Acer-Chromebook-Aluminum-Quad-Core-CB3-431-</w:t>
              </w:r>
            </w:hyperlink>
            <w:r>
              <w:rPr>
                <w:sz w:val="16"/>
              </w:rPr>
              <w:t> C5FM/dp/B01CVOLVPA/</w:t>
            </w:r>
          </w:p>
        </w:tc>
      </w:tr>
      <w:tr>
        <w:trPr>
          <w:trHeight w:val="486" w:hRule="atLeast"/>
        </w:trPr>
        <w:tc>
          <w:tcPr>
            <w:tcW w:w="689" w:type="dxa"/>
          </w:tcPr>
          <w:p>
            <w:pPr>
              <w:pStyle w:val="TableParagraph"/>
              <w:spacing w:before="121"/>
              <w:rPr>
                <w:sz w:val="16"/>
              </w:rPr>
            </w:pPr>
            <w:r>
              <w:rPr>
                <w:w w:val="100"/>
                <w:sz w:val="16"/>
              </w:rPr>
              <w:t>6</w:t>
            </w:r>
          </w:p>
        </w:tc>
        <w:tc>
          <w:tcPr>
            <w:tcW w:w="1610" w:type="dxa"/>
          </w:tcPr>
          <w:p>
            <w:pPr>
              <w:pStyle w:val="TableParagraph"/>
              <w:spacing w:before="121"/>
              <w:ind w:left="108"/>
              <w:rPr>
                <w:sz w:val="16"/>
              </w:rPr>
            </w:pPr>
            <w:r>
              <w:rPr>
                <w:sz w:val="16"/>
              </w:rPr>
              <w:t>Dizüstü Bilgisayar</w:t>
            </w:r>
          </w:p>
        </w:tc>
        <w:tc>
          <w:tcPr>
            <w:tcW w:w="5029" w:type="dxa"/>
          </w:tcPr>
          <w:p>
            <w:pPr>
              <w:pStyle w:val="TableParagraph"/>
              <w:spacing w:before="121"/>
              <w:ind w:left="108"/>
              <w:rPr>
                <w:sz w:val="16"/>
              </w:rPr>
            </w:pPr>
            <w:r>
              <w:rPr>
                <w:sz w:val="16"/>
              </w:rPr>
              <w:t>Acer Aspire E 15 E5-575-33BM</w:t>
            </w:r>
          </w:p>
        </w:tc>
        <w:tc>
          <w:tcPr>
            <w:tcW w:w="6212" w:type="dxa"/>
          </w:tcPr>
          <w:p>
            <w:pPr>
              <w:pStyle w:val="TableParagraph"/>
              <w:spacing w:line="182" w:lineRule="exact" w:before="125"/>
              <w:ind w:left="816" w:right="1675" w:hanging="708"/>
              <w:rPr>
                <w:sz w:val="16"/>
              </w:rPr>
            </w:pPr>
            <w:r>
              <w:rPr>
                <w:sz w:val="16"/>
              </w:rPr>
              <w:t>https://</w:t>
            </w:r>
            <w:hyperlink r:id="rId61">
              <w:r>
                <w:rPr>
                  <w:sz w:val="16"/>
                </w:rPr>
                <w:t>www.amazon.com/Acer-E5-575-33BM-15-6-Inch-Processor-</w:t>
              </w:r>
            </w:hyperlink>
            <w:r>
              <w:rPr>
                <w:sz w:val="16"/>
              </w:rPr>
              <w:t> Generation/dp/B01K1IO3QW/</w:t>
            </w:r>
          </w:p>
        </w:tc>
      </w:tr>
      <w:tr>
        <w:trPr>
          <w:trHeight w:val="486" w:hRule="atLeast"/>
        </w:trPr>
        <w:tc>
          <w:tcPr>
            <w:tcW w:w="689" w:type="dxa"/>
          </w:tcPr>
          <w:p>
            <w:pPr>
              <w:pStyle w:val="TableParagraph"/>
              <w:spacing w:before="119"/>
              <w:rPr>
                <w:sz w:val="16"/>
              </w:rPr>
            </w:pPr>
            <w:r>
              <w:rPr>
                <w:w w:val="100"/>
                <w:sz w:val="16"/>
              </w:rPr>
              <w:t>7</w:t>
            </w:r>
          </w:p>
        </w:tc>
        <w:tc>
          <w:tcPr>
            <w:tcW w:w="1610" w:type="dxa"/>
          </w:tcPr>
          <w:p>
            <w:pPr>
              <w:pStyle w:val="TableParagraph"/>
              <w:spacing w:before="119"/>
              <w:ind w:left="108"/>
              <w:rPr>
                <w:sz w:val="16"/>
              </w:rPr>
            </w:pPr>
            <w:r>
              <w:rPr>
                <w:sz w:val="16"/>
              </w:rPr>
              <w:t>Dizüstü Bilgisayar</w:t>
            </w:r>
          </w:p>
        </w:tc>
        <w:tc>
          <w:tcPr>
            <w:tcW w:w="5029" w:type="dxa"/>
          </w:tcPr>
          <w:p>
            <w:pPr>
              <w:pStyle w:val="TableParagraph"/>
              <w:spacing w:before="119"/>
              <w:ind w:left="108"/>
              <w:rPr>
                <w:sz w:val="16"/>
              </w:rPr>
            </w:pPr>
            <w:r>
              <w:rPr>
                <w:sz w:val="16"/>
              </w:rPr>
              <w:t>Acer Aspire E 15 E5-575G-57D4</w:t>
            </w:r>
          </w:p>
        </w:tc>
        <w:tc>
          <w:tcPr>
            <w:tcW w:w="6212" w:type="dxa"/>
          </w:tcPr>
          <w:p>
            <w:pPr>
              <w:pStyle w:val="TableParagraph"/>
              <w:spacing w:line="180" w:lineRule="atLeast" w:before="119"/>
              <w:ind w:left="816" w:right="1293" w:hanging="708"/>
              <w:rPr>
                <w:sz w:val="16"/>
              </w:rPr>
            </w:pPr>
            <w:r>
              <w:rPr>
                <w:sz w:val="16"/>
              </w:rPr>
              <w:t>https://</w:t>
            </w:r>
            <w:hyperlink r:id="rId62">
              <w:r>
                <w:rPr>
                  <w:sz w:val="16"/>
                </w:rPr>
                <w:t>www.amazon.com/Acer-E5-575G-57D4-15-6-Inches-Notebook-i5-</w:t>
              </w:r>
            </w:hyperlink>
            <w:r>
              <w:rPr>
                <w:sz w:val="16"/>
              </w:rPr>
              <w:t> 7200U/dp/B01LD4MGY4/</w:t>
            </w:r>
          </w:p>
        </w:tc>
      </w:tr>
      <w:tr>
        <w:trPr>
          <w:trHeight w:val="486" w:hRule="atLeast"/>
        </w:trPr>
        <w:tc>
          <w:tcPr>
            <w:tcW w:w="689" w:type="dxa"/>
          </w:tcPr>
          <w:p>
            <w:pPr>
              <w:pStyle w:val="TableParagraph"/>
              <w:spacing w:before="121"/>
              <w:rPr>
                <w:sz w:val="16"/>
              </w:rPr>
            </w:pPr>
            <w:r>
              <w:rPr>
                <w:w w:val="100"/>
                <w:sz w:val="16"/>
              </w:rPr>
              <w:t>8</w:t>
            </w:r>
          </w:p>
        </w:tc>
        <w:tc>
          <w:tcPr>
            <w:tcW w:w="1610" w:type="dxa"/>
          </w:tcPr>
          <w:p>
            <w:pPr>
              <w:pStyle w:val="TableParagraph"/>
              <w:spacing w:before="121"/>
              <w:ind w:left="108"/>
              <w:rPr>
                <w:sz w:val="16"/>
              </w:rPr>
            </w:pPr>
            <w:r>
              <w:rPr>
                <w:sz w:val="16"/>
              </w:rPr>
              <w:t>Dizüstü Bilgisayar</w:t>
            </w:r>
          </w:p>
        </w:tc>
        <w:tc>
          <w:tcPr>
            <w:tcW w:w="5029" w:type="dxa"/>
          </w:tcPr>
          <w:p>
            <w:pPr>
              <w:pStyle w:val="TableParagraph"/>
              <w:spacing w:before="121"/>
              <w:ind w:left="108"/>
              <w:rPr>
                <w:sz w:val="16"/>
              </w:rPr>
            </w:pPr>
            <w:r>
              <w:rPr>
                <w:sz w:val="16"/>
              </w:rPr>
              <w:t>Alienware AW13R2-10011SLV</w:t>
            </w:r>
          </w:p>
        </w:tc>
        <w:tc>
          <w:tcPr>
            <w:tcW w:w="6212" w:type="dxa"/>
          </w:tcPr>
          <w:p>
            <w:pPr>
              <w:pStyle w:val="TableParagraph"/>
              <w:spacing w:line="182" w:lineRule="exact" w:before="125"/>
              <w:ind w:left="816" w:right="609" w:hanging="708"/>
              <w:rPr>
                <w:sz w:val="16"/>
              </w:rPr>
            </w:pPr>
            <w:r>
              <w:rPr>
                <w:sz w:val="16"/>
              </w:rPr>
              <w:t>https://</w:t>
            </w:r>
            <w:hyperlink r:id="rId63">
              <w:r>
                <w:rPr>
                  <w:sz w:val="16"/>
                </w:rPr>
                <w:t>www.amazon.com/Alienware-AW13R2-10011SLV-Touchscreen-Generation-</w:t>
              </w:r>
            </w:hyperlink>
            <w:r>
              <w:rPr>
                <w:sz w:val="16"/>
              </w:rPr>
              <w:t> GeForce/dp/B015PZ0CSE/</w:t>
            </w:r>
          </w:p>
        </w:tc>
      </w:tr>
      <w:tr>
        <w:trPr>
          <w:trHeight w:val="486" w:hRule="atLeast"/>
        </w:trPr>
        <w:tc>
          <w:tcPr>
            <w:tcW w:w="689" w:type="dxa"/>
          </w:tcPr>
          <w:p>
            <w:pPr>
              <w:pStyle w:val="TableParagraph"/>
              <w:spacing w:before="119"/>
              <w:rPr>
                <w:sz w:val="16"/>
              </w:rPr>
            </w:pPr>
            <w:r>
              <w:rPr>
                <w:w w:val="100"/>
                <w:sz w:val="16"/>
              </w:rPr>
              <w:t>9</w:t>
            </w:r>
          </w:p>
        </w:tc>
        <w:tc>
          <w:tcPr>
            <w:tcW w:w="1610" w:type="dxa"/>
          </w:tcPr>
          <w:p>
            <w:pPr>
              <w:pStyle w:val="TableParagraph"/>
              <w:spacing w:before="119"/>
              <w:ind w:left="108"/>
              <w:rPr>
                <w:sz w:val="16"/>
              </w:rPr>
            </w:pPr>
            <w:r>
              <w:rPr>
                <w:sz w:val="16"/>
              </w:rPr>
              <w:t>Dizüstü Bilgisayar</w:t>
            </w:r>
          </w:p>
        </w:tc>
        <w:tc>
          <w:tcPr>
            <w:tcW w:w="5029" w:type="dxa"/>
          </w:tcPr>
          <w:p>
            <w:pPr>
              <w:pStyle w:val="TableParagraph"/>
              <w:spacing w:before="119"/>
              <w:ind w:left="108"/>
              <w:rPr>
                <w:sz w:val="16"/>
              </w:rPr>
            </w:pPr>
            <w:r>
              <w:rPr>
                <w:sz w:val="16"/>
              </w:rPr>
              <w:t>Alienware AW15R2-8469SLV</w:t>
            </w:r>
          </w:p>
        </w:tc>
        <w:tc>
          <w:tcPr>
            <w:tcW w:w="6212" w:type="dxa"/>
          </w:tcPr>
          <w:p>
            <w:pPr>
              <w:pStyle w:val="TableParagraph"/>
              <w:spacing w:line="180" w:lineRule="atLeast" w:before="119"/>
              <w:ind w:left="816" w:right="875" w:hanging="708"/>
              <w:rPr>
                <w:sz w:val="16"/>
              </w:rPr>
            </w:pPr>
            <w:r>
              <w:rPr>
                <w:sz w:val="16"/>
              </w:rPr>
              <w:t>https://</w:t>
            </w:r>
            <w:hyperlink r:id="rId64">
              <w:r>
                <w:rPr>
                  <w:sz w:val="16"/>
                </w:rPr>
                <w:t>www.amazon.com/Alienware-AW15R2-8469SLV-15-6-Inch-Generation-</w:t>
              </w:r>
            </w:hyperlink>
            <w:r>
              <w:rPr>
                <w:sz w:val="16"/>
              </w:rPr>
              <w:t> Microsoft/dp/B015PYZWC6/</w:t>
            </w:r>
          </w:p>
        </w:tc>
      </w:tr>
      <w:tr>
        <w:trPr>
          <w:trHeight w:val="487" w:hRule="atLeast"/>
        </w:trPr>
        <w:tc>
          <w:tcPr>
            <w:tcW w:w="689" w:type="dxa"/>
          </w:tcPr>
          <w:p>
            <w:pPr>
              <w:pStyle w:val="TableParagraph"/>
              <w:spacing w:before="121"/>
              <w:rPr>
                <w:sz w:val="16"/>
              </w:rPr>
            </w:pPr>
            <w:r>
              <w:rPr>
                <w:sz w:val="16"/>
              </w:rPr>
              <w:t>10</w:t>
            </w:r>
          </w:p>
        </w:tc>
        <w:tc>
          <w:tcPr>
            <w:tcW w:w="1610" w:type="dxa"/>
          </w:tcPr>
          <w:p>
            <w:pPr>
              <w:pStyle w:val="TableParagraph"/>
              <w:spacing w:before="121"/>
              <w:ind w:left="108"/>
              <w:rPr>
                <w:sz w:val="16"/>
              </w:rPr>
            </w:pPr>
            <w:r>
              <w:rPr>
                <w:sz w:val="16"/>
              </w:rPr>
              <w:t>Dizüstü Bilgisayar</w:t>
            </w:r>
          </w:p>
        </w:tc>
        <w:tc>
          <w:tcPr>
            <w:tcW w:w="5029" w:type="dxa"/>
          </w:tcPr>
          <w:p>
            <w:pPr>
              <w:pStyle w:val="TableParagraph"/>
              <w:spacing w:before="121"/>
              <w:ind w:left="108"/>
              <w:rPr>
                <w:sz w:val="16"/>
              </w:rPr>
            </w:pPr>
            <w:r>
              <w:rPr>
                <w:sz w:val="16"/>
              </w:rPr>
              <w:t>Alienware AW15R3-3831SLV</w:t>
            </w:r>
          </w:p>
        </w:tc>
        <w:tc>
          <w:tcPr>
            <w:tcW w:w="6212" w:type="dxa"/>
          </w:tcPr>
          <w:p>
            <w:pPr>
              <w:pStyle w:val="TableParagraph"/>
              <w:spacing w:line="182" w:lineRule="exact" w:before="125"/>
              <w:ind w:left="816" w:right="955" w:hanging="708"/>
              <w:rPr>
                <w:sz w:val="16"/>
              </w:rPr>
            </w:pPr>
            <w:r>
              <w:rPr>
                <w:sz w:val="16"/>
              </w:rPr>
              <w:t>https://</w:t>
            </w:r>
            <w:hyperlink r:id="rId65">
              <w:r>
                <w:rPr>
                  <w:sz w:val="16"/>
                </w:rPr>
                <w:t>www.amazon.com/Alienware-AW15R3-3831SLV-Generation-GeForce-</w:t>
              </w:r>
            </w:hyperlink>
            <w:r>
              <w:rPr>
                <w:sz w:val="16"/>
              </w:rPr>
              <w:t> GTX1060/dp/B01LY2I7B6/</w:t>
            </w:r>
          </w:p>
        </w:tc>
      </w:tr>
      <w:tr>
        <w:trPr>
          <w:trHeight w:val="487" w:hRule="atLeast"/>
        </w:trPr>
        <w:tc>
          <w:tcPr>
            <w:tcW w:w="689" w:type="dxa"/>
          </w:tcPr>
          <w:p>
            <w:pPr>
              <w:pStyle w:val="TableParagraph"/>
              <w:spacing w:before="119"/>
              <w:rPr>
                <w:sz w:val="16"/>
              </w:rPr>
            </w:pPr>
            <w:r>
              <w:rPr>
                <w:sz w:val="16"/>
              </w:rPr>
              <w:t>11</w:t>
            </w:r>
          </w:p>
        </w:tc>
        <w:tc>
          <w:tcPr>
            <w:tcW w:w="1610" w:type="dxa"/>
          </w:tcPr>
          <w:p>
            <w:pPr>
              <w:pStyle w:val="TableParagraph"/>
              <w:spacing w:before="119"/>
              <w:ind w:left="108"/>
              <w:rPr>
                <w:sz w:val="16"/>
              </w:rPr>
            </w:pPr>
            <w:r>
              <w:rPr>
                <w:sz w:val="16"/>
              </w:rPr>
              <w:t>Dizüstü Bilgisayar</w:t>
            </w:r>
          </w:p>
        </w:tc>
        <w:tc>
          <w:tcPr>
            <w:tcW w:w="5029" w:type="dxa"/>
          </w:tcPr>
          <w:p>
            <w:pPr>
              <w:pStyle w:val="TableParagraph"/>
              <w:spacing w:before="119"/>
              <w:ind w:left="108"/>
              <w:rPr>
                <w:sz w:val="16"/>
              </w:rPr>
            </w:pPr>
            <w:r>
              <w:rPr>
                <w:sz w:val="16"/>
              </w:rPr>
              <w:t>Alienware AW15R3-7003SLV-PUS</w:t>
            </w:r>
          </w:p>
        </w:tc>
        <w:tc>
          <w:tcPr>
            <w:tcW w:w="6212" w:type="dxa"/>
          </w:tcPr>
          <w:p>
            <w:pPr>
              <w:pStyle w:val="TableParagraph"/>
              <w:spacing w:line="180" w:lineRule="atLeast" w:before="119"/>
              <w:ind w:left="816" w:right="901" w:hanging="708"/>
              <w:rPr>
                <w:sz w:val="16"/>
              </w:rPr>
            </w:pPr>
            <w:r>
              <w:rPr>
                <w:sz w:val="16"/>
              </w:rPr>
              <w:t>https://</w:t>
            </w:r>
            <w:hyperlink r:id="rId66">
              <w:r>
                <w:rPr>
                  <w:sz w:val="16"/>
                </w:rPr>
                <w:t>www.amazon.com/Alienware-AW15R3-7003SLV-PUS-Gaming-Laptop-</w:t>
              </w:r>
            </w:hyperlink>
            <w:r>
              <w:rPr>
                <w:sz w:val="16"/>
              </w:rPr>
              <w:t> Generation/dp/B01MTYBWHF/</w:t>
            </w:r>
          </w:p>
        </w:tc>
      </w:tr>
      <w:tr>
        <w:trPr>
          <w:trHeight w:val="486" w:hRule="atLeast"/>
        </w:trPr>
        <w:tc>
          <w:tcPr>
            <w:tcW w:w="689" w:type="dxa"/>
          </w:tcPr>
          <w:p>
            <w:pPr>
              <w:pStyle w:val="TableParagraph"/>
              <w:spacing w:before="121"/>
              <w:rPr>
                <w:sz w:val="16"/>
              </w:rPr>
            </w:pPr>
            <w:r>
              <w:rPr>
                <w:sz w:val="16"/>
              </w:rPr>
              <w:t>12</w:t>
            </w:r>
          </w:p>
        </w:tc>
        <w:tc>
          <w:tcPr>
            <w:tcW w:w="1610" w:type="dxa"/>
          </w:tcPr>
          <w:p>
            <w:pPr>
              <w:pStyle w:val="TableParagraph"/>
              <w:spacing w:before="121"/>
              <w:ind w:left="108"/>
              <w:rPr>
                <w:sz w:val="16"/>
              </w:rPr>
            </w:pPr>
            <w:r>
              <w:rPr>
                <w:sz w:val="16"/>
              </w:rPr>
              <w:t>Dizüstü Bilgisayar</w:t>
            </w:r>
          </w:p>
        </w:tc>
        <w:tc>
          <w:tcPr>
            <w:tcW w:w="5029" w:type="dxa"/>
          </w:tcPr>
          <w:p>
            <w:pPr>
              <w:pStyle w:val="TableParagraph"/>
              <w:spacing w:before="121"/>
              <w:ind w:left="108"/>
              <w:rPr>
                <w:sz w:val="16"/>
              </w:rPr>
            </w:pPr>
            <w:r>
              <w:rPr>
                <w:sz w:val="16"/>
              </w:rPr>
              <w:t>Alienware AW17R4-7345SLV-PUS</w:t>
            </w:r>
          </w:p>
        </w:tc>
        <w:tc>
          <w:tcPr>
            <w:tcW w:w="6212" w:type="dxa"/>
          </w:tcPr>
          <w:p>
            <w:pPr>
              <w:pStyle w:val="TableParagraph"/>
              <w:spacing w:line="182" w:lineRule="exact" w:before="125"/>
              <w:ind w:left="816" w:right="706" w:hanging="708"/>
              <w:rPr>
                <w:sz w:val="16"/>
              </w:rPr>
            </w:pPr>
            <w:r>
              <w:rPr>
                <w:sz w:val="16"/>
              </w:rPr>
              <w:t>https://</w:t>
            </w:r>
            <w:hyperlink r:id="rId67">
              <w:r>
                <w:rPr>
                  <w:sz w:val="16"/>
                </w:rPr>
                <w:t>www.amazon.com/Alienware-AW17R4-7345SLV-PUS-Laptop-Generation-</w:t>
              </w:r>
            </w:hyperlink>
            <w:r>
              <w:rPr>
                <w:sz w:val="16"/>
              </w:rPr>
              <w:t> Silver/dp/B01N0THP9L/</w:t>
            </w:r>
          </w:p>
        </w:tc>
      </w:tr>
      <w:tr>
        <w:trPr>
          <w:trHeight w:val="487" w:hRule="atLeast"/>
        </w:trPr>
        <w:tc>
          <w:tcPr>
            <w:tcW w:w="689" w:type="dxa"/>
          </w:tcPr>
          <w:p>
            <w:pPr>
              <w:pStyle w:val="TableParagraph"/>
              <w:spacing w:before="119"/>
              <w:rPr>
                <w:sz w:val="16"/>
              </w:rPr>
            </w:pPr>
            <w:r>
              <w:rPr>
                <w:sz w:val="16"/>
              </w:rPr>
              <w:t>13</w:t>
            </w:r>
          </w:p>
        </w:tc>
        <w:tc>
          <w:tcPr>
            <w:tcW w:w="1610" w:type="dxa"/>
          </w:tcPr>
          <w:p>
            <w:pPr>
              <w:pStyle w:val="TableParagraph"/>
              <w:spacing w:before="119"/>
              <w:ind w:left="108"/>
              <w:rPr>
                <w:sz w:val="16"/>
              </w:rPr>
            </w:pPr>
            <w:r>
              <w:rPr>
                <w:sz w:val="16"/>
              </w:rPr>
              <w:t>Dizüstü Bilgisayar</w:t>
            </w:r>
          </w:p>
        </w:tc>
        <w:tc>
          <w:tcPr>
            <w:tcW w:w="5029" w:type="dxa"/>
          </w:tcPr>
          <w:p>
            <w:pPr>
              <w:pStyle w:val="TableParagraph"/>
              <w:spacing w:before="119"/>
              <w:ind w:left="108"/>
              <w:rPr>
                <w:sz w:val="16"/>
              </w:rPr>
            </w:pPr>
            <w:r>
              <w:rPr>
                <w:sz w:val="16"/>
              </w:rPr>
              <w:t>Alienware 15 4K UHD Touchscreen Gaming Laptop</w:t>
            </w:r>
          </w:p>
        </w:tc>
        <w:tc>
          <w:tcPr>
            <w:tcW w:w="6212" w:type="dxa"/>
          </w:tcPr>
          <w:p>
            <w:pPr>
              <w:pStyle w:val="TableParagraph"/>
              <w:spacing w:line="180" w:lineRule="atLeast" w:before="119"/>
              <w:ind w:left="816" w:right="1364" w:hanging="708"/>
              <w:rPr>
                <w:sz w:val="16"/>
              </w:rPr>
            </w:pPr>
            <w:r>
              <w:rPr>
                <w:sz w:val="16"/>
              </w:rPr>
              <w:t>https://</w:t>
            </w:r>
            <w:hyperlink r:id="rId68">
              <w:r>
                <w:rPr>
                  <w:sz w:val="16"/>
                </w:rPr>
                <w:t>www.amazon.com/Alienware-Touchscreen-i7-6700HQ-802-11ac-</w:t>
              </w:r>
            </w:hyperlink>
            <w:r>
              <w:rPr>
                <w:sz w:val="16"/>
              </w:rPr>
              <w:t> Bluetooth/dp/B01IABDY8A/</w:t>
            </w:r>
          </w:p>
        </w:tc>
      </w:tr>
      <w:tr>
        <w:trPr>
          <w:trHeight w:val="302" w:hRule="atLeast"/>
        </w:trPr>
        <w:tc>
          <w:tcPr>
            <w:tcW w:w="689" w:type="dxa"/>
          </w:tcPr>
          <w:p>
            <w:pPr>
              <w:pStyle w:val="TableParagraph"/>
              <w:spacing w:line="163" w:lineRule="exact" w:before="119"/>
              <w:rPr>
                <w:sz w:val="16"/>
              </w:rPr>
            </w:pPr>
            <w:r>
              <w:rPr>
                <w:sz w:val="16"/>
              </w:rPr>
              <w:t>14</w:t>
            </w:r>
          </w:p>
        </w:tc>
        <w:tc>
          <w:tcPr>
            <w:tcW w:w="1610" w:type="dxa"/>
          </w:tcPr>
          <w:p>
            <w:pPr>
              <w:pStyle w:val="TableParagraph"/>
              <w:spacing w:line="163" w:lineRule="exact" w:before="119"/>
              <w:ind w:left="108"/>
              <w:rPr>
                <w:sz w:val="16"/>
              </w:rPr>
            </w:pPr>
            <w:r>
              <w:rPr>
                <w:sz w:val="16"/>
              </w:rPr>
              <w:t>Dizüstü Bilgisayar</w:t>
            </w:r>
          </w:p>
        </w:tc>
        <w:tc>
          <w:tcPr>
            <w:tcW w:w="5029" w:type="dxa"/>
          </w:tcPr>
          <w:p>
            <w:pPr>
              <w:pStyle w:val="TableParagraph"/>
              <w:spacing w:line="163" w:lineRule="exact" w:before="119"/>
              <w:ind w:left="108"/>
              <w:rPr>
                <w:sz w:val="16"/>
              </w:rPr>
            </w:pPr>
            <w:r>
              <w:rPr>
                <w:sz w:val="16"/>
              </w:rPr>
              <w:t>Apple MacBook Air 13.3-Inch Laptop</w:t>
            </w:r>
          </w:p>
        </w:tc>
        <w:tc>
          <w:tcPr>
            <w:tcW w:w="6212" w:type="dxa"/>
          </w:tcPr>
          <w:p>
            <w:pPr>
              <w:pStyle w:val="TableParagraph"/>
              <w:spacing w:line="163" w:lineRule="exact" w:before="119"/>
              <w:ind w:left="108"/>
              <w:rPr>
                <w:sz w:val="16"/>
              </w:rPr>
            </w:pPr>
            <w:r>
              <w:rPr>
                <w:sz w:val="16"/>
              </w:rPr>
              <w:t>https://</w:t>
            </w:r>
            <w:hyperlink r:id="rId69">
              <w:r>
                <w:rPr>
                  <w:sz w:val="16"/>
                </w:rPr>
                <w:t>www.amazon.com/Apple-MacBook-13-3-Inch-Laptop-Capitan/dp/B015WXL0C6/</w:t>
              </w:r>
            </w:hyperlink>
          </w:p>
        </w:tc>
      </w:tr>
      <w:tr>
        <w:trPr>
          <w:trHeight w:val="304" w:hRule="atLeast"/>
        </w:trPr>
        <w:tc>
          <w:tcPr>
            <w:tcW w:w="689" w:type="dxa"/>
          </w:tcPr>
          <w:p>
            <w:pPr>
              <w:pStyle w:val="TableParagraph"/>
              <w:spacing w:line="163" w:lineRule="exact" w:before="121"/>
              <w:rPr>
                <w:sz w:val="16"/>
              </w:rPr>
            </w:pPr>
            <w:r>
              <w:rPr>
                <w:sz w:val="16"/>
              </w:rPr>
              <w:t>15</w:t>
            </w:r>
          </w:p>
        </w:tc>
        <w:tc>
          <w:tcPr>
            <w:tcW w:w="1610" w:type="dxa"/>
          </w:tcPr>
          <w:p>
            <w:pPr>
              <w:pStyle w:val="TableParagraph"/>
              <w:spacing w:line="163" w:lineRule="exact" w:before="121"/>
              <w:ind w:left="108"/>
              <w:rPr>
                <w:sz w:val="16"/>
              </w:rPr>
            </w:pPr>
            <w:r>
              <w:rPr>
                <w:sz w:val="16"/>
              </w:rPr>
              <w:t>Dizüstü Bilgisayar</w:t>
            </w:r>
          </w:p>
        </w:tc>
        <w:tc>
          <w:tcPr>
            <w:tcW w:w="5029" w:type="dxa"/>
          </w:tcPr>
          <w:p>
            <w:pPr>
              <w:pStyle w:val="TableParagraph"/>
              <w:spacing w:line="163" w:lineRule="exact" w:before="121"/>
              <w:ind w:left="108"/>
              <w:rPr>
                <w:sz w:val="16"/>
              </w:rPr>
            </w:pPr>
            <w:r>
              <w:rPr>
                <w:sz w:val="16"/>
              </w:rPr>
              <w:t>Apple MacBook Air 13-inch Laptop</w:t>
            </w:r>
          </w:p>
        </w:tc>
        <w:tc>
          <w:tcPr>
            <w:tcW w:w="6212" w:type="dxa"/>
          </w:tcPr>
          <w:p>
            <w:pPr>
              <w:pStyle w:val="TableParagraph"/>
              <w:spacing w:line="163" w:lineRule="exact" w:before="121"/>
              <w:ind w:left="108"/>
              <w:rPr>
                <w:sz w:val="16"/>
              </w:rPr>
            </w:pPr>
            <w:r>
              <w:rPr>
                <w:sz w:val="16"/>
              </w:rPr>
              <w:t>https://</w:t>
            </w:r>
            <w:hyperlink r:id="rId70">
              <w:r>
                <w:rPr>
                  <w:sz w:val="16"/>
                </w:rPr>
                <w:t>www.amazon.com/Apple-MacBook-13-inch-Laptop-1-6GHz/dp/B01M5D520H/</w:t>
              </w:r>
            </w:hyperlink>
          </w:p>
        </w:tc>
      </w:tr>
      <w:tr>
        <w:trPr>
          <w:trHeight w:val="489" w:hRule="atLeast"/>
        </w:trPr>
        <w:tc>
          <w:tcPr>
            <w:tcW w:w="689" w:type="dxa"/>
          </w:tcPr>
          <w:p>
            <w:pPr>
              <w:pStyle w:val="TableParagraph"/>
              <w:spacing w:before="121"/>
              <w:rPr>
                <w:sz w:val="16"/>
              </w:rPr>
            </w:pPr>
            <w:r>
              <w:rPr>
                <w:sz w:val="16"/>
              </w:rPr>
              <w:t>16</w:t>
            </w:r>
          </w:p>
        </w:tc>
        <w:tc>
          <w:tcPr>
            <w:tcW w:w="1610" w:type="dxa"/>
          </w:tcPr>
          <w:p>
            <w:pPr>
              <w:pStyle w:val="TableParagraph"/>
              <w:spacing w:before="121"/>
              <w:ind w:left="108"/>
              <w:rPr>
                <w:sz w:val="16"/>
              </w:rPr>
            </w:pPr>
            <w:r>
              <w:rPr>
                <w:sz w:val="16"/>
              </w:rPr>
              <w:t>Dizüstü Bilgisayar</w:t>
            </w:r>
          </w:p>
        </w:tc>
        <w:tc>
          <w:tcPr>
            <w:tcW w:w="5029" w:type="dxa"/>
          </w:tcPr>
          <w:p>
            <w:pPr>
              <w:pStyle w:val="TableParagraph"/>
              <w:spacing w:before="121"/>
              <w:ind w:left="108"/>
              <w:rPr>
                <w:sz w:val="16"/>
              </w:rPr>
            </w:pPr>
            <w:r>
              <w:rPr>
                <w:sz w:val="16"/>
              </w:rPr>
              <w:t>Apple MacBook Pro MF840LLA</w:t>
            </w:r>
          </w:p>
        </w:tc>
        <w:tc>
          <w:tcPr>
            <w:tcW w:w="6212" w:type="dxa"/>
          </w:tcPr>
          <w:p>
            <w:pPr>
              <w:pStyle w:val="TableParagraph"/>
              <w:spacing w:line="180" w:lineRule="atLeast" w:before="121"/>
              <w:ind w:left="816" w:right="1852" w:hanging="708"/>
              <w:rPr>
                <w:sz w:val="16"/>
              </w:rPr>
            </w:pPr>
            <w:r>
              <w:rPr>
                <w:sz w:val="16"/>
              </w:rPr>
              <w:t>https://</w:t>
            </w:r>
            <w:hyperlink r:id="rId71">
              <w:r>
                <w:rPr>
                  <w:sz w:val="16"/>
                </w:rPr>
                <w:t>www.amazon.com/Apple-MacBook-MF840LL-13-3-Inch-</w:t>
              </w:r>
            </w:hyperlink>
            <w:r>
              <w:rPr>
                <w:sz w:val="16"/>
              </w:rPr>
              <w:t> Processor/dp/B01M62N1QI/</w:t>
            </w:r>
          </w:p>
        </w:tc>
      </w:tr>
      <w:tr>
        <w:trPr>
          <w:trHeight w:val="486" w:hRule="atLeast"/>
        </w:trPr>
        <w:tc>
          <w:tcPr>
            <w:tcW w:w="689" w:type="dxa"/>
          </w:tcPr>
          <w:p>
            <w:pPr>
              <w:pStyle w:val="TableParagraph"/>
              <w:spacing w:before="121"/>
              <w:rPr>
                <w:sz w:val="16"/>
              </w:rPr>
            </w:pPr>
            <w:r>
              <w:rPr>
                <w:sz w:val="16"/>
              </w:rPr>
              <w:t>17</w:t>
            </w:r>
          </w:p>
        </w:tc>
        <w:tc>
          <w:tcPr>
            <w:tcW w:w="1610" w:type="dxa"/>
          </w:tcPr>
          <w:p>
            <w:pPr>
              <w:pStyle w:val="TableParagraph"/>
              <w:spacing w:before="121"/>
              <w:ind w:left="108"/>
              <w:rPr>
                <w:sz w:val="16"/>
              </w:rPr>
            </w:pPr>
            <w:r>
              <w:rPr>
                <w:sz w:val="16"/>
              </w:rPr>
              <w:t>Dizüstü Bilgisayar</w:t>
            </w:r>
          </w:p>
        </w:tc>
        <w:tc>
          <w:tcPr>
            <w:tcW w:w="5029" w:type="dxa"/>
          </w:tcPr>
          <w:p>
            <w:pPr>
              <w:pStyle w:val="TableParagraph"/>
              <w:spacing w:before="121"/>
              <w:ind w:left="108"/>
              <w:rPr>
                <w:sz w:val="16"/>
              </w:rPr>
            </w:pPr>
            <w:r>
              <w:rPr>
                <w:sz w:val="16"/>
              </w:rPr>
              <w:t>Apple Macbook Pro MJLQ2LLA</w:t>
            </w:r>
          </w:p>
        </w:tc>
        <w:tc>
          <w:tcPr>
            <w:tcW w:w="6212" w:type="dxa"/>
          </w:tcPr>
          <w:p>
            <w:pPr>
              <w:pStyle w:val="TableParagraph"/>
              <w:spacing w:line="182" w:lineRule="exact" w:before="125"/>
              <w:ind w:left="816" w:right="1994" w:hanging="708"/>
              <w:rPr>
                <w:sz w:val="16"/>
              </w:rPr>
            </w:pPr>
            <w:r>
              <w:rPr>
                <w:sz w:val="16"/>
              </w:rPr>
              <w:t>https://</w:t>
            </w:r>
            <w:hyperlink r:id="rId72">
              <w:r>
                <w:rPr>
                  <w:sz w:val="16"/>
                </w:rPr>
                <w:t>www.amazon.com/Apple-Macbook-MJLQ2LL-15-inch-</w:t>
              </w:r>
            </w:hyperlink>
            <w:r>
              <w:rPr>
                <w:sz w:val="16"/>
              </w:rPr>
              <w:t> Processor/dp/B00XZGMBVC/</w:t>
            </w:r>
          </w:p>
        </w:tc>
      </w:tr>
    </w:tbl>
    <w:p>
      <w:pPr>
        <w:spacing w:after="0" w:line="182" w:lineRule="exact"/>
        <w:rPr>
          <w:sz w:val="16"/>
        </w:rPr>
        <w:sectPr>
          <w:headerReference w:type="default" r:id="rId55"/>
          <w:pgSz w:w="15840" w:h="12240" w:orient="landscape"/>
          <w:pgMar w:header="718" w:footer="0" w:top="1040" w:bottom="280" w:left="1300" w:right="760"/>
          <w:pgNumType w:start="145"/>
        </w:sectPr>
      </w:pPr>
    </w:p>
    <w:p>
      <w:pPr>
        <w:pStyle w:val="BodyText"/>
        <w:spacing w:before="11"/>
        <w:ind w:left="0"/>
        <w:jc w:val="left"/>
        <w:rPr>
          <w:b/>
          <w:sz w:val="6"/>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9"/>
        <w:gridCol w:w="1610"/>
        <w:gridCol w:w="5029"/>
        <w:gridCol w:w="6212"/>
      </w:tblGrid>
      <w:tr>
        <w:trPr>
          <w:trHeight w:val="489" w:hRule="atLeast"/>
        </w:trPr>
        <w:tc>
          <w:tcPr>
            <w:tcW w:w="689" w:type="dxa"/>
          </w:tcPr>
          <w:p>
            <w:pPr>
              <w:pStyle w:val="TableParagraph"/>
              <w:spacing w:before="122"/>
              <w:rPr>
                <w:sz w:val="16"/>
              </w:rPr>
            </w:pPr>
            <w:r>
              <w:rPr>
                <w:sz w:val="16"/>
              </w:rPr>
              <w:t>18</w:t>
            </w:r>
          </w:p>
        </w:tc>
        <w:tc>
          <w:tcPr>
            <w:tcW w:w="1610" w:type="dxa"/>
          </w:tcPr>
          <w:p>
            <w:pPr>
              <w:pStyle w:val="TableParagraph"/>
              <w:spacing w:before="122"/>
              <w:ind w:left="108"/>
              <w:rPr>
                <w:sz w:val="16"/>
              </w:rPr>
            </w:pPr>
            <w:r>
              <w:rPr>
                <w:sz w:val="16"/>
              </w:rPr>
              <w:t>Dizüstü Bilgisayar</w:t>
            </w:r>
          </w:p>
        </w:tc>
        <w:tc>
          <w:tcPr>
            <w:tcW w:w="5029" w:type="dxa"/>
          </w:tcPr>
          <w:p>
            <w:pPr>
              <w:pStyle w:val="TableParagraph"/>
              <w:spacing w:before="122"/>
              <w:ind w:left="108"/>
              <w:rPr>
                <w:sz w:val="16"/>
              </w:rPr>
            </w:pPr>
            <w:r>
              <w:rPr>
                <w:sz w:val="16"/>
              </w:rPr>
              <w:t>Apple MacBook Pro MLH42LLA</w:t>
            </w:r>
          </w:p>
        </w:tc>
        <w:tc>
          <w:tcPr>
            <w:tcW w:w="6212" w:type="dxa"/>
          </w:tcPr>
          <w:p>
            <w:pPr>
              <w:pStyle w:val="TableParagraph"/>
              <w:spacing w:line="180" w:lineRule="atLeast" w:before="122"/>
              <w:ind w:left="816" w:right="1452" w:hanging="708"/>
              <w:rPr>
                <w:sz w:val="16"/>
              </w:rPr>
            </w:pPr>
            <w:r>
              <w:rPr>
                <w:sz w:val="16"/>
              </w:rPr>
              <w:t>https://</w:t>
            </w:r>
            <w:hyperlink r:id="rId73">
              <w:r>
                <w:rPr>
                  <w:sz w:val="16"/>
                </w:rPr>
                <w:t>www.amazon.com/Apple-MacBook-MLH42LL-15-4-inch-quad-</w:t>
              </w:r>
            </w:hyperlink>
            <w:r>
              <w:rPr>
                <w:sz w:val="16"/>
              </w:rPr>
              <w:t> core/dp/B01LTHXA7C/</w:t>
            </w:r>
          </w:p>
        </w:tc>
      </w:tr>
      <w:tr>
        <w:trPr>
          <w:trHeight w:val="304" w:hRule="atLeast"/>
        </w:trPr>
        <w:tc>
          <w:tcPr>
            <w:tcW w:w="689" w:type="dxa"/>
          </w:tcPr>
          <w:p>
            <w:pPr>
              <w:pStyle w:val="TableParagraph"/>
              <w:spacing w:line="163" w:lineRule="exact" w:before="121"/>
              <w:rPr>
                <w:sz w:val="16"/>
              </w:rPr>
            </w:pPr>
            <w:r>
              <w:rPr>
                <w:sz w:val="16"/>
              </w:rPr>
              <w:t>19</w:t>
            </w:r>
          </w:p>
        </w:tc>
        <w:tc>
          <w:tcPr>
            <w:tcW w:w="1610" w:type="dxa"/>
          </w:tcPr>
          <w:p>
            <w:pPr>
              <w:pStyle w:val="TableParagraph"/>
              <w:spacing w:line="163" w:lineRule="exact" w:before="121"/>
              <w:ind w:left="108"/>
              <w:rPr>
                <w:sz w:val="16"/>
              </w:rPr>
            </w:pPr>
            <w:r>
              <w:rPr>
                <w:sz w:val="16"/>
              </w:rPr>
              <w:t>Dizüstü Bilgisayar</w:t>
            </w:r>
          </w:p>
        </w:tc>
        <w:tc>
          <w:tcPr>
            <w:tcW w:w="5029" w:type="dxa"/>
          </w:tcPr>
          <w:p>
            <w:pPr>
              <w:pStyle w:val="TableParagraph"/>
              <w:spacing w:line="163" w:lineRule="exact" w:before="121"/>
              <w:ind w:left="108"/>
              <w:rPr>
                <w:sz w:val="16"/>
              </w:rPr>
            </w:pPr>
            <w:r>
              <w:rPr>
                <w:sz w:val="16"/>
              </w:rPr>
              <w:t>Apple MacBook MLH72LLA</w:t>
            </w:r>
          </w:p>
        </w:tc>
        <w:tc>
          <w:tcPr>
            <w:tcW w:w="6212" w:type="dxa"/>
          </w:tcPr>
          <w:p>
            <w:pPr>
              <w:pStyle w:val="TableParagraph"/>
              <w:spacing w:line="163" w:lineRule="exact" w:before="121"/>
              <w:ind w:left="108"/>
              <w:rPr>
                <w:sz w:val="16"/>
              </w:rPr>
            </w:pPr>
            <w:r>
              <w:rPr>
                <w:sz w:val="16"/>
              </w:rPr>
              <w:t>https://</w:t>
            </w:r>
            <w:hyperlink r:id="rId74">
              <w:r>
                <w:rPr>
                  <w:sz w:val="16"/>
                </w:rPr>
                <w:t>www.amazon.com/Apple-MacBook-MLH72LL-12-Inch-Display/dp/B01EIQDGDO/</w:t>
              </w:r>
            </w:hyperlink>
          </w:p>
        </w:tc>
      </w:tr>
      <w:tr>
        <w:trPr>
          <w:trHeight w:val="304" w:hRule="atLeast"/>
        </w:trPr>
        <w:tc>
          <w:tcPr>
            <w:tcW w:w="689" w:type="dxa"/>
          </w:tcPr>
          <w:p>
            <w:pPr>
              <w:pStyle w:val="TableParagraph"/>
              <w:spacing w:line="163" w:lineRule="exact" w:before="121"/>
              <w:rPr>
                <w:sz w:val="16"/>
              </w:rPr>
            </w:pPr>
            <w:r>
              <w:rPr>
                <w:sz w:val="16"/>
              </w:rPr>
              <w:t>20</w:t>
            </w:r>
          </w:p>
        </w:tc>
        <w:tc>
          <w:tcPr>
            <w:tcW w:w="1610" w:type="dxa"/>
          </w:tcPr>
          <w:p>
            <w:pPr>
              <w:pStyle w:val="TableParagraph"/>
              <w:spacing w:line="163" w:lineRule="exact" w:before="121"/>
              <w:ind w:left="108"/>
              <w:rPr>
                <w:sz w:val="16"/>
              </w:rPr>
            </w:pPr>
            <w:r>
              <w:rPr>
                <w:sz w:val="16"/>
              </w:rPr>
              <w:t>Dizüstü Bilgisayar</w:t>
            </w:r>
          </w:p>
        </w:tc>
        <w:tc>
          <w:tcPr>
            <w:tcW w:w="5029" w:type="dxa"/>
          </w:tcPr>
          <w:p>
            <w:pPr>
              <w:pStyle w:val="TableParagraph"/>
              <w:spacing w:line="163" w:lineRule="exact" w:before="121"/>
              <w:ind w:left="108"/>
              <w:rPr>
                <w:sz w:val="16"/>
              </w:rPr>
            </w:pPr>
            <w:r>
              <w:rPr>
                <w:sz w:val="16"/>
              </w:rPr>
              <w:t>Apple MacBook Pro MD101LLA</w:t>
            </w:r>
          </w:p>
        </w:tc>
        <w:tc>
          <w:tcPr>
            <w:tcW w:w="6212" w:type="dxa"/>
          </w:tcPr>
          <w:p>
            <w:pPr>
              <w:pStyle w:val="TableParagraph"/>
              <w:spacing w:line="163" w:lineRule="exact" w:before="121"/>
              <w:ind w:left="108"/>
              <w:rPr>
                <w:sz w:val="16"/>
              </w:rPr>
            </w:pPr>
            <w:r>
              <w:rPr>
                <w:sz w:val="16"/>
              </w:rPr>
              <w:t>https://</w:t>
            </w:r>
            <w:hyperlink r:id="rId75">
              <w:r>
                <w:rPr>
                  <w:sz w:val="16"/>
                </w:rPr>
                <w:t>www.amazon.com/Apple-MD101LL-MacBook-2-5GHz-Wireless/dp/B008BEYEL8/</w:t>
              </w:r>
            </w:hyperlink>
          </w:p>
        </w:tc>
      </w:tr>
      <w:tr>
        <w:trPr>
          <w:trHeight w:val="486" w:hRule="atLeast"/>
        </w:trPr>
        <w:tc>
          <w:tcPr>
            <w:tcW w:w="689" w:type="dxa"/>
          </w:tcPr>
          <w:p>
            <w:pPr>
              <w:pStyle w:val="TableParagraph"/>
              <w:spacing w:before="119"/>
              <w:rPr>
                <w:sz w:val="16"/>
              </w:rPr>
            </w:pPr>
            <w:r>
              <w:rPr>
                <w:sz w:val="16"/>
              </w:rPr>
              <w:t>21</w:t>
            </w:r>
          </w:p>
        </w:tc>
        <w:tc>
          <w:tcPr>
            <w:tcW w:w="1610" w:type="dxa"/>
          </w:tcPr>
          <w:p>
            <w:pPr>
              <w:pStyle w:val="TableParagraph"/>
              <w:spacing w:before="119"/>
              <w:ind w:left="108"/>
              <w:rPr>
                <w:sz w:val="16"/>
              </w:rPr>
            </w:pPr>
            <w:r>
              <w:rPr>
                <w:sz w:val="16"/>
              </w:rPr>
              <w:t>Dizüstü Bilgisayar</w:t>
            </w:r>
          </w:p>
        </w:tc>
        <w:tc>
          <w:tcPr>
            <w:tcW w:w="5029" w:type="dxa"/>
          </w:tcPr>
          <w:p>
            <w:pPr>
              <w:pStyle w:val="TableParagraph"/>
              <w:spacing w:before="119"/>
              <w:ind w:left="108"/>
              <w:rPr>
                <w:sz w:val="16"/>
              </w:rPr>
            </w:pPr>
            <w:r>
              <w:rPr>
                <w:sz w:val="16"/>
              </w:rPr>
              <w:t>Apple MMGF2LLA MacBook Air</w:t>
            </w:r>
          </w:p>
        </w:tc>
        <w:tc>
          <w:tcPr>
            <w:tcW w:w="6212" w:type="dxa"/>
          </w:tcPr>
          <w:p>
            <w:pPr>
              <w:pStyle w:val="TableParagraph"/>
              <w:spacing w:line="180" w:lineRule="atLeast" w:before="119"/>
              <w:ind w:left="816" w:right="1754" w:hanging="708"/>
              <w:rPr>
                <w:sz w:val="16"/>
              </w:rPr>
            </w:pPr>
            <w:r>
              <w:rPr>
                <w:sz w:val="16"/>
              </w:rPr>
              <w:t>https://</w:t>
            </w:r>
            <w:hyperlink r:id="rId76">
              <w:r>
                <w:rPr>
                  <w:sz w:val="16"/>
                </w:rPr>
                <w:t>www.amazon.com/Apple-MMGF2LL-MacBook-13-3-Inch-</w:t>
              </w:r>
            </w:hyperlink>
            <w:r>
              <w:rPr>
                <w:sz w:val="16"/>
              </w:rPr>
              <w:t> Laptop/dp/B01EIUOSRS/</w:t>
            </w:r>
          </w:p>
        </w:tc>
      </w:tr>
      <w:tr>
        <w:trPr>
          <w:trHeight w:val="489" w:hRule="atLeast"/>
        </w:trPr>
        <w:tc>
          <w:tcPr>
            <w:tcW w:w="689" w:type="dxa"/>
          </w:tcPr>
          <w:p>
            <w:pPr>
              <w:pStyle w:val="TableParagraph"/>
              <w:spacing w:before="121"/>
              <w:rPr>
                <w:sz w:val="16"/>
              </w:rPr>
            </w:pPr>
            <w:r>
              <w:rPr>
                <w:sz w:val="16"/>
              </w:rPr>
              <w:t>22</w:t>
            </w:r>
          </w:p>
        </w:tc>
        <w:tc>
          <w:tcPr>
            <w:tcW w:w="1610" w:type="dxa"/>
          </w:tcPr>
          <w:p>
            <w:pPr>
              <w:pStyle w:val="TableParagraph"/>
              <w:spacing w:before="121"/>
              <w:ind w:left="108"/>
              <w:rPr>
                <w:sz w:val="16"/>
              </w:rPr>
            </w:pPr>
            <w:r>
              <w:rPr>
                <w:sz w:val="16"/>
              </w:rPr>
              <w:t>Dizüstü Bilgisayar</w:t>
            </w:r>
          </w:p>
        </w:tc>
        <w:tc>
          <w:tcPr>
            <w:tcW w:w="5029" w:type="dxa"/>
          </w:tcPr>
          <w:p>
            <w:pPr>
              <w:pStyle w:val="TableParagraph"/>
              <w:spacing w:before="121"/>
              <w:ind w:left="108"/>
              <w:rPr>
                <w:sz w:val="16"/>
              </w:rPr>
            </w:pPr>
            <w:r>
              <w:rPr>
                <w:sz w:val="16"/>
              </w:rPr>
              <w:t>ASUS C201PA-DS02</w:t>
            </w:r>
          </w:p>
        </w:tc>
        <w:tc>
          <w:tcPr>
            <w:tcW w:w="6212" w:type="dxa"/>
          </w:tcPr>
          <w:p>
            <w:pPr>
              <w:pStyle w:val="TableParagraph"/>
              <w:spacing w:line="180" w:lineRule="atLeast" w:before="121"/>
              <w:ind w:left="816" w:right="1141" w:hanging="708"/>
              <w:rPr>
                <w:sz w:val="16"/>
              </w:rPr>
            </w:pPr>
            <w:r>
              <w:rPr>
                <w:sz w:val="16"/>
              </w:rPr>
              <w:t>https://</w:t>
            </w:r>
            <w:hyperlink r:id="rId77">
              <w:r>
                <w:rPr>
                  <w:sz w:val="16"/>
                </w:rPr>
                <w:t>www.amazon.com/C201PA-DS02-Chromebook-1-8GHz-Quad-Core-</w:t>
              </w:r>
            </w:hyperlink>
            <w:r>
              <w:rPr>
                <w:sz w:val="16"/>
              </w:rPr>
              <w:t> LPDDR3/dp/B00VUV0MG0/</w:t>
            </w:r>
          </w:p>
        </w:tc>
      </w:tr>
      <w:tr>
        <w:trPr>
          <w:trHeight w:val="486" w:hRule="atLeast"/>
        </w:trPr>
        <w:tc>
          <w:tcPr>
            <w:tcW w:w="689" w:type="dxa"/>
          </w:tcPr>
          <w:p>
            <w:pPr>
              <w:pStyle w:val="TableParagraph"/>
              <w:spacing w:before="119"/>
              <w:rPr>
                <w:sz w:val="16"/>
              </w:rPr>
            </w:pPr>
            <w:r>
              <w:rPr>
                <w:sz w:val="16"/>
              </w:rPr>
              <w:t>23</w:t>
            </w:r>
          </w:p>
        </w:tc>
        <w:tc>
          <w:tcPr>
            <w:tcW w:w="1610" w:type="dxa"/>
          </w:tcPr>
          <w:p>
            <w:pPr>
              <w:pStyle w:val="TableParagraph"/>
              <w:spacing w:before="119"/>
              <w:ind w:left="108"/>
              <w:rPr>
                <w:sz w:val="16"/>
              </w:rPr>
            </w:pPr>
            <w:r>
              <w:rPr>
                <w:sz w:val="16"/>
              </w:rPr>
              <w:t>Dizüstü Bilgisayar</w:t>
            </w:r>
          </w:p>
        </w:tc>
        <w:tc>
          <w:tcPr>
            <w:tcW w:w="5029" w:type="dxa"/>
          </w:tcPr>
          <w:p>
            <w:pPr>
              <w:pStyle w:val="TableParagraph"/>
              <w:spacing w:before="119"/>
              <w:ind w:left="108"/>
              <w:rPr>
                <w:sz w:val="16"/>
              </w:rPr>
            </w:pPr>
            <w:r>
              <w:rPr>
                <w:sz w:val="16"/>
              </w:rPr>
              <w:t>ASUS Chromebook C202SA-YS02</w:t>
            </w:r>
          </w:p>
        </w:tc>
        <w:tc>
          <w:tcPr>
            <w:tcW w:w="6212" w:type="dxa"/>
          </w:tcPr>
          <w:p>
            <w:pPr>
              <w:pStyle w:val="TableParagraph"/>
              <w:spacing w:line="180" w:lineRule="atLeast" w:before="119"/>
              <w:ind w:left="816" w:right="1016" w:hanging="708"/>
              <w:rPr>
                <w:sz w:val="16"/>
              </w:rPr>
            </w:pPr>
            <w:r>
              <w:rPr>
                <w:sz w:val="16"/>
              </w:rPr>
              <w:t>https://</w:t>
            </w:r>
            <w:hyperlink r:id="rId78">
              <w:r>
                <w:rPr>
                  <w:sz w:val="16"/>
                </w:rPr>
                <w:t>www.amazon.com/Chromebook-C202SA-YS02-Ruggedized-Resistant-</w:t>
              </w:r>
            </w:hyperlink>
            <w:r>
              <w:rPr>
                <w:sz w:val="16"/>
              </w:rPr>
              <w:t> Celeron/dp/B01DBGVB7K/</w:t>
            </w:r>
          </w:p>
        </w:tc>
      </w:tr>
      <w:tr>
        <w:trPr>
          <w:trHeight w:val="489" w:hRule="atLeast"/>
        </w:trPr>
        <w:tc>
          <w:tcPr>
            <w:tcW w:w="689" w:type="dxa"/>
          </w:tcPr>
          <w:p>
            <w:pPr>
              <w:pStyle w:val="TableParagraph"/>
              <w:spacing w:before="122"/>
              <w:rPr>
                <w:sz w:val="16"/>
              </w:rPr>
            </w:pPr>
            <w:r>
              <w:rPr>
                <w:sz w:val="16"/>
              </w:rPr>
              <w:t>24</w:t>
            </w:r>
          </w:p>
        </w:tc>
        <w:tc>
          <w:tcPr>
            <w:tcW w:w="1610" w:type="dxa"/>
          </w:tcPr>
          <w:p>
            <w:pPr>
              <w:pStyle w:val="TableParagraph"/>
              <w:spacing w:before="122"/>
              <w:ind w:left="108"/>
              <w:rPr>
                <w:sz w:val="16"/>
              </w:rPr>
            </w:pPr>
            <w:r>
              <w:rPr>
                <w:sz w:val="16"/>
              </w:rPr>
              <w:t>Dizüstü Bilgisayar</w:t>
            </w:r>
          </w:p>
        </w:tc>
        <w:tc>
          <w:tcPr>
            <w:tcW w:w="5029" w:type="dxa"/>
          </w:tcPr>
          <w:p>
            <w:pPr>
              <w:pStyle w:val="TableParagraph"/>
              <w:spacing w:before="122"/>
              <w:ind w:left="108"/>
              <w:rPr>
                <w:sz w:val="16"/>
              </w:rPr>
            </w:pPr>
            <w:r>
              <w:rPr>
                <w:sz w:val="16"/>
              </w:rPr>
              <w:t>Dell Inspiron Flagship</w:t>
            </w:r>
          </w:p>
        </w:tc>
        <w:tc>
          <w:tcPr>
            <w:tcW w:w="6212" w:type="dxa"/>
          </w:tcPr>
          <w:p>
            <w:pPr>
              <w:pStyle w:val="TableParagraph"/>
              <w:spacing w:line="180" w:lineRule="atLeast" w:before="122"/>
              <w:ind w:left="816" w:right="1782" w:hanging="708"/>
              <w:rPr>
                <w:sz w:val="16"/>
              </w:rPr>
            </w:pPr>
            <w:r>
              <w:rPr>
                <w:sz w:val="16"/>
              </w:rPr>
              <w:t>https://</w:t>
            </w:r>
            <w:hyperlink r:id="rId79">
              <w:r>
                <w:rPr>
                  <w:sz w:val="16"/>
                </w:rPr>
                <w:t>www.amazon.com/Dell-15-6-Inch-Touchscreen-RealSense-</w:t>
              </w:r>
            </w:hyperlink>
            <w:r>
              <w:rPr>
                <w:sz w:val="16"/>
              </w:rPr>
              <w:t> Bluetooth/dp/B01D27ERMO/</w:t>
            </w:r>
          </w:p>
        </w:tc>
      </w:tr>
      <w:tr>
        <w:trPr>
          <w:trHeight w:val="486" w:hRule="atLeast"/>
        </w:trPr>
        <w:tc>
          <w:tcPr>
            <w:tcW w:w="689" w:type="dxa"/>
          </w:tcPr>
          <w:p>
            <w:pPr>
              <w:pStyle w:val="TableParagraph"/>
              <w:spacing w:before="119"/>
              <w:rPr>
                <w:sz w:val="16"/>
              </w:rPr>
            </w:pPr>
            <w:r>
              <w:rPr>
                <w:sz w:val="16"/>
              </w:rPr>
              <w:t>25</w:t>
            </w:r>
          </w:p>
        </w:tc>
        <w:tc>
          <w:tcPr>
            <w:tcW w:w="1610" w:type="dxa"/>
          </w:tcPr>
          <w:p>
            <w:pPr>
              <w:pStyle w:val="TableParagraph"/>
              <w:spacing w:before="119"/>
              <w:ind w:left="108"/>
              <w:rPr>
                <w:sz w:val="16"/>
              </w:rPr>
            </w:pPr>
            <w:r>
              <w:rPr>
                <w:sz w:val="16"/>
              </w:rPr>
              <w:t>Dizüstü Bilgisayar</w:t>
            </w:r>
          </w:p>
        </w:tc>
        <w:tc>
          <w:tcPr>
            <w:tcW w:w="5029" w:type="dxa"/>
          </w:tcPr>
          <w:p>
            <w:pPr>
              <w:pStyle w:val="TableParagraph"/>
              <w:spacing w:before="119"/>
              <w:ind w:left="108"/>
              <w:rPr>
                <w:sz w:val="16"/>
              </w:rPr>
            </w:pPr>
            <w:r>
              <w:rPr>
                <w:sz w:val="16"/>
              </w:rPr>
              <w:t>Dell XPS 9350-1340SLV</w:t>
            </w:r>
          </w:p>
        </w:tc>
        <w:tc>
          <w:tcPr>
            <w:tcW w:w="6212" w:type="dxa"/>
          </w:tcPr>
          <w:p>
            <w:pPr>
              <w:pStyle w:val="TableParagraph"/>
              <w:spacing w:line="180" w:lineRule="atLeast" w:before="119"/>
              <w:ind w:left="816" w:right="1817" w:hanging="708"/>
              <w:rPr>
                <w:sz w:val="16"/>
              </w:rPr>
            </w:pPr>
            <w:r>
              <w:rPr>
                <w:sz w:val="16"/>
              </w:rPr>
              <w:t>https://</w:t>
            </w:r>
            <w:hyperlink r:id="rId80">
              <w:r>
                <w:rPr>
                  <w:sz w:val="16"/>
                </w:rPr>
                <w:t>www.amazon.com/Dell-9350-1340SLV-Laptop-Microsoft-</w:t>
              </w:r>
            </w:hyperlink>
            <w:r>
              <w:rPr>
                <w:sz w:val="16"/>
              </w:rPr>
              <w:t> Signature/dp/B016FKG020/</w:t>
            </w:r>
          </w:p>
        </w:tc>
      </w:tr>
      <w:tr>
        <w:trPr>
          <w:trHeight w:val="488" w:hRule="atLeast"/>
        </w:trPr>
        <w:tc>
          <w:tcPr>
            <w:tcW w:w="689" w:type="dxa"/>
          </w:tcPr>
          <w:p>
            <w:pPr>
              <w:pStyle w:val="TableParagraph"/>
              <w:spacing w:before="121"/>
              <w:rPr>
                <w:sz w:val="16"/>
              </w:rPr>
            </w:pPr>
            <w:r>
              <w:rPr>
                <w:sz w:val="16"/>
              </w:rPr>
              <w:t>26</w:t>
            </w:r>
          </w:p>
        </w:tc>
        <w:tc>
          <w:tcPr>
            <w:tcW w:w="1610" w:type="dxa"/>
          </w:tcPr>
          <w:p>
            <w:pPr>
              <w:pStyle w:val="TableParagraph"/>
              <w:spacing w:before="121"/>
              <w:ind w:left="108"/>
              <w:rPr>
                <w:sz w:val="16"/>
              </w:rPr>
            </w:pPr>
            <w:r>
              <w:rPr>
                <w:sz w:val="16"/>
              </w:rPr>
              <w:t>Dizüstü Bilgisayar</w:t>
            </w:r>
          </w:p>
        </w:tc>
        <w:tc>
          <w:tcPr>
            <w:tcW w:w="5029" w:type="dxa"/>
          </w:tcPr>
          <w:p>
            <w:pPr>
              <w:pStyle w:val="TableParagraph"/>
              <w:spacing w:before="121"/>
              <w:ind w:left="108"/>
              <w:rPr>
                <w:sz w:val="16"/>
              </w:rPr>
            </w:pPr>
            <w:r>
              <w:rPr>
                <w:sz w:val="16"/>
              </w:rPr>
              <w:t>Dell Inspiron</w:t>
            </w:r>
          </w:p>
        </w:tc>
        <w:tc>
          <w:tcPr>
            <w:tcW w:w="6212" w:type="dxa"/>
          </w:tcPr>
          <w:p>
            <w:pPr>
              <w:pStyle w:val="TableParagraph"/>
              <w:spacing w:line="180" w:lineRule="atLeast" w:before="121"/>
              <w:ind w:left="816" w:right="1283" w:hanging="708"/>
              <w:rPr>
                <w:sz w:val="16"/>
              </w:rPr>
            </w:pPr>
            <w:r>
              <w:rPr>
                <w:sz w:val="16"/>
              </w:rPr>
              <w:t>https://</w:t>
            </w:r>
            <w:hyperlink r:id="rId81">
              <w:r>
                <w:rPr>
                  <w:sz w:val="16"/>
                </w:rPr>
                <w:t>www.amazon.com/Dell-Inspiron-Gaming-Laptop-i5577-7359BLK-</w:t>
              </w:r>
            </w:hyperlink>
            <w:r>
              <w:rPr>
                <w:sz w:val="16"/>
              </w:rPr>
              <w:t> PUS/dp/B06XFGF7SN/</w:t>
            </w:r>
          </w:p>
        </w:tc>
      </w:tr>
      <w:tr>
        <w:trPr>
          <w:trHeight w:val="486" w:hRule="atLeast"/>
        </w:trPr>
        <w:tc>
          <w:tcPr>
            <w:tcW w:w="689" w:type="dxa"/>
          </w:tcPr>
          <w:p>
            <w:pPr>
              <w:pStyle w:val="TableParagraph"/>
              <w:spacing w:before="119"/>
              <w:rPr>
                <w:sz w:val="16"/>
              </w:rPr>
            </w:pPr>
            <w:r>
              <w:rPr>
                <w:sz w:val="16"/>
              </w:rPr>
              <w:t>27</w:t>
            </w:r>
          </w:p>
        </w:tc>
        <w:tc>
          <w:tcPr>
            <w:tcW w:w="1610" w:type="dxa"/>
          </w:tcPr>
          <w:p>
            <w:pPr>
              <w:pStyle w:val="TableParagraph"/>
              <w:spacing w:before="119"/>
              <w:ind w:left="108"/>
              <w:rPr>
                <w:sz w:val="16"/>
              </w:rPr>
            </w:pPr>
            <w:r>
              <w:rPr>
                <w:sz w:val="16"/>
              </w:rPr>
              <w:t>Dizüstü Bilgisayar</w:t>
            </w:r>
          </w:p>
        </w:tc>
        <w:tc>
          <w:tcPr>
            <w:tcW w:w="5029" w:type="dxa"/>
          </w:tcPr>
          <w:p>
            <w:pPr>
              <w:pStyle w:val="TableParagraph"/>
              <w:spacing w:before="119"/>
              <w:ind w:left="108"/>
              <w:rPr>
                <w:sz w:val="16"/>
              </w:rPr>
            </w:pPr>
            <w:r>
              <w:rPr>
                <w:sz w:val="16"/>
              </w:rPr>
              <w:t>2017 Dell Inspiron</w:t>
            </w:r>
          </w:p>
        </w:tc>
        <w:tc>
          <w:tcPr>
            <w:tcW w:w="6212" w:type="dxa"/>
          </w:tcPr>
          <w:p>
            <w:pPr>
              <w:pStyle w:val="TableParagraph"/>
              <w:spacing w:line="180" w:lineRule="atLeast" w:before="119"/>
              <w:ind w:left="816" w:right="1719" w:hanging="708"/>
              <w:rPr>
                <w:sz w:val="16"/>
              </w:rPr>
            </w:pPr>
            <w:r>
              <w:rPr>
                <w:sz w:val="16"/>
              </w:rPr>
              <w:t>https://</w:t>
            </w:r>
            <w:hyperlink r:id="rId82">
              <w:r>
                <w:rPr>
                  <w:sz w:val="16"/>
                </w:rPr>
                <w:t>www.amazon.com/Dell-Inspiron-Touchscreen-i5-6200U-10-</w:t>
              </w:r>
            </w:hyperlink>
            <w:r>
              <w:rPr>
                <w:sz w:val="16"/>
              </w:rPr>
              <w:t> MaxxAudio/dp/B01N0K3246/</w:t>
            </w:r>
          </w:p>
        </w:tc>
      </w:tr>
      <w:tr>
        <w:trPr>
          <w:trHeight w:val="489" w:hRule="atLeast"/>
        </w:trPr>
        <w:tc>
          <w:tcPr>
            <w:tcW w:w="689" w:type="dxa"/>
          </w:tcPr>
          <w:p>
            <w:pPr>
              <w:pStyle w:val="TableParagraph"/>
              <w:spacing w:before="121"/>
              <w:rPr>
                <w:sz w:val="16"/>
              </w:rPr>
            </w:pPr>
            <w:r>
              <w:rPr>
                <w:sz w:val="16"/>
              </w:rPr>
              <w:t>28</w:t>
            </w:r>
          </w:p>
        </w:tc>
        <w:tc>
          <w:tcPr>
            <w:tcW w:w="1610" w:type="dxa"/>
          </w:tcPr>
          <w:p>
            <w:pPr>
              <w:pStyle w:val="TableParagraph"/>
              <w:spacing w:before="121"/>
              <w:ind w:left="108"/>
              <w:rPr>
                <w:sz w:val="16"/>
              </w:rPr>
            </w:pPr>
            <w:r>
              <w:rPr>
                <w:sz w:val="16"/>
              </w:rPr>
              <w:t>Dizüstü Bilgisayar</w:t>
            </w:r>
          </w:p>
        </w:tc>
        <w:tc>
          <w:tcPr>
            <w:tcW w:w="5029" w:type="dxa"/>
          </w:tcPr>
          <w:p>
            <w:pPr>
              <w:pStyle w:val="TableParagraph"/>
              <w:spacing w:before="121"/>
              <w:ind w:left="108"/>
              <w:rPr>
                <w:sz w:val="16"/>
              </w:rPr>
            </w:pPr>
            <w:r>
              <w:rPr>
                <w:sz w:val="16"/>
              </w:rPr>
              <w:t>Dell i3552-3240BLK</w:t>
            </w:r>
          </w:p>
        </w:tc>
        <w:tc>
          <w:tcPr>
            <w:tcW w:w="6212" w:type="dxa"/>
          </w:tcPr>
          <w:p>
            <w:pPr>
              <w:pStyle w:val="TableParagraph"/>
              <w:spacing w:line="180" w:lineRule="atLeast" w:before="121"/>
              <w:ind w:left="816" w:right="1683" w:hanging="708"/>
              <w:rPr>
                <w:sz w:val="16"/>
              </w:rPr>
            </w:pPr>
            <w:r>
              <w:rPr>
                <w:sz w:val="16"/>
              </w:rPr>
              <w:t>https://</w:t>
            </w:r>
            <w:hyperlink r:id="rId83">
              <w:r>
                <w:rPr>
                  <w:sz w:val="16"/>
                </w:rPr>
                <w:t>www.amazon.com/Dell-i3552-3240BLK-Pentium-Processor-</w:t>
              </w:r>
            </w:hyperlink>
            <w:r>
              <w:rPr>
                <w:sz w:val="16"/>
              </w:rPr>
              <w:t> Windows/dp/B01F3R96A4/</w:t>
            </w:r>
          </w:p>
        </w:tc>
      </w:tr>
      <w:tr>
        <w:trPr>
          <w:trHeight w:val="487" w:hRule="atLeast"/>
        </w:trPr>
        <w:tc>
          <w:tcPr>
            <w:tcW w:w="689" w:type="dxa"/>
          </w:tcPr>
          <w:p>
            <w:pPr>
              <w:pStyle w:val="TableParagraph"/>
              <w:spacing w:before="119"/>
              <w:rPr>
                <w:sz w:val="16"/>
              </w:rPr>
            </w:pPr>
            <w:r>
              <w:rPr>
                <w:sz w:val="16"/>
              </w:rPr>
              <w:t>29</w:t>
            </w:r>
          </w:p>
        </w:tc>
        <w:tc>
          <w:tcPr>
            <w:tcW w:w="1610" w:type="dxa"/>
          </w:tcPr>
          <w:p>
            <w:pPr>
              <w:pStyle w:val="TableParagraph"/>
              <w:spacing w:before="119"/>
              <w:ind w:left="108"/>
              <w:rPr>
                <w:sz w:val="16"/>
              </w:rPr>
            </w:pPr>
            <w:r>
              <w:rPr>
                <w:sz w:val="16"/>
              </w:rPr>
              <w:t>Dizüstü Bilgisayar</w:t>
            </w:r>
          </w:p>
        </w:tc>
        <w:tc>
          <w:tcPr>
            <w:tcW w:w="5029" w:type="dxa"/>
          </w:tcPr>
          <w:p>
            <w:pPr>
              <w:pStyle w:val="TableParagraph"/>
              <w:spacing w:before="119"/>
              <w:ind w:left="108"/>
              <w:rPr>
                <w:sz w:val="16"/>
              </w:rPr>
            </w:pPr>
            <w:r>
              <w:rPr>
                <w:sz w:val="16"/>
              </w:rPr>
              <w:t>Dell Inspiron 15 3000</w:t>
            </w:r>
          </w:p>
        </w:tc>
        <w:tc>
          <w:tcPr>
            <w:tcW w:w="6212" w:type="dxa"/>
          </w:tcPr>
          <w:p>
            <w:pPr>
              <w:pStyle w:val="TableParagraph"/>
              <w:spacing w:line="180" w:lineRule="atLeast" w:before="119"/>
              <w:ind w:left="816" w:right="1390" w:hanging="708"/>
              <w:rPr>
                <w:sz w:val="16"/>
              </w:rPr>
            </w:pPr>
            <w:r>
              <w:rPr>
                <w:sz w:val="16"/>
              </w:rPr>
              <w:t>https://</w:t>
            </w:r>
            <w:hyperlink r:id="rId84">
              <w:r>
                <w:rPr>
                  <w:sz w:val="16"/>
                </w:rPr>
                <w:t>www.amazon.com/Dell-Touchscreen-I3558-5501BLK-Processor-</w:t>
              </w:r>
            </w:hyperlink>
            <w:r>
              <w:rPr>
                <w:sz w:val="16"/>
              </w:rPr>
              <w:t> MaxxAudio/dp/B01MRKWB5K/</w:t>
            </w:r>
          </w:p>
        </w:tc>
      </w:tr>
      <w:tr>
        <w:trPr>
          <w:trHeight w:val="489" w:hRule="atLeast"/>
        </w:trPr>
        <w:tc>
          <w:tcPr>
            <w:tcW w:w="689" w:type="dxa"/>
          </w:tcPr>
          <w:p>
            <w:pPr>
              <w:pStyle w:val="TableParagraph"/>
              <w:spacing w:before="121"/>
              <w:rPr>
                <w:sz w:val="16"/>
              </w:rPr>
            </w:pPr>
            <w:r>
              <w:rPr>
                <w:sz w:val="16"/>
              </w:rPr>
              <w:t>30</w:t>
            </w:r>
          </w:p>
        </w:tc>
        <w:tc>
          <w:tcPr>
            <w:tcW w:w="1610" w:type="dxa"/>
          </w:tcPr>
          <w:p>
            <w:pPr>
              <w:pStyle w:val="TableParagraph"/>
              <w:spacing w:before="121"/>
              <w:ind w:left="108"/>
              <w:rPr>
                <w:sz w:val="16"/>
              </w:rPr>
            </w:pPr>
            <w:r>
              <w:rPr>
                <w:sz w:val="16"/>
              </w:rPr>
              <w:t>Dizüstü Bilgisayar</w:t>
            </w:r>
          </w:p>
        </w:tc>
        <w:tc>
          <w:tcPr>
            <w:tcW w:w="5029" w:type="dxa"/>
          </w:tcPr>
          <w:p>
            <w:pPr>
              <w:pStyle w:val="TableParagraph"/>
              <w:spacing w:before="121"/>
              <w:ind w:left="108"/>
              <w:rPr>
                <w:sz w:val="16"/>
              </w:rPr>
            </w:pPr>
            <w:r>
              <w:rPr>
                <w:sz w:val="16"/>
              </w:rPr>
              <w:t>Dell XPS9360-4841SLV</w:t>
            </w:r>
          </w:p>
        </w:tc>
        <w:tc>
          <w:tcPr>
            <w:tcW w:w="6212" w:type="dxa"/>
          </w:tcPr>
          <w:p>
            <w:pPr>
              <w:pStyle w:val="TableParagraph"/>
              <w:spacing w:line="180" w:lineRule="atLeast" w:before="121"/>
              <w:ind w:left="816" w:right="1443" w:hanging="708"/>
              <w:rPr>
                <w:sz w:val="16"/>
              </w:rPr>
            </w:pPr>
            <w:r>
              <w:rPr>
                <w:sz w:val="16"/>
              </w:rPr>
              <w:t>https://</w:t>
            </w:r>
            <w:hyperlink r:id="rId85">
              <w:r>
                <w:rPr>
                  <w:sz w:val="16"/>
                </w:rPr>
                <w:t>www.amazon.com/Dell-XPS9360-4841SLV-Laptop-Generation-</w:t>
              </w:r>
            </w:hyperlink>
            <w:r>
              <w:rPr>
                <w:sz w:val="16"/>
              </w:rPr>
              <w:t> Silver/dp/B01LVZTWWX/</w:t>
            </w:r>
          </w:p>
        </w:tc>
      </w:tr>
      <w:tr>
        <w:trPr>
          <w:trHeight w:val="486" w:hRule="atLeast"/>
        </w:trPr>
        <w:tc>
          <w:tcPr>
            <w:tcW w:w="689" w:type="dxa"/>
          </w:tcPr>
          <w:p>
            <w:pPr>
              <w:pStyle w:val="TableParagraph"/>
              <w:spacing w:before="119"/>
              <w:rPr>
                <w:sz w:val="16"/>
              </w:rPr>
            </w:pPr>
            <w:r>
              <w:rPr>
                <w:sz w:val="16"/>
              </w:rPr>
              <w:t>31</w:t>
            </w:r>
          </w:p>
        </w:tc>
        <w:tc>
          <w:tcPr>
            <w:tcW w:w="1610" w:type="dxa"/>
          </w:tcPr>
          <w:p>
            <w:pPr>
              <w:pStyle w:val="TableParagraph"/>
              <w:spacing w:before="119"/>
              <w:ind w:left="108"/>
              <w:rPr>
                <w:sz w:val="16"/>
              </w:rPr>
            </w:pPr>
            <w:r>
              <w:rPr>
                <w:sz w:val="16"/>
              </w:rPr>
              <w:t>Dizüstü Bilgisayar</w:t>
            </w:r>
          </w:p>
        </w:tc>
        <w:tc>
          <w:tcPr>
            <w:tcW w:w="5029" w:type="dxa"/>
          </w:tcPr>
          <w:p>
            <w:pPr>
              <w:pStyle w:val="TableParagraph"/>
              <w:spacing w:before="119"/>
              <w:ind w:left="108"/>
              <w:rPr>
                <w:sz w:val="16"/>
              </w:rPr>
            </w:pPr>
            <w:r>
              <w:rPr>
                <w:sz w:val="16"/>
              </w:rPr>
              <w:t>Dell XPS9560-7001SLV-PUS</w:t>
            </w:r>
          </w:p>
        </w:tc>
        <w:tc>
          <w:tcPr>
            <w:tcW w:w="6212" w:type="dxa"/>
          </w:tcPr>
          <w:p>
            <w:pPr>
              <w:pStyle w:val="TableParagraph"/>
              <w:spacing w:line="180" w:lineRule="atLeast" w:before="119"/>
              <w:ind w:left="816" w:right="1372" w:hanging="708"/>
              <w:rPr>
                <w:sz w:val="16"/>
              </w:rPr>
            </w:pPr>
            <w:r>
              <w:rPr>
                <w:sz w:val="16"/>
              </w:rPr>
              <w:t>https://</w:t>
            </w:r>
            <w:hyperlink r:id="rId86">
              <w:r>
                <w:rPr>
                  <w:sz w:val="16"/>
                </w:rPr>
                <w:t>www.amazon.com/Dell-XPS9560-7001SLV-PUS-Laptop-Nvidia-</w:t>
              </w:r>
            </w:hyperlink>
            <w:r>
              <w:rPr>
                <w:sz w:val="16"/>
              </w:rPr>
              <w:t> Gaming/dp/B01N1Q0M4O/</w:t>
            </w:r>
          </w:p>
        </w:tc>
      </w:tr>
      <w:tr>
        <w:trPr>
          <w:trHeight w:val="486" w:hRule="atLeast"/>
        </w:trPr>
        <w:tc>
          <w:tcPr>
            <w:tcW w:w="689" w:type="dxa"/>
          </w:tcPr>
          <w:p>
            <w:pPr>
              <w:pStyle w:val="TableParagraph"/>
              <w:spacing w:before="121"/>
              <w:rPr>
                <w:sz w:val="16"/>
              </w:rPr>
            </w:pPr>
            <w:r>
              <w:rPr>
                <w:sz w:val="16"/>
              </w:rPr>
              <w:t>32</w:t>
            </w:r>
          </w:p>
        </w:tc>
        <w:tc>
          <w:tcPr>
            <w:tcW w:w="1610" w:type="dxa"/>
          </w:tcPr>
          <w:p>
            <w:pPr>
              <w:pStyle w:val="TableParagraph"/>
              <w:spacing w:before="121"/>
              <w:ind w:left="108"/>
              <w:rPr>
                <w:sz w:val="16"/>
              </w:rPr>
            </w:pPr>
            <w:r>
              <w:rPr>
                <w:sz w:val="16"/>
              </w:rPr>
              <w:t>Dizüstü Bilgisayar</w:t>
            </w:r>
          </w:p>
        </w:tc>
        <w:tc>
          <w:tcPr>
            <w:tcW w:w="5029" w:type="dxa"/>
          </w:tcPr>
          <w:p>
            <w:pPr>
              <w:pStyle w:val="TableParagraph"/>
              <w:spacing w:before="121"/>
              <w:ind w:left="108"/>
              <w:rPr>
                <w:sz w:val="16"/>
              </w:rPr>
            </w:pPr>
            <w:r>
              <w:rPr>
                <w:sz w:val="16"/>
              </w:rPr>
              <w:t>ASUS F556UA-AB32</w:t>
            </w:r>
          </w:p>
        </w:tc>
        <w:tc>
          <w:tcPr>
            <w:tcW w:w="6212" w:type="dxa"/>
          </w:tcPr>
          <w:p>
            <w:pPr>
              <w:pStyle w:val="TableParagraph"/>
              <w:spacing w:line="182" w:lineRule="exact" w:before="125"/>
              <w:ind w:left="816" w:right="1559" w:hanging="708"/>
              <w:rPr>
                <w:sz w:val="16"/>
              </w:rPr>
            </w:pPr>
            <w:r>
              <w:rPr>
                <w:sz w:val="16"/>
              </w:rPr>
              <w:t>https://</w:t>
            </w:r>
            <w:hyperlink r:id="rId87">
              <w:r>
                <w:rPr>
                  <w:sz w:val="16"/>
                </w:rPr>
                <w:t>www.amazon.com/F556UA-AB32-15-6-inch-Full-HD-Laptop-</w:t>
              </w:r>
            </w:hyperlink>
            <w:r>
              <w:rPr>
                <w:sz w:val="16"/>
              </w:rPr>
              <w:t> Windows/dp/B01LX0KIGB/</w:t>
            </w:r>
          </w:p>
        </w:tc>
      </w:tr>
      <w:tr>
        <w:trPr>
          <w:trHeight w:val="487" w:hRule="atLeast"/>
        </w:trPr>
        <w:tc>
          <w:tcPr>
            <w:tcW w:w="689" w:type="dxa"/>
          </w:tcPr>
          <w:p>
            <w:pPr>
              <w:pStyle w:val="TableParagraph"/>
              <w:spacing w:before="119"/>
              <w:rPr>
                <w:sz w:val="16"/>
              </w:rPr>
            </w:pPr>
            <w:r>
              <w:rPr>
                <w:sz w:val="16"/>
              </w:rPr>
              <w:t>33</w:t>
            </w:r>
          </w:p>
        </w:tc>
        <w:tc>
          <w:tcPr>
            <w:tcW w:w="1610" w:type="dxa"/>
          </w:tcPr>
          <w:p>
            <w:pPr>
              <w:pStyle w:val="TableParagraph"/>
              <w:spacing w:before="119"/>
              <w:ind w:left="108"/>
              <w:rPr>
                <w:sz w:val="16"/>
              </w:rPr>
            </w:pPr>
            <w:r>
              <w:rPr>
                <w:sz w:val="16"/>
              </w:rPr>
              <w:t>Dizüstü Bilgisayar</w:t>
            </w:r>
          </w:p>
        </w:tc>
        <w:tc>
          <w:tcPr>
            <w:tcW w:w="5029" w:type="dxa"/>
          </w:tcPr>
          <w:p>
            <w:pPr>
              <w:pStyle w:val="TableParagraph"/>
              <w:spacing w:before="119"/>
              <w:ind w:left="108"/>
              <w:rPr>
                <w:sz w:val="16"/>
              </w:rPr>
            </w:pPr>
            <w:r>
              <w:rPr>
                <w:sz w:val="16"/>
              </w:rPr>
              <w:t>MSI WS63 7RK-290US</w:t>
            </w:r>
          </w:p>
        </w:tc>
        <w:tc>
          <w:tcPr>
            <w:tcW w:w="6212" w:type="dxa"/>
          </w:tcPr>
          <w:p>
            <w:pPr>
              <w:pStyle w:val="TableParagraph"/>
              <w:spacing w:line="180" w:lineRule="atLeast" w:before="119"/>
              <w:ind w:left="816" w:right="1567" w:hanging="708"/>
              <w:rPr>
                <w:sz w:val="16"/>
              </w:rPr>
            </w:pPr>
            <w:r>
              <w:rPr>
                <w:sz w:val="16"/>
              </w:rPr>
              <w:t>https://</w:t>
            </w:r>
            <w:hyperlink r:id="rId88">
              <w:r>
                <w:rPr>
                  <w:sz w:val="16"/>
                </w:rPr>
                <w:t>www.amazon.com/MSI-7RK-290US-Workstation-i7-7700HQ-</w:t>
              </w:r>
            </w:hyperlink>
            <w:r>
              <w:rPr>
                <w:sz w:val="16"/>
              </w:rPr>
              <w:t> Windows/dp/B01N15DJVR/</w:t>
            </w:r>
          </w:p>
        </w:tc>
      </w:tr>
      <w:tr>
        <w:trPr>
          <w:trHeight w:val="304" w:hRule="atLeast"/>
        </w:trPr>
        <w:tc>
          <w:tcPr>
            <w:tcW w:w="689" w:type="dxa"/>
          </w:tcPr>
          <w:p>
            <w:pPr>
              <w:pStyle w:val="TableParagraph"/>
              <w:spacing w:line="163" w:lineRule="exact" w:before="121"/>
              <w:rPr>
                <w:sz w:val="16"/>
              </w:rPr>
            </w:pPr>
            <w:r>
              <w:rPr>
                <w:sz w:val="16"/>
              </w:rPr>
              <w:t>34</w:t>
            </w:r>
          </w:p>
        </w:tc>
        <w:tc>
          <w:tcPr>
            <w:tcW w:w="1610" w:type="dxa"/>
          </w:tcPr>
          <w:p>
            <w:pPr>
              <w:pStyle w:val="TableParagraph"/>
              <w:spacing w:line="163" w:lineRule="exact" w:before="121"/>
              <w:ind w:left="108"/>
              <w:rPr>
                <w:sz w:val="16"/>
              </w:rPr>
            </w:pPr>
            <w:r>
              <w:rPr>
                <w:sz w:val="16"/>
              </w:rPr>
              <w:t>Dizüstü Bilgisayar</w:t>
            </w:r>
          </w:p>
        </w:tc>
        <w:tc>
          <w:tcPr>
            <w:tcW w:w="5029" w:type="dxa"/>
          </w:tcPr>
          <w:p>
            <w:pPr>
              <w:pStyle w:val="TableParagraph"/>
              <w:spacing w:line="163" w:lineRule="exact" w:before="121"/>
              <w:ind w:left="108"/>
              <w:rPr>
                <w:sz w:val="16"/>
              </w:rPr>
            </w:pPr>
            <w:r>
              <w:rPr>
                <w:sz w:val="16"/>
              </w:rPr>
              <w:t>MSI GL72 7RD-028</w:t>
            </w:r>
          </w:p>
        </w:tc>
        <w:tc>
          <w:tcPr>
            <w:tcW w:w="6212" w:type="dxa"/>
          </w:tcPr>
          <w:p>
            <w:pPr>
              <w:pStyle w:val="TableParagraph"/>
              <w:spacing w:line="163" w:lineRule="exact" w:before="121"/>
              <w:ind w:left="108"/>
              <w:rPr>
                <w:sz w:val="16"/>
              </w:rPr>
            </w:pPr>
            <w:r>
              <w:rPr>
                <w:sz w:val="16"/>
              </w:rPr>
              <w:t>https://</w:t>
            </w:r>
            <w:hyperlink r:id="rId89">
              <w:r>
                <w:rPr>
                  <w:sz w:val="16"/>
                </w:rPr>
                <w:t>www.amazon.com/MSI-GL72-7RD-028-Performance-i7-7700HQ/dp/B01MS1T197/</w:t>
              </w:r>
            </w:hyperlink>
          </w:p>
        </w:tc>
      </w:tr>
      <w:tr>
        <w:trPr>
          <w:trHeight w:val="304" w:hRule="atLeast"/>
        </w:trPr>
        <w:tc>
          <w:tcPr>
            <w:tcW w:w="689" w:type="dxa"/>
          </w:tcPr>
          <w:p>
            <w:pPr>
              <w:pStyle w:val="TableParagraph"/>
              <w:spacing w:line="163" w:lineRule="exact" w:before="122"/>
              <w:rPr>
                <w:sz w:val="16"/>
              </w:rPr>
            </w:pPr>
            <w:r>
              <w:rPr>
                <w:sz w:val="16"/>
              </w:rPr>
              <w:t>35</w:t>
            </w:r>
          </w:p>
        </w:tc>
        <w:tc>
          <w:tcPr>
            <w:tcW w:w="1610" w:type="dxa"/>
          </w:tcPr>
          <w:p>
            <w:pPr>
              <w:pStyle w:val="TableParagraph"/>
              <w:spacing w:line="163" w:lineRule="exact" w:before="122"/>
              <w:ind w:left="108"/>
              <w:rPr>
                <w:sz w:val="16"/>
              </w:rPr>
            </w:pPr>
            <w:r>
              <w:rPr>
                <w:sz w:val="16"/>
              </w:rPr>
              <w:t>Dizüstü Bilgisayar</w:t>
            </w:r>
          </w:p>
        </w:tc>
        <w:tc>
          <w:tcPr>
            <w:tcW w:w="5029" w:type="dxa"/>
          </w:tcPr>
          <w:p>
            <w:pPr>
              <w:pStyle w:val="TableParagraph"/>
              <w:spacing w:line="163" w:lineRule="exact" w:before="122"/>
              <w:ind w:left="108"/>
              <w:rPr>
                <w:sz w:val="16"/>
              </w:rPr>
            </w:pPr>
            <w:r>
              <w:rPr>
                <w:sz w:val="16"/>
              </w:rPr>
              <w:t>MSI GS63VR Stealth Pro-230</w:t>
            </w:r>
          </w:p>
        </w:tc>
        <w:tc>
          <w:tcPr>
            <w:tcW w:w="6212" w:type="dxa"/>
          </w:tcPr>
          <w:p>
            <w:pPr>
              <w:pStyle w:val="TableParagraph"/>
              <w:spacing w:line="163" w:lineRule="exact" w:before="122"/>
              <w:ind w:left="108"/>
              <w:rPr>
                <w:sz w:val="16"/>
              </w:rPr>
            </w:pPr>
            <w:r>
              <w:rPr>
                <w:sz w:val="16"/>
              </w:rPr>
              <w:t>https://</w:t>
            </w:r>
            <w:hyperlink r:id="rId90">
              <w:r>
                <w:rPr>
                  <w:sz w:val="16"/>
                </w:rPr>
                <w:t>www.amazon.com/MSI-GS63VR-Stealth-Pro-230-i7-7700HQ/dp/B01N5JUPWO/</w:t>
              </w:r>
            </w:hyperlink>
          </w:p>
        </w:tc>
      </w:tr>
      <w:tr>
        <w:trPr>
          <w:trHeight w:val="486" w:hRule="atLeast"/>
        </w:trPr>
        <w:tc>
          <w:tcPr>
            <w:tcW w:w="689" w:type="dxa"/>
          </w:tcPr>
          <w:p>
            <w:pPr>
              <w:pStyle w:val="TableParagraph"/>
              <w:spacing w:before="119"/>
              <w:rPr>
                <w:sz w:val="16"/>
              </w:rPr>
            </w:pPr>
            <w:r>
              <w:rPr>
                <w:sz w:val="16"/>
              </w:rPr>
              <w:t>36</w:t>
            </w:r>
          </w:p>
        </w:tc>
        <w:tc>
          <w:tcPr>
            <w:tcW w:w="1610" w:type="dxa"/>
          </w:tcPr>
          <w:p>
            <w:pPr>
              <w:pStyle w:val="TableParagraph"/>
              <w:spacing w:before="119"/>
              <w:ind w:left="108"/>
              <w:rPr>
                <w:sz w:val="16"/>
              </w:rPr>
            </w:pPr>
            <w:r>
              <w:rPr>
                <w:sz w:val="16"/>
              </w:rPr>
              <w:t>Dizüstü Bilgisayar</w:t>
            </w:r>
          </w:p>
        </w:tc>
        <w:tc>
          <w:tcPr>
            <w:tcW w:w="5029" w:type="dxa"/>
          </w:tcPr>
          <w:p>
            <w:pPr>
              <w:pStyle w:val="TableParagraph"/>
              <w:spacing w:before="119"/>
              <w:ind w:left="108"/>
              <w:rPr>
                <w:sz w:val="16"/>
              </w:rPr>
            </w:pPr>
            <w:r>
              <w:rPr>
                <w:sz w:val="16"/>
              </w:rPr>
              <w:t>MSI GT72VR Dominator Pro-448</w:t>
            </w:r>
          </w:p>
        </w:tc>
        <w:tc>
          <w:tcPr>
            <w:tcW w:w="6212" w:type="dxa"/>
          </w:tcPr>
          <w:p>
            <w:pPr>
              <w:pStyle w:val="TableParagraph"/>
              <w:spacing w:line="180" w:lineRule="atLeast" w:before="119"/>
              <w:ind w:left="816" w:right="1834" w:hanging="708"/>
              <w:rPr>
                <w:sz w:val="16"/>
              </w:rPr>
            </w:pPr>
            <w:r>
              <w:rPr>
                <w:sz w:val="16"/>
              </w:rPr>
              <w:t>https://</w:t>
            </w:r>
            <w:hyperlink r:id="rId91">
              <w:r>
                <w:rPr>
                  <w:sz w:val="16"/>
                </w:rPr>
                <w:t>www.amazon.com/MSI-GT72VR-Dominator-Powerful-i7-</w:t>
              </w:r>
            </w:hyperlink>
            <w:r>
              <w:rPr>
                <w:sz w:val="16"/>
              </w:rPr>
              <w:t> 7700HQ/dp/B01N6L9S7U/</w:t>
            </w:r>
          </w:p>
        </w:tc>
      </w:tr>
    </w:tbl>
    <w:p>
      <w:pPr>
        <w:spacing w:after="0" w:line="180" w:lineRule="atLeast"/>
        <w:rPr>
          <w:sz w:val="16"/>
        </w:rPr>
        <w:sectPr>
          <w:pgSz w:w="15840" w:h="12240" w:orient="landscape"/>
          <w:pgMar w:header="718" w:footer="0" w:top="1040" w:bottom="280" w:left="1300" w:right="760"/>
        </w:sectPr>
      </w:pPr>
    </w:p>
    <w:p>
      <w:pPr>
        <w:pStyle w:val="BodyText"/>
        <w:spacing w:before="11"/>
        <w:ind w:left="0"/>
        <w:jc w:val="left"/>
        <w:rPr>
          <w:b/>
          <w:sz w:val="6"/>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9"/>
        <w:gridCol w:w="1610"/>
        <w:gridCol w:w="5029"/>
        <w:gridCol w:w="6212"/>
      </w:tblGrid>
      <w:tr>
        <w:trPr>
          <w:trHeight w:val="304" w:hRule="atLeast"/>
        </w:trPr>
        <w:tc>
          <w:tcPr>
            <w:tcW w:w="689" w:type="dxa"/>
          </w:tcPr>
          <w:p>
            <w:pPr>
              <w:pStyle w:val="TableParagraph"/>
              <w:spacing w:line="163" w:lineRule="exact" w:before="122"/>
              <w:rPr>
                <w:sz w:val="16"/>
              </w:rPr>
            </w:pPr>
            <w:r>
              <w:rPr>
                <w:sz w:val="16"/>
              </w:rPr>
              <w:t>37</w:t>
            </w:r>
          </w:p>
        </w:tc>
        <w:tc>
          <w:tcPr>
            <w:tcW w:w="1610" w:type="dxa"/>
          </w:tcPr>
          <w:p>
            <w:pPr>
              <w:pStyle w:val="TableParagraph"/>
              <w:spacing w:line="163" w:lineRule="exact" w:before="122"/>
              <w:ind w:left="108"/>
              <w:rPr>
                <w:sz w:val="16"/>
              </w:rPr>
            </w:pPr>
            <w:r>
              <w:rPr>
                <w:sz w:val="16"/>
              </w:rPr>
              <w:t>Dizüstü Bilgisayar</w:t>
            </w:r>
          </w:p>
        </w:tc>
        <w:tc>
          <w:tcPr>
            <w:tcW w:w="5029" w:type="dxa"/>
          </w:tcPr>
          <w:p>
            <w:pPr>
              <w:pStyle w:val="TableParagraph"/>
              <w:spacing w:line="163" w:lineRule="exact" w:before="122"/>
              <w:ind w:left="108"/>
              <w:rPr>
                <w:sz w:val="16"/>
              </w:rPr>
            </w:pPr>
            <w:r>
              <w:rPr>
                <w:sz w:val="16"/>
              </w:rPr>
              <w:t>MSI GT73VR TITAN Pro 4K-479</w:t>
            </w:r>
          </w:p>
        </w:tc>
        <w:tc>
          <w:tcPr>
            <w:tcW w:w="6212" w:type="dxa"/>
          </w:tcPr>
          <w:p>
            <w:pPr>
              <w:pStyle w:val="TableParagraph"/>
              <w:spacing w:line="163" w:lineRule="exact" w:before="122"/>
              <w:ind w:left="108"/>
              <w:rPr>
                <w:sz w:val="16"/>
              </w:rPr>
            </w:pPr>
            <w:r>
              <w:rPr>
                <w:sz w:val="16"/>
              </w:rPr>
              <w:t>https://</w:t>
            </w:r>
            <w:hyperlink r:id="rId92">
              <w:r>
                <w:rPr>
                  <w:sz w:val="16"/>
                </w:rPr>
                <w:t>www.amazon.com/MSI-GT73VR-TITAN-4K-479-i7-7820HK/dp/B01N0V9O6N/</w:t>
              </w:r>
            </w:hyperlink>
          </w:p>
        </w:tc>
      </w:tr>
      <w:tr>
        <w:trPr>
          <w:trHeight w:val="304" w:hRule="atLeast"/>
        </w:trPr>
        <w:tc>
          <w:tcPr>
            <w:tcW w:w="689" w:type="dxa"/>
          </w:tcPr>
          <w:p>
            <w:pPr>
              <w:pStyle w:val="TableParagraph"/>
              <w:spacing w:line="163" w:lineRule="exact" w:before="121"/>
              <w:rPr>
                <w:sz w:val="16"/>
              </w:rPr>
            </w:pPr>
            <w:r>
              <w:rPr>
                <w:sz w:val="16"/>
              </w:rPr>
              <w:t>38</w:t>
            </w:r>
          </w:p>
        </w:tc>
        <w:tc>
          <w:tcPr>
            <w:tcW w:w="1610" w:type="dxa"/>
          </w:tcPr>
          <w:p>
            <w:pPr>
              <w:pStyle w:val="TableParagraph"/>
              <w:spacing w:line="163" w:lineRule="exact" w:before="121"/>
              <w:ind w:left="108"/>
              <w:rPr>
                <w:sz w:val="16"/>
              </w:rPr>
            </w:pPr>
            <w:r>
              <w:rPr>
                <w:sz w:val="16"/>
              </w:rPr>
              <w:t>Dizüstü Bilgisayar</w:t>
            </w:r>
          </w:p>
        </w:tc>
        <w:tc>
          <w:tcPr>
            <w:tcW w:w="5029" w:type="dxa"/>
          </w:tcPr>
          <w:p>
            <w:pPr>
              <w:pStyle w:val="TableParagraph"/>
              <w:spacing w:line="163" w:lineRule="exact" w:before="121"/>
              <w:ind w:left="108"/>
              <w:rPr>
                <w:sz w:val="16"/>
              </w:rPr>
            </w:pPr>
            <w:r>
              <w:rPr>
                <w:sz w:val="16"/>
              </w:rPr>
              <w:t>MSI GT73VR TITAN 4K-480</w:t>
            </w:r>
          </w:p>
        </w:tc>
        <w:tc>
          <w:tcPr>
            <w:tcW w:w="6212" w:type="dxa"/>
          </w:tcPr>
          <w:p>
            <w:pPr>
              <w:pStyle w:val="TableParagraph"/>
              <w:spacing w:line="163" w:lineRule="exact" w:before="121"/>
              <w:ind w:left="108"/>
              <w:rPr>
                <w:sz w:val="16"/>
              </w:rPr>
            </w:pPr>
            <w:r>
              <w:rPr>
                <w:sz w:val="16"/>
              </w:rPr>
              <w:t>https://</w:t>
            </w:r>
            <w:hyperlink r:id="rId93">
              <w:r>
                <w:rPr>
                  <w:sz w:val="16"/>
                </w:rPr>
                <w:t>www.amazon.com/MSI-GT73VR-TITAN-4K-480-i7-7820HK/dp/B01N5JUX3N/</w:t>
              </w:r>
            </w:hyperlink>
          </w:p>
        </w:tc>
      </w:tr>
      <w:tr>
        <w:trPr>
          <w:trHeight w:val="489" w:hRule="atLeast"/>
        </w:trPr>
        <w:tc>
          <w:tcPr>
            <w:tcW w:w="689" w:type="dxa"/>
          </w:tcPr>
          <w:p>
            <w:pPr>
              <w:pStyle w:val="TableParagraph"/>
              <w:spacing w:before="121"/>
              <w:rPr>
                <w:sz w:val="16"/>
              </w:rPr>
            </w:pPr>
            <w:r>
              <w:rPr>
                <w:sz w:val="16"/>
              </w:rPr>
              <w:t>39</w:t>
            </w:r>
          </w:p>
        </w:tc>
        <w:tc>
          <w:tcPr>
            <w:tcW w:w="1610" w:type="dxa"/>
          </w:tcPr>
          <w:p>
            <w:pPr>
              <w:pStyle w:val="TableParagraph"/>
              <w:spacing w:before="121"/>
              <w:ind w:left="108"/>
              <w:rPr>
                <w:sz w:val="16"/>
              </w:rPr>
            </w:pPr>
            <w:r>
              <w:rPr>
                <w:sz w:val="16"/>
              </w:rPr>
              <w:t>Dizüstü Bilgisayar</w:t>
            </w:r>
          </w:p>
        </w:tc>
        <w:tc>
          <w:tcPr>
            <w:tcW w:w="5029" w:type="dxa"/>
          </w:tcPr>
          <w:p>
            <w:pPr>
              <w:pStyle w:val="TableParagraph"/>
              <w:spacing w:before="121"/>
              <w:ind w:left="108"/>
              <w:rPr>
                <w:sz w:val="16"/>
              </w:rPr>
            </w:pPr>
            <w:r>
              <w:rPr>
                <w:sz w:val="16"/>
              </w:rPr>
              <w:t>ASUS L402SA Portable Lightweight Laptop PC</w:t>
            </w:r>
          </w:p>
        </w:tc>
        <w:tc>
          <w:tcPr>
            <w:tcW w:w="6212" w:type="dxa"/>
          </w:tcPr>
          <w:p>
            <w:pPr>
              <w:pStyle w:val="TableParagraph"/>
              <w:spacing w:line="180" w:lineRule="atLeast" w:before="121"/>
              <w:ind w:left="816" w:right="1603" w:hanging="708"/>
              <w:rPr>
                <w:sz w:val="16"/>
              </w:rPr>
            </w:pPr>
            <w:r>
              <w:rPr>
                <w:sz w:val="16"/>
              </w:rPr>
              <w:t>https://</w:t>
            </w:r>
            <w:hyperlink r:id="rId94">
              <w:r>
                <w:rPr>
                  <w:sz w:val="16"/>
                </w:rPr>
                <w:t>www.amazon.com/Portable-Lightweight-Processor-Microsoft-</w:t>
              </w:r>
            </w:hyperlink>
            <w:r>
              <w:rPr>
                <w:sz w:val="16"/>
              </w:rPr>
              <w:t> Subscription/dp/B01N5E5T48/</w:t>
            </w:r>
          </w:p>
        </w:tc>
      </w:tr>
      <w:tr>
        <w:trPr>
          <w:trHeight w:val="486" w:hRule="atLeast"/>
        </w:trPr>
        <w:tc>
          <w:tcPr>
            <w:tcW w:w="689" w:type="dxa"/>
          </w:tcPr>
          <w:p>
            <w:pPr>
              <w:pStyle w:val="TableParagraph"/>
              <w:spacing w:before="119"/>
              <w:rPr>
                <w:sz w:val="16"/>
              </w:rPr>
            </w:pPr>
            <w:r>
              <w:rPr>
                <w:sz w:val="16"/>
              </w:rPr>
              <w:t>40</w:t>
            </w:r>
          </w:p>
        </w:tc>
        <w:tc>
          <w:tcPr>
            <w:tcW w:w="1610" w:type="dxa"/>
          </w:tcPr>
          <w:p>
            <w:pPr>
              <w:pStyle w:val="TableParagraph"/>
              <w:spacing w:before="119"/>
              <w:ind w:left="108"/>
              <w:rPr>
                <w:sz w:val="16"/>
              </w:rPr>
            </w:pPr>
            <w:r>
              <w:rPr>
                <w:sz w:val="16"/>
              </w:rPr>
              <w:t>Dizüstü Bilgisayar</w:t>
            </w:r>
          </w:p>
        </w:tc>
        <w:tc>
          <w:tcPr>
            <w:tcW w:w="5029" w:type="dxa"/>
          </w:tcPr>
          <w:p>
            <w:pPr>
              <w:pStyle w:val="TableParagraph"/>
              <w:spacing w:before="119"/>
              <w:ind w:left="108"/>
              <w:rPr>
                <w:sz w:val="16"/>
              </w:rPr>
            </w:pPr>
            <w:r>
              <w:rPr>
                <w:sz w:val="16"/>
              </w:rPr>
              <w:t>ASUS ZenBook UX330UA-AH54</w:t>
            </w:r>
          </w:p>
        </w:tc>
        <w:tc>
          <w:tcPr>
            <w:tcW w:w="6212" w:type="dxa"/>
          </w:tcPr>
          <w:p>
            <w:pPr>
              <w:pStyle w:val="TableParagraph"/>
              <w:spacing w:line="180" w:lineRule="atLeast" w:before="119"/>
              <w:ind w:left="816" w:right="1097" w:hanging="708"/>
              <w:rPr>
                <w:sz w:val="16"/>
              </w:rPr>
            </w:pPr>
            <w:r>
              <w:rPr>
                <w:sz w:val="16"/>
              </w:rPr>
              <w:t>https://</w:t>
            </w:r>
            <w:hyperlink r:id="rId95">
              <w:r>
                <w:rPr>
                  <w:sz w:val="16"/>
                </w:rPr>
                <w:t>www.amazon.com/UX330UA-AH54-13-3-inch-Ultra-Slim-Processor-</w:t>
              </w:r>
            </w:hyperlink>
            <w:r>
              <w:rPr>
                <w:sz w:val="16"/>
              </w:rPr>
              <w:t> Fingerprint/dp/B01M18UZF5/</w:t>
            </w:r>
          </w:p>
        </w:tc>
      </w:tr>
      <w:tr>
        <w:trPr>
          <w:trHeight w:val="304" w:hRule="atLeast"/>
        </w:trPr>
        <w:tc>
          <w:tcPr>
            <w:tcW w:w="689" w:type="dxa"/>
          </w:tcPr>
          <w:p>
            <w:pPr>
              <w:pStyle w:val="TableParagraph"/>
              <w:spacing w:line="163" w:lineRule="exact" w:before="121"/>
              <w:rPr>
                <w:sz w:val="16"/>
              </w:rPr>
            </w:pPr>
            <w:r>
              <w:rPr>
                <w:sz w:val="16"/>
              </w:rPr>
              <w:t>41</w:t>
            </w:r>
          </w:p>
        </w:tc>
        <w:tc>
          <w:tcPr>
            <w:tcW w:w="1610" w:type="dxa"/>
          </w:tcPr>
          <w:p>
            <w:pPr>
              <w:pStyle w:val="TableParagraph"/>
              <w:spacing w:line="163" w:lineRule="exact" w:before="121"/>
              <w:ind w:left="108"/>
              <w:rPr>
                <w:sz w:val="16"/>
              </w:rPr>
            </w:pPr>
            <w:r>
              <w:rPr>
                <w:sz w:val="16"/>
              </w:rPr>
              <w:t>Koltuk</w:t>
            </w:r>
          </w:p>
        </w:tc>
        <w:tc>
          <w:tcPr>
            <w:tcW w:w="5029" w:type="dxa"/>
          </w:tcPr>
          <w:p>
            <w:pPr>
              <w:pStyle w:val="TableParagraph"/>
              <w:spacing w:line="163" w:lineRule="exact" w:before="121"/>
              <w:ind w:left="108"/>
              <w:rPr>
                <w:sz w:val="16"/>
              </w:rPr>
            </w:pPr>
            <w:r>
              <w:rPr>
                <w:sz w:val="16"/>
              </w:rPr>
              <w:t>Acme 50510 Zanthe Motion Sectional Sofa</w:t>
            </w:r>
          </w:p>
        </w:tc>
        <w:tc>
          <w:tcPr>
            <w:tcW w:w="6212" w:type="dxa"/>
          </w:tcPr>
          <w:p>
            <w:pPr>
              <w:pStyle w:val="TableParagraph"/>
              <w:spacing w:line="163" w:lineRule="exact" w:before="121"/>
              <w:ind w:left="108"/>
              <w:rPr>
                <w:sz w:val="16"/>
              </w:rPr>
            </w:pPr>
            <w:r>
              <w:rPr>
                <w:sz w:val="16"/>
              </w:rPr>
              <w:t>https://</w:t>
            </w:r>
            <w:hyperlink r:id="rId96">
              <w:r>
                <w:rPr>
                  <w:sz w:val="16"/>
                </w:rPr>
                <w:t>www.amazon.com/50510-Zanthe-Sectional-Polished-Microfiber/dp/B00AILXPWG/</w:t>
              </w:r>
            </w:hyperlink>
          </w:p>
        </w:tc>
      </w:tr>
      <w:tr>
        <w:trPr>
          <w:trHeight w:val="304" w:hRule="atLeast"/>
        </w:trPr>
        <w:tc>
          <w:tcPr>
            <w:tcW w:w="689" w:type="dxa"/>
          </w:tcPr>
          <w:p>
            <w:pPr>
              <w:pStyle w:val="TableParagraph"/>
              <w:spacing w:line="163" w:lineRule="exact" w:before="121"/>
              <w:rPr>
                <w:sz w:val="16"/>
              </w:rPr>
            </w:pPr>
            <w:r>
              <w:rPr>
                <w:sz w:val="16"/>
              </w:rPr>
              <w:t>42</w:t>
            </w:r>
          </w:p>
        </w:tc>
        <w:tc>
          <w:tcPr>
            <w:tcW w:w="1610" w:type="dxa"/>
          </w:tcPr>
          <w:p>
            <w:pPr>
              <w:pStyle w:val="TableParagraph"/>
              <w:spacing w:line="163" w:lineRule="exact" w:before="121"/>
              <w:ind w:left="108"/>
              <w:rPr>
                <w:sz w:val="16"/>
              </w:rPr>
            </w:pPr>
            <w:r>
              <w:rPr>
                <w:sz w:val="16"/>
              </w:rPr>
              <w:t>Koltuk</w:t>
            </w:r>
          </w:p>
        </w:tc>
        <w:tc>
          <w:tcPr>
            <w:tcW w:w="5029" w:type="dxa"/>
          </w:tcPr>
          <w:p>
            <w:pPr>
              <w:pStyle w:val="TableParagraph"/>
              <w:spacing w:line="163" w:lineRule="exact" w:before="121"/>
              <w:ind w:left="108"/>
              <w:rPr>
                <w:sz w:val="16"/>
              </w:rPr>
            </w:pPr>
            <w:r>
              <w:rPr>
                <w:sz w:val="16"/>
              </w:rPr>
              <w:t>Acme 57028 Hamar Adjustable Sofa</w:t>
            </w:r>
          </w:p>
        </w:tc>
        <w:tc>
          <w:tcPr>
            <w:tcW w:w="6212" w:type="dxa"/>
          </w:tcPr>
          <w:p>
            <w:pPr>
              <w:pStyle w:val="TableParagraph"/>
              <w:spacing w:line="163" w:lineRule="exact" w:before="121"/>
              <w:ind w:left="108"/>
              <w:rPr>
                <w:sz w:val="16"/>
              </w:rPr>
            </w:pPr>
            <w:r>
              <w:rPr>
                <w:sz w:val="16"/>
              </w:rPr>
              <w:t>https://</w:t>
            </w:r>
            <w:hyperlink r:id="rId97">
              <w:r>
                <w:rPr>
                  <w:sz w:val="16"/>
                </w:rPr>
                <w:t>www.amazon.com/57028-Hamar-Adjustable-Chocolate-Finish/dp/B0082A18FQ/</w:t>
              </w:r>
            </w:hyperlink>
          </w:p>
        </w:tc>
      </w:tr>
      <w:tr>
        <w:trPr>
          <w:trHeight w:val="304" w:hRule="atLeast"/>
        </w:trPr>
        <w:tc>
          <w:tcPr>
            <w:tcW w:w="689" w:type="dxa"/>
          </w:tcPr>
          <w:p>
            <w:pPr>
              <w:pStyle w:val="TableParagraph"/>
              <w:spacing w:line="163" w:lineRule="exact" w:before="121"/>
              <w:rPr>
                <w:sz w:val="16"/>
              </w:rPr>
            </w:pPr>
            <w:r>
              <w:rPr>
                <w:sz w:val="16"/>
              </w:rPr>
              <w:t>43</w:t>
            </w:r>
          </w:p>
        </w:tc>
        <w:tc>
          <w:tcPr>
            <w:tcW w:w="1610" w:type="dxa"/>
          </w:tcPr>
          <w:p>
            <w:pPr>
              <w:pStyle w:val="TableParagraph"/>
              <w:spacing w:line="163" w:lineRule="exact" w:before="121"/>
              <w:ind w:left="108"/>
              <w:rPr>
                <w:sz w:val="16"/>
              </w:rPr>
            </w:pPr>
            <w:r>
              <w:rPr>
                <w:sz w:val="16"/>
              </w:rPr>
              <w:t>Koltuk</w:t>
            </w:r>
          </w:p>
        </w:tc>
        <w:tc>
          <w:tcPr>
            <w:tcW w:w="5029" w:type="dxa"/>
          </w:tcPr>
          <w:p>
            <w:pPr>
              <w:pStyle w:val="TableParagraph"/>
              <w:spacing w:line="163" w:lineRule="exact" w:before="121"/>
              <w:ind w:left="108"/>
              <w:rPr>
                <w:sz w:val="16"/>
              </w:rPr>
            </w:pPr>
            <w:r>
              <w:rPr>
                <w:sz w:val="16"/>
              </w:rPr>
              <w:t>ACME 05674 Tufted Adjustable Back Sofa</w:t>
            </w:r>
          </w:p>
        </w:tc>
        <w:tc>
          <w:tcPr>
            <w:tcW w:w="6212" w:type="dxa"/>
          </w:tcPr>
          <w:p>
            <w:pPr>
              <w:pStyle w:val="TableParagraph"/>
              <w:spacing w:line="163" w:lineRule="exact" w:before="121"/>
              <w:ind w:left="108"/>
              <w:rPr>
                <w:sz w:val="16"/>
              </w:rPr>
            </w:pPr>
            <w:r>
              <w:rPr>
                <w:sz w:val="16"/>
              </w:rPr>
              <w:t>https://</w:t>
            </w:r>
            <w:hyperlink r:id="rId98">
              <w:r>
                <w:rPr>
                  <w:sz w:val="16"/>
                </w:rPr>
                <w:t>www.amazon.com/ACME-05674-Tufted-Adjustable-Brown/dp/B004D38KFW/</w:t>
              </w:r>
            </w:hyperlink>
          </w:p>
        </w:tc>
      </w:tr>
      <w:tr>
        <w:trPr>
          <w:trHeight w:val="302" w:hRule="atLeast"/>
        </w:trPr>
        <w:tc>
          <w:tcPr>
            <w:tcW w:w="689" w:type="dxa"/>
          </w:tcPr>
          <w:p>
            <w:pPr>
              <w:pStyle w:val="TableParagraph"/>
              <w:spacing w:line="163" w:lineRule="exact" w:before="120"/>
              <w:rPr>
                <w:sz w:val="16"/>
              </w:rPr>
            </w:pPr>
            <w:r>
              <w:rPr>
                <w:sz w:val="16"/>
              </w:rPr>
              <w:t>44</w:t>
            </w:r>
          </w:p>
        </w:tc>
        <w:tc>
          <w:tcPr>
            <w:tcW w:w="1610" w:type="dxa"/>
          </w:tcPr>
          <w:p>
            <w:pPr>
              <w:pStyle w:val="TableParagraph"/>
              <w:spacing w:line="163" w:lineRule="exact" w:before="120"/>
              <w:ind w:left="108"/>
              <w:rPr>
                <w:sz w:val="16"/>
              </w:rPr>
            </w:pPr>
            <w:r>
              <w:rPr>
                <w:sz w:val="16"/>
              </w:rPr>
              <w:t>Koltuk</w:t>
            </w:r>
          </w:p>
        </w:tc>
        <w:tc>
          <w:tcPr>
            <w:tcW w:w="5029" w:type="dxa"/>
          </w:tcPr>
          <w:p>
            <w:pPr>
              <w:pStyle w:val="TableParagraph"/>
              <w:spacing w:line="163" w:lineRule="exact" w:before="120"/>
              <w:ind w:left="108"/>
              <w:rPr>
                <w:sz w:val="16"/>
              </w:rPr>
            </w:pPr>
            <w:r>
              <w:rPr>
                <w:sz w:val="16"/>
              </w:rPr>
              <w:t>ACME 15062B Platinum Sofa</w:t>
            </w:r>
          </w:p>
        </w:tc>
        <w:tc>
          <w:tcPr>
            <w:tcW w:w="6212" w:type="dxa"/>
          </w:tcPr>
          <w:p>
            <w:pPr>
              <w:pStyle w:val="TableParagraph"/>
              <w:spacing w:line="163" w:lineRule="exact" w:before="120"/>
              <w:ind w:left="108"/>
              <w:rPr>
                <w:sz w:val="16"/>
              </w:rPr>
            </w:pPr>
            <w:r>
              <w:rPr>
                <w:sz w:val="16"/>
              </w:rPr>
              <w:t>https://</w:t>
            </w:r>
            <w:hyperlink r:id="rId99">
              <w:r>
                <w:rPr>
                  <w:sz w:val="16"/>
                </w:rPr>
                <w:t>www.amazon.com/ACME-15062B-Platinum-Sleeper-Leather/dp/B009S5OP9U/</w:t>
              </w:r>
            </w:hyperlink>
          </w:p>
        </w:tc>
      </w:tr>
      <w:tr>
        <w:trPr>
          <w:trHeight w:val="304" w:hRule="atLeast"/>
        </w:trPr>
        <w:tc>
          <w:tcPr>
            <w:tcW w:w="689" w:type="dxa"/>
          </w:tcPr>
          <w:p>
            <w:pPr>
              <w:pStyle w:val="TableParagraph"/>
              <w:spacing w:line="163" w:lineRule="exact" w:before="121"/>
              <w:rPr>
                <w:sz w:val="16"/>
              </w:rPr>
            </w:pPr>
            <w:r>
              <w:rPr>
                <w:sz w:val="16"/>
              </w:rPr>
              <w:t>45</w:t>
            </w:r>
          </w:p>
        </w:tc>
        <w:tc>
          <w:tcPr>
            <w:tcW w:w="1610" w:type="dxa"/>
          </w:tcPr>
          <w:p>
            <w:pPr>
              <w:pStyle w:val="TableParagraph"/>
              <w:spacing w:line="163" w:lineRule="exact" w:before="121"/>
              <w:ind w:left="108"/>
              <w:rPr>
                <w:sz w:val="16"/>
              </w:rPr>
            </w:pPr>
            <w:r>
              <w:rPr>
                <w:sz w:val="16"/>
              </w:rPr>
              <w:t>Koltuk</w:t>
            </w:r>
          </w:p>
        </w:tc>
        <w:tc>
          <w:tcPr>
            <w:tcW w:w="5029" w:type="dxa"/>
          </w:tcPr>
          <w:p>
            <w:pPr>
              <w:pStyle w:val="TableParagraph"/>
              <w:spacing w:line="163" w:lineRule="exact" w:before="121"/>
              <w:ind w:left="108"/>
              <w:rPr>
                <w:sz w:val="16"/>
              </w:rPr>
            </w:pPr>
            <w:r>
              <w:rPr>
                <w:sz w:val="16"/>
              </w:rPr>
              <w:t>ACME 15095 Bonded Leather Sofa</w:t>
            </w:r>
          </w:p>
        </w:tc>
        <w:tc>
          <w:tcPr>
            <w:tcW w:w="6212" w:type="dxa"/>
          </w:tcPr>
          <w:p>
            <w:pPr>
              <w:pStyle w:val="TableParagraph"/>
              <w:spacing w:line="163" w:lineRule="exact" w:before="121"/>
              <w:ind w:left="108"/>
              <w:rPr>
                <w:sz w:val="16"/>
              </w:rPr>
            </w:pPr>
            <w:r>
              <w:rPr>
                <w:sz w:val="16"/>
              </w:rPr>
              <w:t>https://</w:t>
            </w:r>
            <w:hyperlink r:id="rId100">
              <w:r>
                <w:rPr>
                  <w:sz w:val="16"/>
                </w:rPr>
                <w:t>www.amazon.com/ACME-15095-Bonded-Leather-White/dp/B004HM6E5M/</w:t>
              </w:r>
            </w:hyperlink>
          </w:p>
        </w:tc>
      </w:tr>
      <w:tr>
        <w:trPr>
          <w:trHeight w:val="304" w:hRule="atLeast"/>
        </w:trPr>
        <w:tc>
          <w:tcPr>
            <w:tcW w:w="689" w:type="dxa"/>
          </w:tcPr>
          <w:p>
            <w:pPr>
              <w:pStyle w:val="TableParagraph"/>
              <w:spacing w:line="163" w:lineRule="exact" w:before="121"/>
              <w:rPr>
                <w:sz w:val="16"/>
              </w:rPr>
            </w:pPr>
            <w:r>
              <w:rPr>
                <w:sz w:val="16"/>
              </w:rPr>
              <w:t>46</w:t>
            </w:r>
          </w:p>
        </w:tc>
        <w:tc>
          <w:tcPr>
            <w:tcW w:w="1610" w:type="dxa"/>
          </w:tcPr>
          <w:p>
            <w:pPr>
              <w:pStyle w:val="TableParagraph"/>
              <w:spacing w:line="163" w:lineRule="exact" w:before="121"/>
              <w:ind w:left="108"/>
              <w:rPr>
                <w:sz w:val="16"/>
              </w:rPr>
            </w:pPr>
            <w:r>
              <w:rPr>
                <w:sz w:val="16"/>
              </w:rPr>
              <w:t>Koltuk</w:t>
            </w:r>
          </w:p>
        </w:tc>
        <w:tc>
          <w:tcPr>
            <w:tcW w:w="5029" w:type="dxa"/>
          </w:tcPr>
          <w:p>
            <w:pPr>
              <w:pStyle w:val="TableParagraph"/>
              <w:spacing w:line="163" w:lineRule="exact" w:before="121"/>
              <w:ind w:left="108"/>
              <w:rPr>
                <w:sz w:val="16"/>
              </w:rPr>
            </w:pPr>
            <w:r>
              <w:rPr>
                <w:sz w:val="16"/>
              </w:rPr>
              <w:t>ACME 57071 Edana Adjustable Sofa</w:t>
            </w:r>
          </w:p>
        </w:tc>
        <w:tc>
          <w:tcPr>
            <w:tcW w:w="6212" w:type="dxa"/>
          </w:tcPr>
          <w:p>
            <w:pPr>
              <w:pStyle w:val="TableParagraph"/>
              <w:spacing w:line="163" w:lineRule="exact" w:before="121"/>
              <w:ind w:left="108"/>
              <w:rPr>
                <w:sz w:val="16"/>
              </w:rPr>
            </w:pPr>
            <w:r>
              <w:rPr>
                <w:sz w:val="16"/>
              </w:rPr>
              <w:t>https://</w:t>
            </w:r>
            <w:hyperlink r:id="rId101">
              <w:r>
                <w:rPr>
                  <w:sz w:val="16"/>
                </w:rPr>
                <w:t>www.amazon.com/ACME-57071-Edana-Adjustable-Pillows/dp/B00ALT71BQ/</w:t>
              </w:r>
            </w:hyperlink>
          </w:p>
        </w:tc>
      </w:tr>
      <w:tr>
        <w:trPr>
          <w:trHeight w:val="304" w:hRule="atLeast"/>
        </w:trPr>
        <w:tc>
          <w:tcPr>
            <w:tcW w:w="689" w:type="dxa"/>
          </w:tcPr>
          <w:p>
            <w:pPr>
              <w:pStyle w:val="TableParagraph"/>
              <w:spacing w:line="163" w:lineRule="exact" w:before="121"/>
              <w:rPr>
                <w:sz w:val="16"/>
              </w:rPr>
            </w:pPr>
            <w:r>
              <w:rPr>
                <w:sz w:val="16"/>
              </w:rPr>
              <w:t>47</w:t>
            </w:r>
          </w:p>
        </w:tc>
        <w:tc>
          <w:tcPr>
            <w:tcW w:w="1610" w:type="dxa"/>
          </w:tcPr>
          <w:p>
            <w:pPr>
              <w:pStyle w:val="TableParagraph"/>
              <w:spacing w:line="163" w:lineRule="exact" w:before="121"/>
              <w:ind w:left="108"/>
              <w:rPr>
                <w:sz w:val="16"/>
              </w:rPr>
            </w:pPr>
            <w:r>
              <w:rPr>
                <w:sz w:val="16"/>
              </w:rPr>
              <w:t>Koltuk</w:t>
            </w:r>
          </w:p>
        </w:tc>
        <w:tc>
          <w:tcPr>
            <w:tcW w:w="5029" w:type="dxa"/>
          </w:tcPr>
          <w:p>
            <w:pPr>
              <w:pStyle w:val="TableParagraph"/>
              <w:spacing w:line="163" w:lineRule="exact" w:before="121"/>
              <w:ind w:left="108"/>
              <w:rPr>
                <w:sz w:val="16"/>
              </w:rPr>
            </w:pPr>
            <w:r>
              <w:rPr>
                <w:sz w:val="16"/>
              </w:rPr>
              <w:t>ACME 05907 Reversible Chaise Sectional</w:t>
            </w:r>
          </w:p>
        </w:tc>
        <w:tc>
          <w:tcPr>
            <w:tcW w:w="6212" w:type="dxa"/>
          </w:tcPr>
          <w:p>
            <w:pPr>
              <w:pStyle w:val="TableParagraph"/>
              <w:spacing w:line="163" w:lineRule="exact" w:before="121"/>
              <w:ind w:left="108"/>
              <w:rPr>
                <w:sz w:val="16"/>
              </w:rPr>
            </w:pPr>
            <w:r>
              <w:rPr>
                <w:sz w:val="16"/>
              </w:rPr>
              <w:t>https://</w:t>
            </w:r>
            <w:hyperlink r:id="rId102">
              <w:r>
                <w:rPr>
                  <w:sz w:val="16"/>
                </w:rPr>
                <w:t>www.amazon.com/ACME-Reversible-Chaise-Sectional-Chocolate/dp/B004D38KD4/</w:t>
              </w:r>
            </w:hyperlink>
          </w:p>
        </w:tc>
      </w:tr>
      <w:tr>
        <w:trPr>
          <w:trHeight w:val="486" w:hRule="atLeast"/>
        </w:trPr>
        <w:tc>
          <w:tcPr>
            <w:tcW w:w="689" w:type="dxa"/>
          </w:tcPr>
          <w:p>
            <w:pPr>
              <w:pStyle w:val="TableParagraph"/>
              <w:spacing w:before="121"/>
              <w:rPr>
                <w:sz w:val="16"/>
              </w:rPr>
            </w:pPr>
            <w:r>
              <w:rPr>
                <w:sz w:val="16"/>
              </w:rPr>
              <w:t>48</w:t>
            </w:r>
          </w:p>
        </w:tc>
        <w:tc>
          <w:tcPr>
            <w:tcW w:w="1610" w:type="dxa"/>
          </w:tcPr>
          <w:p>
            <w:pPr>
              <w:pStyle w:val="TableParagraph"/>
              <w:spacing w:before="121"/>
              <w:ind w:left="108"/>
              <w:rPr>
                <w:sz w:val="16"/>
              </w:rPr>
            </w:pPr>
            <w:r>
              <w:rPr>
                <w:sz w:val="16"/>
              </w:rPr>
              <w:t>Koltuk</w:t>
            </w:r>
          </w:p>
        </w:tc>
        <w:tc>
          <w:tcPr>
            <w:tcW w:w="5029" w:type="dxa"/>
          </w:tcPr>
          <w:p>
            <w:pPr>
              <w:pStyle w:val="TableParagraph"/>
              <w:spacing w:before="121"/>
              <w:ind w:left="108"/>
              <w:rPr>
                <w:sz w:val="16"/>
              </w:rPr>
            </w:pPr>
            <w:r>
              <w:rPr>
                <w:sz w:val="16"/>
              </w:rPr>
              <w:t>ACME Vogue Reversible Sectional Chaise</w:t>
            </w:r>
          </w:p>
        </w:tc>
        <w:tc>
          <w:tcPr>
            <w:tcW w:w="6212" w:type="dxa"/>
          </w:tcPr>
          <w:p>
            <w:pPr>
              <w:pStyle w:val="TableParagraph"/>
              <w:spacing w:line="182" w:lineRule="exact" w:before="125"/>
              <w:ind w:left="816" w:right="1781" w:hanging="708"/>
              <w:rPr>
                <w:sz w:val="16"/>
              </w:rPr>
            </w:pPr>
            <w:r>
              <w:rPr>
                <w:sz w:val="16"/>
              </w:rPr>
              <w:t>https://</w:t>
            </w:r>
            <w:hyperlink r:id="rId103">
              <w:r>
                <w:rPr>
                  <w:sz w:val="16"/>
                </w:rPr>
                <w:t>www.amazon.com/ACME-Reversible-Sectional-Chocolate-</w:t>
              </w:r>
            </w:hyperlink>
            <w:r>
              <w:rPr>
                <w:sz w:val="16"/>
              </w:rPr>
              <w:t> Microfiber/dp/B00A7S9LC8/</w:t>
            </w:r>
          </w:p>
        </w:tc>
      </w:tr>
      <w:tr>
        <w:trPr>
          <w:trHeight w:val="302" w:hRule="atLeast"/>
        </w:trPr>
        <w:tc>
          <w:tcPr>
            <w:tcW w:w="689" w:type="dxa"/>
          </w:tcPr>
          <w:p>
            <w:pPr>
              <w:pStyle w:val="TableParagraph"/>
              <w:spacing w:line="163" w:lineRule="exact" w:before="119"/>
              <w:rPr>
                <w:sz w:val="16"/>
              </w:rPr>
            </w:pPr>
            <w:r>
              <w:rPr>
                <w:sz w:val="16"/>
              </w:rPr>
              <w:t>49</w:t>
            </w:r>
          </w:p>
        </w:tc>
        <w:tc>
          <w:tcPr>
            <w:tcW w:w="1610" w:type="dxa"/>
          </w:tcPr>
          <w:p>
            <w:pPr>
              <w:pStyle w:val="TableParagraph"/>
              <w:spacing w:line="163" w:lineRule="exact" w:before="119"/>
              <w:ind w:left="108"/>
              <w:rPr>
                <w:sz w:val="16"/>
              </w:rPr>
            </w:pPr>
            <w:r>
              <w:rPr>
                <w:sz w:val="16"/>
              </w:rPr>
              <w:t>Koltuk</w:t>
            </w:r>
          </w:p>
        </w:tc>
        <w:tc>
          <w:tcPr>
            <w:tcW w:w="5029" w:type="dxa"/>
          </w:tcPr>
          <w:p>
            <w:pPr>
              <w:pStyle w:val="TableParagraph"/>
              <w:spacing w:line="163" w:lineRule="exact" w:before="119"/>
              <w:ind w:left="108"/>
              <w:rPr>
                <w:sz w:val="16"/>
              </w:rPr>
            </w:pPr>
            <w:r>
              <w:rPr>
                <w:sz w:val="16"/>
              </w:rPr>
              <w:t>Atrana Grey Leather Stationary Sofa</w:t>
            </w:r>
          </w:p>
        </w:tc>
        <w:tc>
          <w:tcPr>
            <w:tcW w:w="6212" w:type="dxa"/>
          </w:tcPr>
          <w:p>
            <w:pPr>
              <w:pStyle w:val="TableParagraph"/>
              <w:spacing w:line="163" w:lineRule="exact" w:before="119"/>
              <w:ind w:left="108"/>
              <w:rPr>
                <w:sz w:val="16"/>
              </w:rPr>
            </w:pPr>
            <w:r>
              <w:rPr>
                <w:sz w:val="16"/>
              </w:rPr>
              <w:t>https://</w:t>
            </w:r>
            <w:hyperlink r:id="rId104">
              <w:r>
                <w:rPr>
                  <w:sz w:val="16"/>
                </w:rPr>
                <w:t>www.amazon.com/Atrana-Grey-Leather-Stationary-Sofa/dp/B01009D4SA/</w:t>
              </w:r>
            </w:hyperlink>
          </w:p>
        </w:tc>
      </w:tr>
      <w:tr>
        <w:trPr>
          <w:trHeight w:val="304" w:hRule="atLeast"/>
        </w:trPr>
        <w:tc>
          <w:tcPr>
            <w:tcW w:w="689" w:type="dxa"/>
          </w:tcPr>
          <w:p>
            <w:pPr>
              <w:pStyle w:val="TableParagraph"/>
              <w:spacing w:line="163" w:lineRule="exact" w:before="121"/>
              <w:rPr>
                <w:sz w:val="16"/>
              </w:rPr>
            </w:pPr>
            <w:r>
              <w:rPr>
                <w:sz w:val="16"/>
              </w:rPr>
              <w:t>50</w:t>
            </w:r>
          </w:p>
        </w:tc>
        <w:tc>
          <w:tcPr>
            <w:tcW w:w="1610" w:type="dxa"/>
          </w:tcPr>
          <w:p>
            <w:pPr>
              <w:pStyle w:val="TableParagraph"/>
              <w:spacing w:line="163" w:lineRule="exact" w:before="121"/>
              <w:ind w:left="108"/>
              <w:rPr>
                <w:sz w:val="16"/>
              </w:rPr>
            </w:pPr>
            <w:r>
              <w:rPr>
                <w:sz w:val="16"/>
              </w:rPr>
              <w:t>Koltuk</w:t>
            </w:r>
          </w:p>
        </w:tc>
        <w:tc>
          <w:tcPr>
            <w:tcW w:w="5029" w:type="dxa"/>
          </w:tcPr>
          <w:p>
            <w:pPr>
              <w:pStyle w:val="TableParagraph"/>
              <w:spacing w:line="163" w:lineRule="exact" w:before="121"/>
              <w:ind w:left="108"/>
              <w:rPr>
                <w:sz w:val="16"/>
              </w:rPr>
            </w:pPr>
            <w:r>
              <w:rPr>
                <w:sz w:val="16"/>
              </w:rPr>
              <w:t>Matera Collection Brown Leather Stationary Sofa</w:t>
            </w:r>
          </w:p>
        </w:tc>
        <w:tc>
          <w:tcPr>
            <w:tcW w:w="6212" w:type="dxa"/>
          </w:tcPr>
          <w:p>
            <w:pPr>
              <w:pStyle w:val="TableParagraph"/>
              <w:spacing w:line="163" w:lineRule="exact" w:before="121"/>
              <w:ind w:left="108"/>
              <w:rPr>
                <w:sz w:val="16"/>
              </w:rPr>
            </w:pPr>
            <w:r>
              <w:rPr>
                <w:sz w:val="16"/>
              </w:rPr>
              <w:t>https://</w:t>
            </w:r>
            <w:hyperlink r:id="rId105">
              <w:r>
                <w:rPr>
                  <w:sz w:val="16"/>
                </w:rPr>
                <w:t>www.amazon.com/Matera-Collection-Brown-Leather-Stationary/dp/B01009DA3O/</w:t>
              </w:r>
            </w:hyperlink>
          </w:p>
        </w:tc>
      </w:tr>
      <w:tr>
        <w:trPr>
          <w:trHeight w:val="489" w:hRule="atLeast"/>
        </w:trPr>
        <w:tc>
          <w:tcPr>
            <w:tcW w:w="689" w:type="dxa"/>
          </w:tcPr>
          <w:p>
            <w:pPr>
              <w:pStyle w:val="TableParagraph"/>
              <w:spacing w:before="121"/>
              <w:rPr>
                <w:sz w:val="16"/>
              </w:rPr>
            </w:pPr>
            <w:r>
              <w:rPr>
                <w:sz w:val="16"/>
              </w:rPr>
              <w:t>51</w:t>
            </w:r>
          </w:p>
        </w:tc>
        <w:tc>
          <w:tcPr>
            <w:tcW w:w="1610" w:type="dxa"/>
          </w:tcPr>
          <w:p>
            <w:pPr>
              <w:pStyle w:val="TableParagraph"/>
              <w:spacing w:before="121"/>
              <w:ind w:left="108"/>
              <w:rPr>
                <w:sz w:val="16"/>
              </w:rPr>
            </w:pPr>
            <w:r>
              <w:rPr>
                <w:sz w:val="16"/>
              </w:rPr>
              <w:t>Koltuk</w:t>
            </w:r>
          </w:p>
        </w:tc>
        <w:tc>
          <w:tcPr>
            <w:tcW w:w="5029" w:type="dxa"/>
          </w:tcPr>
          <w:p>
            <w:pPr>
              <w:pStyle w:val="TableParagraph"/>
              <w:spacing w:before="121"/>
              <w:ind w:left="108"/>
              <w:rPr>
                <w:sz w:val="16"/>
              </w:rPr>
            </w:pPr>
            <w:r>
              <w:rPr>
                <w:sz w:val="16"/>
              </w:rPr>
              <w:t>Natuzzi RE-VIVE Performance Recliner and Ottoman</w:t>
            </w:r>
          </w:p>
        </w:tc>
        <w:tc>
          <w:tcPr>
            <w:tcW w:w="6212" w:type="dxa"/>
          </w:tcPr>
          <w:p>
            <w:pPr>
              <w:pStyle w:val="TableParagraph"/>
              <w:spacing w:line="180" w:lineRule="atLeast" w:before="121"/>
              <w:ind w:left="816" w:right="1675" w:hanging="708"/>
              <w:rPr>
                <w:sz w:val="16"/>
              </w:rPr>
            </w:pPr>
            <w:r>
              <w:rPr>
                <w:sz w:val="16"/>
              </w:rPr>
              <w:t>https://</w:t>
            </w:r>
            <w:hyperlink r:id="rId106">
              <w:r>
                <w:rPr>
                  <w:sz w:val="16"/>
                </w:rPr>
                <w:t>www.amazon.com/Natuzzi-RE-VIVE-Performance-Recliner-</w:t>
              </w:r>
            </w:hyperlink>
            <w:r>
              <w:rPr>
                <w:sz w:val="16"/>
              </w:rPr>
              <w:t> Ottoman/dp/B00XKPJMS8/</w:t>
            </w:r>
          </w:p>
        </w:tc>
      </w:tr>
      <w:tr>
        <w:trPr>
          <w:trHeight w:val="302" w:hRule="atLeast"/>
        </w:trPr>
        <w:tc>
          <w:tcPr>
            <w:tcW w:w="689" w:type="dxa"/>
          </w:tcPr>
          <w:p>
            <w:pPr>
              <w:pStyle w:val="TableParagraph"/>
              <w:spacing w:line="163" w:lineRule="exact" w:before="119"/>
              <w:rPr>
                <w:sz w:val="16"/>
              </w:rPr>
            </w:pPr>
            <w:r>
              <w:rPr>
                <w:sz w:val="16"/>
              </w:rPr>
              <w:t>52</w:t>
            </w:r>
          </w:p>
        </w:tc>
        <w:tc>
          <w:tcPr>
            <w:tcW w:w="1610" w:type="dxa"/>
          </w:tcPr>
          <w:p>
            <w:pPr>
              <w:pStyle w:val="TableParagraph"/>
              <w:spacing w:line="163" w:lineRule="exact" w:before="119"/>
              <w:ind w:left="108"/>
              <w:rPr>
                <w:sz w:val="16"/>
              </w:rPr>
            </w:pPr>
            <w:r>
              <w:rPr>
                <w:sz w:val="16"/>
              </w:rPr>
              <w:t>Koltuk</w:t>
            </w:r>
          </w:p>
        </w:tc>
        <w:tc>
          <w:tcPr>
            <w:tcW w:w="5029" w:type="dxa"/>
          </w:tcPr>
          <w:p>
            <w:pPr>
              <w:pStyle w:val="TableParagraph"/>
              <w:spacing w:line="163" w:lineRule="exact" w:before="119"/>
              <w:ind w:left="108"/>
              <w:rPr>
                <w:sz w:val="16"/>
              </w:rPr>
            </w:pPr>
            <w:r>
              <w:rPr>
                <w:sz w:val="16"/>
              </w:rPr>
              <w:t>Serta Artesia Collection Sofa</w:t>
            </w:r>
          </w:p>
        </w:tc>
        <w:tc>
          <w:tcPr>
            <w:tcW w:w="6212" w:type="dxa"/>
          </w:tcPr>
          <w:p>
            <w:pPr>
              <w:pStyle w:val="TableParagraph"/>
              <w:spacing w:line="163" w:lineRule="exact" w:before="119"/>
              <w:ind w:left="108"/>
              <w:rPr>
                <w:sz w:val="16"/>
              </w:rPr>
            </w:pPr>
            <w:r>
              <w:rPr>
                <w:sz w:val="16"/>
              </w:rPr>
              <w:t>https://</w:t>
            </w:r>
            <w:hyperlink r:id="rId107">
              <w:r>
                <w:rPr>
                  <w:sz w:val="16"/>
                </w:rPr>
                <w:t>www.amazon.com/Serta-Artesia-Collection-Sofa-Ivory/dp/B06X1G4RVR/</w:t>
              </w:r>
            </w:hyperlink>
          </w:p>
        </w:tc>
      </w:tr>
      <w:tr>
        <w:trPr>
          <w:trHeight w:val="304" w:hRule="atLeast"/>
        </w:trPr>
        <w:tc>
          <w:tcPr>
            <w:tcW w:w="689" w:type="dxa"/>
          </w:tcPr>
          <w:p>
            <w:pPr>
              <w:pStyle w:val="TableParagraph"/>
              <w:spacing w:line="163" w:lineRule="exact" w:before="121"/>
              <w:rPr>
                <w:sz w:val="16"/>
              </w:rPr>
            </w:pPr>
            <w:r>
              <w:rPr>
                <w:sz w:val="16"/>
              </w:rPr>
              <w:t>53</w:t>
            </w:r>
          </w:p>
        </w:tc>
        <w:tc>
          <w:tcPr>
            <w:tcW w:w="1610" w:type="dxa"/>
          </w:tcPr>
          <w:p>
            <w:pPr>
              <w:pStyle w:val="TableParagraph"/>
              <w:spacing w:line="163" w:lineRule="exact" w:before="121"/>
              <w:ind w:left="108"/>
              <w:rPr>
                <w:sz w:val="16"/>
              </w:rPr>
            </w:pPr>
            <w:r>
              <w:rPr>
                <w:sz w:val="16"/>
              </w:rPr>
              <w:t>Koltuk</w:t>
            </w:r>
          </w:p>
        </w:tc>
        <w:tc>
          <w:tcPr>
            <w:tcW w:w="5029" w:type="dxa"/>
          </w:tcPr>
          <w:p>
            <w:pPr>
              <w:pStyle w:val="TableParagraph"/>
              <w:spacing w:line="163" w:lineRule="exact" w:before="121"/>
              <w:ind w:left="108"/>
              <w:rPr>
                <w:sz w:val="16"/>
              </w:rPr>
            </w:pPr>
            <w:r>
              <w:rPr>
                <w:sz w:val="16"/>
              </w:rPr>
              <w:t>Serta Charcoal Grey Boca Sofa</w:t>
            </w:r>
          </w:p>
        </w:tc>
        <w:tc>
          <w:tcPr>
            <w:tcW w:w="6212" w:type="dxa"/>
          </w:tcPr>
          <w:p>
            <w:pPr>
              <w:pStyle w:val="TableParagraph"/>
              <w:spacing w:line="163" w:lineRule="exact" w:before="121"/>
              <w:ind w:left="108"/>
              <w:rPr>
                <w:sz w:val="16"/>
              </w:rPr>
            </w:pPr>
            <w:r>
              <w:rPr>
                <w:sz w:val="16"/>
              </w:rPr>
              <w:t>https://</w:t>
            </w:r>
            <w:hyperlink r:id="rId108">
              <w:r>
                <w:rPr>
                  <w:sz w:val="16"/>
                </w:rPr>
                <w:t>www.amazon.com/Serta-Charcoal-Grey-Boca-Sofa/dp/B00AQ8DO2M/</w:t>
              </w:r>
            </w:hyperlink>
          </w:p>
        </w:tc>
      </w:tr>
      <w:tr>
        <w:trPr>
          <w:trHeight w:val="304" w:hRule="atLeast"/>
        </w:trPr>
        <w:tc>
          <w:tcPr>
            <w:tcW w:w="689" w:type="dxa"/>
          </w:tcPr>
          <w:p>
            <w:pPr>
              <w:pStyle w:val="TableParagraph"/>
              <w:spacing w:line="163" w:lineRule="exact" w:before="121"/>
              <w:rPr>
                <w:sz w:val="16"/>
              </w:rPr>
            </w:pPr>
            <w:r>
              <w:rPr>
                <w:sz w:val="16"/>
              </w:rPr>
              <w:t>54</w:t>
            </w:r>
          </w:p>
        </w:tc>
        <w:tc>
          <w:tcPr>
            <w:tcW w:w="1610" w:type="dxa"/>
          </w:tcPr>
          <w:p>
            <w:pPr>
              <w:pStyle w:val="TableParagraph"/>
              <w:spacing w:line="163" w:lineRule="exact" w:before="121"/>
              <w:ind w:left="108"/>
              <w:rPr>
                <w:sz w:val="16"/>
              </w:rPr>
            </w:pPr>
            <w:r>
              <w:rPr>
                <w:sz w:val="16"/>
              </w:rPr>
              <w:t>Koltuk</w:t>
            </w:r>
          </w:p>
        </w:tc>
        <w:tc>
          <w:tcPr>
            <w:tcW w:w="5029" w:type="dxa"/>
          </w:tcPr>
          <w:p>
            <w:pPr>
              <w:pStyle w:val="TableParagraph"/>
              <w:spacing w:line="163" w:lineRule="exact" w:before="121"/>
              <w:ind w:left="108"/>
              <w:rPr>
                <w:sz w:val="16"/>
              </w:rPr>
            </w:pPr>
            <w:r>
              <w:rPr>
                <w:sz w:val="16"/>
              </w:rPr>
              <w:t>Serta RTA Copenhagen Collection 78quot Sofa in Rye Brown</w:t>
            </w:r>
          </w:p>
        </w:tc>
        <w:tc>
          <w:tcPr>
            <w:tcW w:w="6212" w:type="dxa"/>
          </w:tcPr>
          <w:p>
            <w:pPr>
              <w:pStyle w:val="TableParagraph"/>
              <w:spacing w:line="163" w:lineRule="exact" w:before="121"/>
              <w:ind w:left="108"/>
              <w:rPr>
                <w:sz w:val="16"/>
              </w:rPr>
            </w:pPr>
            <w:r>
              <w:rPr>
                <w:sz w:val="16"/>
              </w:rPr>
              <w:t>https://</w:t>
            </w:r>
            <w:hyperlink r:id="rId109">
              <w:r>
                <w:rPr>
                  <w:sz w:val="16"/>
                </w:rPr>
                <w:t>www.amazon.com/Serta-Copenhagen-Collection-Sofa-Brown/dp/B00EUU5LA0/</w:t>
              </w:r>
            </w:hyperlink>
          </w:p>
        </w:tc>
      </w:tr>
      <w:tr>
        <w:trPr>
          <w:trHeight w:val="304" w:hRule="atLeast"/>
        </w:trPr>
        <w:tc>
          <w:tcPr>
            <w:tcW w:w="689" w:type="dxa"/>
          </w:tcPr>
          <w:p>
            <w:pPr>
              <w:pStyle w:val="TableParagraph"/>
              <w:spacing w:line="163" w:lineRule="exact" w:before="121"/>
              <w:rPr>
                <w:sz w:val="16"/>
              </w:rPr>
            </w:pPr>
            <w:r>
              <w:rPr>
                <w:sz w:val="16"/>
              </w:rPr>
              <w:t>55</w:t>
            </w:r>
          </w:p>
        </w:tc>
        <w:tc>
          <w:tcPr>
            <w:tcW w:w="1610" w:type="dxa"/>
          </w:tcPr>
          <w:p>
            <w:pPr>
              <w:pStyle w:val="TableParagraph"/>
              <w:spacing w:line="163" w:lineRule="exact" w:before="121"/>
              <w:ind w:left="108"/>
              <w:rPr>
                <w:sz w:val="16"/>
              </w:rPr>
            </w:pPr>
            <w:r>
              <w:rPr>
                <w:sz w:val="16"/>
              </w:rPr>
              <w:t>Koltuk</w:t>
            </w:r>
          </w:p>
        </w:tc>
        <w:tc>
          <w:tcPr>
            <w:tcW w:w="5029" w:type="dxa"/>
          </w:tcPr>
          <w:p>
            <w:pPr>
              <w:pStyle w:val="TableParagraph"/>
              <w:spacing w:line="163" w:lineRule="exact" w:before="121"/>
              <w:ind w:left="108"/>
              <w:rPr>
                <w:sz w:val="16"/>
              </w:rPr>
            </w:pPr>
            <w:r>
              <w:rPr>
                <w:sz w:val="16"/>
              </w:rPr>
              <w:t>Serta RTA Copenhagen Collection 78quot Sofa in Marzipan</w:t>
            </w:r>
          </w:p>
        </w:tc>
        <w:tc>
          <w:tcPr>
            <w:tcW w:w="6212" w:type="dxa"/>
          </w:tcPr>
          <w:p>
            <w:pPr>
              <w:pStyle w:val="TableParagraph"/>
              <w:spacing w:line="163" w:lineRule="exact" w:before="121"/>
              <w:ind w:left="108"/>
              <w:rPr>
                <w:sz w:val="16"/>
              </w:rPr>
            </w:pPr>
            <w:r>
              <w:rPr>
                <w:sz w:val="16"/>
              </w:rPr>
              <w:t>https://</w:t>
            </w:r>
            <w:hyperlink r:id="rId110">
              <w:r>
                <w:rPr>
                  <w:sz w:val="16"/>
                </w:rPr>
                <w:t>www.amazon.com/Serta-Copenhagen-Collection-Sofa-Marzipan/dp/B00EUU5L5A/</w:t>
              </w:r>
            </w:hyperlink>
          </w:p>
        </w:tc>
      </w:tr>
      <w:tr>
        <w:trPr>
          <w:trHeight w:val="304" w:hRule="atLeast"/>
        </w:trPr>
        <w:tc>
          <w:tcPr>
            <w:tcW w:w="689" w:type="dxa"/>
          </w:tcPr>
          <w:p>
            <w:pPr>
              <w:pStyle w:val="TableParagraph"/>
              <w:spacing w:line="163" w:lineRule="exact" w:before="121"/>
              <w:rPr>
                <w:sz w:val="16"/>
              </w:rPr>
            </w:pPr>
            <w:r>
              <w:rPr>
                <w:sz w:val="16"/>
              </w:rPr>
              <w:t>56</w:t>
            </w:r>
          </w:p>
        </w:tc>
        <w:tc>
          <w:tcPr>
            <w:tcW w:w="1610" w:type="dxa"/>
          </w:tcPr>
          <w:p>
            <w:pPr>
              <w:pStyle w:val="TableParagraph"/>
              <w:spacing w:line="163" w:lineRule="exact" w:before="121"/>
              <w:ind w:left="108"/>
              <w:rPr>
                <w:sz w:val="16"/>
              </w:rPr>
            </w:pPr>
            <w:r>
              <w:rPr>
                <w:sz w:val="16"/>
              </w:rPr>
              <w:t>Koltuk</w:t>
            </w:r>
          </w:p>
        </w:tc>
        <w:tc>
          <w:tcPr>
            <w:tcW w:w="5029" w:type="dxa"/>
          </w:tcPr>
          <w:p>
            <w:pPr>
              <w:pStyle w:val="TableParagraph"/>
              <w:spacing w:line="163" w:lineRule="exact" w:before="121"/>
              <w:ind w:left="108"/>
              <w:rPr>
                <w:sz w:val="16"/>
              </w:rPr>
            </w:pPr>
            <w:r>
              <w:rPr>
                <w:sz w:val="16"/>
              </w:rPr>
              <w:t>Serta RTA Palisades Collection 78quot Sofa in Flagstone Beige</w:t>
            </w:r>
          </w:p>
        </w:tc>
        <w:tc>
          <w:tcPr>
            <w:tcW w:w="6212" w:type="dxa"/>
          </w:tcPr>
          <w:p>
            <w:pPr>
              <w:pStyle w:val="TableParagraph"/>
              <w:spacing w:line="163" w:lineRule="exact" w:before="121"/>
              <w:ind w:left="108"/>
              <w:rPr>
                <w:sz w:val="16"/>
              </w:rPr>
            </w:pPr>
            <w:r>
              <w:rPr>
                <w:sz w:val="16"/>
              </w:rPr>
              <w:t>https://</w:t>
            </w:r>
            <w:hyperlink r:id="rId111">
              <w:r>
                <w:rPr>
                  <w:sz w:val="16"/>
                </w:rPr>
                <w:t>www.amazon.com/Serta-Palisades-Collection-Flagstone-Beige/dp/B00EUU5JDY/</w:t>
              </w:r>
            </w:hyperlink>
          </w:p>
        </w:tc>
      </w:tr>
      <w:tr>
        <w:trPr>
          <w:trHeight w:val="486" w:hRule="atLeast"/>
        </w:trPr>
        <w:tc>
          <w:tcPr>
            <w:tcW w:w="689" w:type="dxa"/>
          </w:tcPr>
          <w:p>
            <w:pPr>
              <w:pStyle w:val="TableParagraph"/>
              <w:spacing w:before="121"/>
              <w:rPr>
                <w:sz w:val="16"/>
              </w:rPr>
            </w:pPr>
            <w:r>
              <w:rPr>
                <w:sz w:val="16"/>
              </w:rPr>
              <w:t>57</w:t>
            </w:r>
          </w:p>
        </w:tc>
        <w:tc>
          <w:tcPr>
            <w:tcW w:w="1610" w:type="dxa"/>
          </w:tcPr>
          <w:p>
            <w:pPr>
              <w:pStyle w:val="TableParagraph"/>
              <w:spacing w:before="121"/>
              <w:ind w:left="108"/>
              <w:rPr>
                <w:sz w:val="16"/>
              </w:rPr>
            </w:pPr>
            <w:r>
              <w:rPr>
                <w:sz w:val="16"/>
              </w:rPr>
              <w:t>Koltuk</w:t>
            </w:r>
          </w:p>
        </w:tc>
        <w:tc>
          <w:tcPr>
            <w:tcW w:w="5029" w:type="dxa"/>
          </w:tcPr>
          <w:p>
            <w:pPr>
              <w:pStyle w:val="TableParagraph"/>
              <w:spacing w:before="121"/>
              <w:ind w:left="108"/>
              <w:rPr>
                <w:sz w:val="16"/>
              </w:rPr>
            </w:pPr>
            <w:r>
              <w:rPr>
                <w:sz w:val="16"/>
              </w:rPr>
              <w:t>Serta RTA Palisades Collection 61quot Loveseat in Riverfront Brown</w:t>
            </w:r>
          </w:p>
        </w:tc>
        <w:tc>
          <w:tcPr>
            <w:tcW w:w="6212" w:type="dxa"/>
          </w:tcPr>
          <w:p>
            <w:pPr>
              <w:pStyle w:val="TableParagraph"/>
              <w:spacing w:line="182" w:lineRule="exact" w:before="125"/>
              <w:ind w:left="816" w:right="2004" w:hanging="708"/>
              <w:rPr>
                <w:sz w:val="16"/>
              </w:rPr>
            </w:pPr>
            <w:r>
              <w:rPr>
                <w:sz w:val="16"/>
              </w:rPr>
              <w:t>https://</w:t>
            </w:r>
            <w:hyperlink r:id="rId112">
              <w:r>
                <w:rPr>
                  <w:sz w:val="16"/>
                </w:rPr>
                <w:t>www.amazon.com/Serta-Palisades-Collection-Loveseat-</w:t>
              </w:r>
            </w:hyperlink>
            <w:r>
              <w:rPr>
                <w:sz w:val="16"/>
              </w:rPr>
              <w:t> Riverfront/dp/B00EUU5HYU/</w:t>
            </w:r>
          </w:p>
        </w:tc>
      </w:tr>
      <w:tr>
        <w:trPr>
          <w:trHeight w:val="302" w:hRule="atLeast"/>
        </w:trPr>
        <w:tc>
          <w:tcPr>
            <w:tcW w:w="689" w:type="dxa"/>
          </w:tcPr>
          <w:p>
            <w:pPr>
              <w:pStyle w:val="TableParagraph"/>
              <w:spacing w:line="163" w:lineRule="exact" w:before="119"/>
              <w:rPr>
                <w:sz w:val="16"/>
              </w:rPr>
            </w:pPr>
            <w:r>
              <w:rPr>
                <w:sz w:val="16"/>
              </w:rPr>
              <w:t>58</w:t>
            </w:r>
          </w:p>
        </w:tc>
        <w:tc>
          <w:tcPr>
            <w:tcW w:w="1610" w:type="dxa"/>
          </w:tcPr>
          <w:p>
            <w:pPr>
              <w:pStyle w:val="TableParagraph"/>
              <w:spacing w:line="163" w:lineRule="exact" w:before="119"/>
              <w:ind w:left="108"/>
              <w:rPr>
                <w:sz w:val="16"/>
              </w:rPr>
            </w:pPr>
            <w:r>
              <w:rPr>
                <w:sz w:val="16"/>
              </w:rPr>
              <w:t>Koltuk</w:t>
            </w:r>
          </w:p>
        </w:tc>
        <w:tc>
          <w:tcPr>
            <w:tcW w:w="5029" w:type="dxa"/>
          </w:tcPr>
          <w:p>
            <w:pPr>
              <w:pStyle w:val="TableParagraph"/>
              <w:spacing w:line="163" w:lineRule="exact" w:before="119"/>
              <w:ind w:left="108"/>
              <w:rPr>
                <w:sz w:val="16"/>
              </w:rPr>
            </w:pPr>
            <w:r>
              <w:rPr>
                <w:sz w:val="16"/>
              </w:rPr>
              <w:t>Serta Sierra Collection Loveseat, 61quot, Ivory</w:t>
            </w:r>
          </w:p>
        </w:tc>
        <w:tc>
          <w:tcPr>
            <w:tcW w:w="6212" w:type="dxa"/>
          </w:tcPr>
          <w:p>
            <w:pPr>
              <w:pStyle w:val="TableParagraph"/>
              <w:spacing w:line="163" w:lineRule="exact" w:before="119"/>
              <w:ind w:left="108"/>
              <w:rPr>
                <w:sz w:val="16"/>
              </w:rPr>
            </w:pPr>
            <w:r>
              <w:rPr>
                <w:sz w:val="16"/>
              </w:rPr>
              <w:t>https://</w:t>
            </w:r>
            <w:hyperlink r:id="rId113">
              <w:r>
                <w:rPr>
                  <w:sz w:val="16"/>
                </w:rPr>
                <w:t>www.amazon.com/Serta-Sierra-Collection-Loveseat-Ivory/dp/B06W9PGCKJ/</w:t>
              </w:r>
            </w:hyperlink>
          </w:p>
        </w:tc>
      </w:tr>
      <w:tr>
        <w:trPr>
          <w:trHeight w:val="302" w:hRule="atLeast"/>
        </w:trPr>
        <w:tc>
          <w:tcPr>
            <w:tcW w:w="689" w:type="dxa"/>
            <w:tcBorders>
              <w:bottom w:val="single" w:sz="6" w:space="0" w:color="000000"/>
            </w:tcBorders>
          </w:tcPr>
          <w:p>
            <w:pPr>
              <w:pStyle w:val="TableParagraph"/>
              <w:spacing w:line="161" w:lineRule="exact" w:before="121"/>
              <w:rPr>
                <w:sz w:val="16"/>
              </w:rPr>
            </w:pPr>
            <w:r>
              <w:rPr>
                <w:sz w:val="16"/>
              </w:rPr>
              <w:t>59</w:t>
            </w:r>
          </w:p>
        </w:tc>
        <w:tc>
          <w:tcPr>
            <w:tcW w:w="1610" w:type="dxa"/>
            <w:tcBorders>
              <w:bottom w:val="single" w:sz="6" w:space="0" w:color="000000"/>
            </w:tcBorders>
          </w:tcPr>
          <w:p>
            <w:pPr>
              <w:pStyle w:val="TableParagraph"/>
              <w:spacing w:line="161" w:lineRule="exact" w:before="121"/>
              <w:ind w:left="108"/>
              <w:rPr>
                <w:sz w:val="16"/>
              </w:rPr>
            </w:pPr>
            <w:r>
              <w:rPr>
                <w:sz w:val="16"/>
              </w:rPr>
              <w:t>Mobilya</w:t>
            </w:r>
          </w:p>
        </w:tc>
        <w:tc>
          <w:tcPr>
            <w:tcW w:w="5029" w:type="dxa"/>
            <w:tcBorders>
              <w:bottom w:val="single" w:sz="6" w:space="0" w:color="000000"/>
            </w:tcBorders>
          </w:tcPr>
          <w:p>
            <w:pPr>
              <w:pStyle w:val="TableParagraph"/>
              <w:spacing w:line="161" w:lineRule="exact" w:before="121"/>
              <w:ind w:left="108"/>
              <w:rPr>
                <w:sz w:val="16"/>
              </w:rPr>
            </w:pPr>
            <w:r>
              <w:rPr>
                <w:sz w:val="16"/>
              </w:rPr>
              <w:t>Ashley B346-46 Saveaha Five Drawer</w:t>
            </w:r>
          </w:p>
        </w:tc>
        <w:tc>
          <w:tcPr>
            <w:tcW w:w="6212" w:type="dxa"/>
            <w:tcBorders>
              <w:bottom w:val="single" w:sz="6" w:space="0" w:color="000000"/>
            </w:tcBorders>
          </w:tcPr>
          <w:p>
            <w:pPr>
              <w:pStyle w:val="TableParagraph"/>
              <w:spacing w:line="161" w:lineRule="exact" w:before="121"/>
              <w:ind w:left="108"/>
              <w:rPr>
                <w:sz w:val="16"/>
              </w:rPr>
            </w:pPr>
            <w:r>
              <w:rPr>
                <w:sz w:val="16"/>
              </w:rPr>
              <w:t>https://</w:t>
            </w:r>
            <w:hyperlink r:id="rId114">
              <w:r>
                <w:rPr>
                  <w:sz w:val="16"/>
                </w:rPr>
                <w:t>www.amazon.com/Ashley-B346-46-Saveaha-Five-Drawer/dp/B00EUEL50G/</w:t>
              </w:r>
            </w:hyperlink>
          </w:p>
        </w:tc>
      </w:tr>
      <w:tr>
        <w:trPr>
          <w:trHeight w:val="484" w:hRule="atLeast"/>
        </w:trPr>
        <w:tc>
          <w:tcPr>
            <w:tcW w:w="689" w:type="dxa"/>
            <w:tcBorders>
              <w:top w:val="single" w:sz="6" w:space="0" w:color="000000"/>
            </w:tcBorders>
          </w:tcPr>
          <w:p>
            <w:pPr>
              <w:pStyle w:val="TableParagraph"/>
              <w:spacing w:before="119"/>
              <w:rPr>
                <w:sz w:val="16"/>
              </w:rPr>
            </w:pPr>
            <w:r>
              <w:rPr>
                <w:sz w:val="16"/>
              </w:rPr>
              <w:t>60</w:t>
            </w:r>
          </w:p>
        </w:tc>
        <w:tc>
          <w:tcPr>
            <w:tcW w:w="1610" w:type="dxa"/>
            <w:tcBorders>
              <w:top w:val="single" w:sz="6" w:space="0" w:color="000000"/>
            </w:tcBorders>
          </w:tcPr>
          <w:p>
            <w:pPr>
              <w:pStyle w:val="TableParagraph"/>
              <w:spacing w:before="119"/>
              <w:ind w:left="108"/>
              <w:rPr>
                <w:sz w:val="16"/>
              </w:rPr>
            </w:pPr>
            <w:r>
              <w:rPr>
                <w:sz w:val="16"/>
              </w:rPr>
              <w:t>Mobilya</w:t>
            </w:r>
          </w:p>
        </w:tc>
        <w:tc>
          <w:tcPr>
            <w:tcW w:w="5029" w:type="dxa"/>
            <w:tcBorders>
              <w:top w:val="single" w:sz="6" w:space="0" w:color="000000"/>
            </w:tcBorders>
          </w:tcPr>
          <w:p>
            <w:pPr>
              <w:pStyle w:val="TableParagraph"/>
              <w:spacing w:before="119"/>
              <w:ind w:left="108"/>
              <w:rPr>
                <w:sz w:val="16"/>
              </w:rPr>
            </w:pPr>
            <w:r>
              <w:rPr>
                <w:sz w:val="16"/>
              </w:rPr>
              <w:t>Ashley Bittersweet B219-46 34quot 5-Drawer Chest</w:t>
            </w:r>
          </w:p>
        </w:tc>
        <w:tc>
          <w:tcPr>
            <w:tcW w:w="6212" w:type="dxa"/>
            <w:tcBorders>
              <w:top w:val="single" w:sz="6" w:space="0" w:color="000000"/>
            </w:tcBorders>
          </w:tcPr>
          <w:p>
            <w:pPr>
              <w:pStyle w:val="TableParagraph"/>
              <w:spacing w:line="182" w:lineRule="exact" w:before="123"/>
              <w:ind w:left="816" w:right="1693" w:hanging="708"/>
              <w:rPr>
                <w:sz w:val="16"/>
              </w:rPr>
            </w:pPr>
            <w:r>
              <w:rPr>
                <w:sz w:val="16"/>
              </w:rPr>
              <w:t>https://</w:t>
            </w:r>
            <w:hyperlink r:id="rId115">
              <w:r>
                <w:rPr>
                  <w:sz w:val="16"/>
                </w:rPr>
                <w:t>www.amazon.com/Ashley-Bittersweet-5-Drawer-Replicated-</w:t>
              </w:r>
            </w:hyperlink>
            <w:r>
              <w:rPr>
                <w:sz w:val="16"/>
              </w:rPr>
              <w:t> Decorative/dp/B003CUO94S/</w:t>
            </w:r>
          </w:p>
        </w:tc>
      </w:tr>
    </w:tbl>
    <w:p>
      <w:pPr>
        <w:spacing w:after="0" w:line="182" w:lineRule="exact"/>
        <w:rPr>
          <w:sz w:val="16"/>
        </w:rPr>
        <w:sectPr>
          <w:pgSz w:w="15840" w:h="12240" w:orient="landscape"/>
          <w:pgMar w:header="718" w:footer="0" w:top="1040" w:bottom="280" w:left="1300" w:right="760"/>
        </w:sectPr>
      </w:pPr>
    </w:p>
    <w:p>
      <w:pPr>
        <w:pStyle w:val="BodyText"/>
        <w:spacing w:before="11"/>
        <w:ind w:left="0"/>
        <w:jc w:val="left"/>
        <w:rPr>
          <w:b/>
          <w:sz w:val="6"/>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9"/>
        <w:gridCol w:w="1610"/>
        <w:gridCol w:w="5029"/>
        <w:gridCol w:w="6212"/>
      </w:tblGrid>
      <w:tr>
        <w:trPr>
          <w:trHeight w:val="489" w:hRule="atLeast"/>
        </w:trPr>
        <w:tc>
          <w:tcPr>
            <w:tcW w:w="689" w:type="dxa"/>
          </w:tcPr>
          <w:p>
            <w:pPr>
              <w:pStyle w:val="TableParagraph"/>
              <w:spacing w:before="122"/>
              <w:rPr>
                <w:sz w:val="16"/>
              </w:rPr>
            </w:pPr>
            <w:r>
              <w:rPr>
                <w:sz w:val="16"/>
              </w:rPr>
              <w:t>61</w:t>
            </w:r>
          </w:p>
        </w:tc>
        <w:tc>
          <w:tcPr>
            <w:tcW w:w="1610" w:type="dxa"/>
          </w:tcPr>
          <w:p>
            <w:pPr>
              <w:pStyle w:val="TableParagraph"/>
              <w:spacing w:before="122"/>
              <w:ind w:left="108"/>
              <w:rPr>
                <w:sz w:val="16"/>
              </w:rPr>
            </w:pPr>
            <w:r>
              <w:rPr>
                <w:sz w:val="16"/>
              </w:rPr>
              <w:t>Mobilya</w:t>
            </w:r>
          </w:p>
        </w:tc>
        <w:tc>
          <w:tcPr>
            <w:tcW w:w="5029" w:type="dxa"/>
          </w:tcPr>
          <w:p>
            <w:pPr>
              <w:pStyle w:val="TableParagraph"/>
              <w:spacing w:before="122"/>
              <w:ind w:left="108"/>
              <w:rPr>
                <w:sz w:val="16"/>
              </w:rPr>
            </w:pPr>
            <w:r>
              <w:rPr>
                <w:sz w:val="16"/>
              </w:rPr>
              <w:t>Ashley Greensburg Collection B671-48 45quot Door Chest</w:t>
            </w:r>
          </w:p>
        </w:tc>
        <w:tc>
          <w:tcPr>
            <w:tcW w:w="6212" w:type="dxa"/>
          </w:tcPr>
          <w:p>
            <w:pPr>
              <w:pStyle w:val="TableParagraph"/>
              <w:spacing w:line="180" w:lineRule="atLeast" w:before="122"/>
              <w:ind w:left="816" w:right="1746" w:hanging="708"/>
              <w:rPr>
                <w:sz w:val="16"/>
              </w:rPr>
            </w:pPr>
            <w:r>
              <w:rPr>
                <w:sz w:val="16"/>
              </w:rPr>
              <w:t>https://</w:t>
            </w:r>
            <w:hyperlink r:id="rId116">
              <w:r>
                <w:rPr>
                  <w:sz w:val="16"/>
                </w:rPr>
                <w:t>www.amazon.com/Ashley-Greensburg-Collection-B671-48-</w:t>
              </w:r>
            </w:hyperlink>
            <w:r>
              <w:rPr>
                <w:sz w:val="16"/>
              </w:rPr>
              <w:t> Adjustable/dp/B008GZT6XS/</w:t>
            </w:r>
          </w:p>
        </w:tc>
      </w:tr>
      <w:tr>
        <w:trPr>
          <w:trHeight w:val="486" w:hRule="atLeast"/>
        </w:trPr>
        <w:tc>
          <w:tcPr>
            <w:tcW w:w="689" w:type="dxa"/>
          </w:tcPr>
          <w:p>
            <w:pPr>
              <w:pStyle w:val="TableParagraph"/>
              <w:spacing w:before="121"/>
              <w:rPr>
                <w:sz w:val="16"/>
              </w:rPr>
            </w:pPr>
            <w:r>
              <w:rPr>
                <w:sz w:val="16"/>
              </w:rPr>
              <w:t>62</w:t>
            </w:r>
          </w:p>
        </w:tc>
        <w:tc>
          <w:tcPr>
            <w:tcW w:w="1610" w:type="dxa"/>
          </w:tcPr>
          <w:p>
            <w:pPr>
              <w:pStyle w:val="TableParagraph"/>
              <w:spacing w:before="121"/>
              <w:ind w:left="108"/>
              <w:rPr>
                <w:sz w:val="16"/>
              </w:rPr>
            </w:pPr>
            <w:r>
              <w:rPr>
                <w:sz w:val="16"/>
              </w:rPr>
              <w:t>Mobilya</w:t>
            </w:r>
          </w:p>
        </w:tc>
        <w:tc>
          <w:tcPr>
            <w:tcW w:w="5029" w:type="dxa"/>
          </w:tcPr>
          <w:p>
            <w:pPr>
              <w:pStyle w:val="TableParagraph"/>
              <w:spacing w:before="121"/>
              <w:ind w:left="108"/>
              <w:rPr>
                <w:sz w:val="16"/>
              </w:rPr>
            </w:pPr>
            <w:r>
              <w:rPr>
                <w:sz w:val="16"/>
              </w:rPr>
              <w:t>Ashley Juararo B251-46 34quot 5-Drawer Chest</w:t>
            </w:r>
          </w:p>
        </w:tc>
        <w:tc>
          <w:tcPr>
            <w:tcW w:w="6212" w:type="dxa"/>
          </w:tcPr>
          <w:p>
            <w:pPr>
              <w:pStyle w:val="TableParagraph"/>
              <w:spacing w:line="182" w:lineRule="exact" w:before="125"/>
              <w:ind w:left="816" w:right="1453" w:hanging="708"/>
              <w:rPr>
                <w:sz w:val="16"/>
              </w:rPr>
            </w:pPr>
            <w:r>
              <w:rPr>
                <w:sz w:val="16"/>
              </w:rPr>
              <w:t>https://</w:t>
            </w:r>
            <w:hyperlink r:id="rId117">
              <w:r>
                <w:rPr>
                  <w:sz w:val="16"/>
                </w:rPr>
                <w:t>www.amazon.com/Ashley-Juararo-5-Drawer-Replicated-Pewter-</w:t>
              </w:r>
            </w:hyperlink>
            <w:r>
              <w:rPr>
                <w:sz w:val="16"/>
              </w:rPr>
              <w:t> Tone/dp/B00EUELHIG/</w:t>
            </w:r>
          </w:p>
        </w:tc>
      </w:tr>
      <w:tr>
        <w:trPr>
          <w:trHeight w:val="301" w:hRule="atLeast"/>
        </w:trPr>
        <w:tc>
          <w:tcPr>
            <w:tcW w:w="689" w:type="dxa"/>
          </w:tcPr>
          <w:p>
            <w:pPr>
              <w:pStyle w:val="TableParagraph"/>
              <w:spacing w:line="163" w:lineRule="exact" w:before="119"/>
              <w:rPr>
                <w:sz w:val="16"/>
              </w:rPr>
            </w:pPr>
            <w:r>
              <w:rPr>
                <w:sz w:val="16"/>
              </w:rPr>
              <w:t>63</w:t>
            </w:r>
          </w:p>
        </w:tc>
        <w:tc>
          <w:tcPr>
            <w:tcW w:w="1610" w:type="dxa"/>
          </w:tcPr>
          <w:p>
            <w:pPr>
              <w:pStyle w:val="TableParagraph"/>
              <w:spacing w:line="163" w:lineRule="exact" w:before="119"/>
              <w:ind w:left="108"/>
              <w:rPr>
                <w:sz w:val="16"/>
              </w:rPr>
            </w:pPr>
            <w:r>
              <w:rPr>
                <w:sz w:val="16"/>
              </w:rPr>
              <w:t>Mobilya</w:t>
            </w:r>
          </w:p>
        </w:tc>
        <w:tc>
          <w:tcPr>
            <w:tcW w:w="5029" w:type="dxa"/>
          </w:tcPr>
          <w:p>
            <w:pPr>
              <w:pStyle w:val="TableParagraph"/>
              <w:spacing w:line="163" w:lineRule="exact" w:before="119"/>
              <w:ind w:left="108"/>
              <w:rPr>
                <w:sz w:val="16"/>
              </w:rPr>
            </w:pPr>
            <w:r>
              <w:rPr>
                <w:sz w:val="16"/>
              </w:rPr>
              <w:t>Ashley B70531 Ledelle Dresser</w:t>
            </w:r>
          </w:p>
        </w:tc>
        <w:tc>
          <w:tcPr>
            <w:tcW w:w="6212" w:type="dxa"/>
          </w:tcPr>
          <w:p>
            <w:pPr>
              <w:pStyle w:val="TableParagraph"/>
              <w:spacing w:line="163" w:lineRule="exact" w:before="119"/>
              <w:ind w:left="108"/>
              <w:rPr>
                <w:sz w:val="16"/>
              </w:rPr>
            </w:pPr>
            <w:r>
              <w:rPr>
                <w:sz w:val="16"/>
              </w:rPr>
              <w:t>https://</w:t>
            </w:r>
            <w:hyperlink r:id="rId118">
              <w:r>
                <w:rPr>
                  <w:sz w:val="16"/>
                </w:rPr>
                <w:t>www.amazon.com/Ashley-Ledelle-Parquetry-Dovetail-Construction/dp/B00BLP6FJI/</w:t>
              </w:r>
            </w:hyperlink>
          </w:p>
        </w:tc>
      </w:tr>
      <w:tr>
        <w:trPr>
          <w:trHeight w:val="304" w:hRule="atLeast"/>
        </w:trPr>
        <w:tc>
          <w:tcPr>
            <w:tcW w:w="689" w:type="dxa"/>
          </w:tcPr>
          <w:p>
            <w:pPr>
              <w:pStyle w:val="TableParagraph"/>
              <w:spacing w:line="163" w:lineRule="exact" w:before="121"/>
              <w:rPr>
                <w:sz w:val="16"/>
              </w:rPr>
            </w:pPr>
            <w:r>
              <w:rPr>
                <w:sz w:val="16"/>
              </w:rPr>
              <w:t>64</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Ashley Trinell B446-21 54quot 6-Drawer Youth Dresser</w:t>
            </w:r>
          </w:p>
        </w:tc>
        <w:tc>
          <w:tcPr>
            <w:tcW w:w="6212" w:type="dxa"/>
          </w:tcPr>
          <w:p>
            <w:pPr>
              <w:pStyle w:val="TableParagraph"/>
              <w:spacing w:line="163" w:lineRule="exact" w:before="121"/>
              <w:ind w:left="108"/>
              <w:rPr>
                <w:sz w:val="16"/>
              </w:rPr>
            </w:pPr>
            <w:r>
              <w:rPr>
                <w:sz w:val="16"/>
              </w:rPr>
              <w:t>https://</w:t>
            </w:r>
            <w:hyperlink r:id="rId119">
              <w:r>
                <w:rPr>
                  <w:sz w:val="16"/>
                </w:rPr>
                <w:t>www.amazon.com/Ashley-Trinell-B446-21-6-Drawer-Replicated/dp/B010FJ1S4M/</w:t>
              </w:r>
            </w:hyperlink>
          </w:p>
        </w:tc>
      </w:tr>
      <w:tr>
        <w:trPr>
          <w:trHeight w:val="304" w:hRule="atLeast"/>
        </w:trPr>
        <w:tc>
          <w:tcPr>
            <w:tcW w:w="689" w:type="dxa"/>
          </w:tcPr>
          <w:p>
            <w:pPr>
              <w:pStyle w:val="TableParagraph"/>
              <w:spacing w:line="163" w:lineRule="exact" w:before="121"/>
              <w:rPr>
                <w:sz w:val="16"/>
              </w:rPr>
            </w:pPr>
            <w:r>
              <w:rPr>
                <w:sz w:val="16"/>
              </w:rPr>
              <w:t>65</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Series C 72W x 24D Credenza Desk</w:t>
            </w:r>
          </w:p>
        </w:tc>
        <w:tc>
          <w:tcPr>
            <w:tcW w:w="6212" w:type="dxa"/>
          </w:tcPr>
          <w:p>
            <w:pPr>
              <w:pStyle w:val="TableParagraph"/>
              <w:spacing w:line="163" w:lineRule="exact" w:before="121"/>
              <w:ind w:left="108"/>
              <w:rPr>
                <w:sz w:val="16"/>
              </w:rPr>
            </w:pPr>
            <w:r>
              <w:rPr>
                <w:sz w:val="16"/>
              </w:rPr>
              <w:t>https://</w:t>
            </w:r>
            <w:hyperlink r:id="rId120">
              <w:r>
                <w:rPr>
                  <w:sz w:val="16"/>
                </w:rPr>
                <w:t>www.amazon.com/Bush-Business-Furniture-WC24426-Series/dp/B00006RSQF/</w:t>
              </w:r>
            </w:hyperlink>
          </w:p>
        </w:tc>
      </w:tr>
      <w:tr>
        <w:trPr>
          <w:trHeight w:val="304" w:hRule="atLeast"/>
        </w:trPr>
        <w:tc>
          <w:tcPr>
            <w:tcW w:w="689" w:type="dxa"/>
          </w:tcPr>
          <w:p>
            <w:pPr>
              <w:pStyle w:val="TableParagraph"/>
              <w:spacing w:line="163" w:lineRule="exact" w:before="121"/>
              <w:rPr>
                <w:sz w:val="16"/>
              </w:rPr>
            </w:pPr>
            <w:r>
              <w:rPr>
                <w:sz w:val="16"/>
              </w:rPr>
              <w:t>66</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Series C 72W x 30D Office Desk</w:t>
            </w:r>
          </w:p>
        </w:tc>
        <w:tc>
          <w:tcPr>
            <w:tcW w:w="6212" w:type="dxa"/>
          </w:tcPr>
          <w:p>
            <w:pPr>
              <w:pStyle w:val="TableParagraph"/>
              <w:spacing w:line="163" w:lineRule="exact" w:before="121"/>
              <w:ind w:left="108"/>
              <w:rPr>
                <w:sz w:val="16"/>
              </w:rPr>
            </w:pPr>
            <w:r>
              <w:rPr>
                <w:sz w:val="16"/>
              </w:rPr>
              <w:t>https://</w:t>
            </w:r>
            <w:hyperlink r:id="rId121">
              <w:r>
                <w:rPr>
                  <w:sz w:val="16"/>
                </w:rPr>
                <w:t>www.amazon.com/Bush-Business-Furniture-WC24436-Series/dp/B00006RSQG/</w:t>
              </w:r>
            </w:hyperlink>
          </w:p>
        </w:tc>
      </w:tr>
      <w:tr>
        <w:trPr>
          <w:trHeight w:val="304" w:hRule="atLeast"/>
        </w:trPr>
        <w:tc>
          <w:tcPr>
            <w:tcW w:w="689" w:type="dxa"/>
          </w:tcPr>
          <w:p>
            <w:pPr>
              <w:pStyle w:val="TableParagraph"/>
              <w:spacing w:line="163" w:lineRule="exact" w:before="121"/>
              <w:rPr>
                <w:sz w:val="16"/>
              </w:rPr>
            </w:pPr>
            <w:r>
              <w:rPr>
                <w:sz w:val="16"/>
              </w:rPr>
              <w:t>67</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Series A 48W Desk</w:t>
            </w:r>
          </w:p>
        </w:tc>
        <w:tc>
          <w:tcPr>
            <w:tcW w:w="6212" w:type="dxa"/>
          </w:tcPr>
          <w:p>
            <w:pPr>
              <w:pStyle w:val="TableParagraph"/>
              <w:spacing w:line="163" w:lineRule="exact" w:before="121"/>
              <w:ind w:left="108"/>
              <w:rPr>
                <w:sz w:val="16"/>
              </w:rPr>
            </w:pPr>
            <w:r>
              <w:rPr>
                <w:sz w:val="16"/>
              </w:rPr>
              <w:t>https://</w:t>
            </w:r>
            <w:hyperlink r:id="rId122">
              <w:r>
                <w:rPr>
                  <w:sz w:val="16"/>
                </w:rPr>
                <w:t>www.amazon.com/Bush-Business-Furniture-WC57448-Series/dp/B000W8LERI/</w:t>
              </w:r>
            </w:hyperlink>
          </w:p>
        </w:tc>
      </w:tr>
      <w:tr>
        <w:trPr>
          <w:trHeight w:val="302" w:hRule="atLeast"/>
        </w:trPr>
        <w:tc>
          <w:tcPr>
            <w:tcW w:w="689" w:type="dxa"/>
          </w:tcPr>
          <w:p>
            <w:pPr>
              <w:pStyle w:val="TableParagraph"/>
              <w:spacing w:line="163" w:lineRule="exact" w:before="120"/>
              <w:rPr>
                <w:sz w:val="16"/>
              </w:rPr>
            </w:pPr>
            <w:r>
              <w:rPr>
                <w:sz w:val="16"/>
              </w:rPr>
              <w:t>68</w:t>
            </w:r>
          </w:p>
        </w:tc>
        <w:tc>
          <w:tcPr>
            <w:tcW w:w="1610" w:type="dxa"/>
          </w:tcPr>
          <w:p>
            <w:pPr>
              <w:pStyle w:val="TableParagraph"/>
              <w:spacing w:line="163" w:lineRule="exact" w:before="120"/>
              <w:ind w:left="108"/>
              <w:rPr>
                <w:sz w:val="16"/>
              </w:rPr>
            </w:pPr>
            <w:r>
              <w:rPr>
                <w:sz w:val="16"/>
              </w:rPr>
              <w:t>Mobilya</w:t>
            </w:r>
          </w:p>
        </w:tc>
        <w:tc>
          <w:tcPr>
            <w:tcW w:w="5029" w:type="dxa"/>
          </w:tcPr>
          <w:p>
            <w:pPr>
              <w:pStyle w:val="TableParagraph"/>
              <w:spacing w:line="163" w:lineRule="exact" w:before="120"/>
              <w:ind w:left="108"/>
              <w:rPr>
                <w:sz w:val="16"/>
              </w:rPr>
            </w:pPr>
            <w:r>
              <w:rPr>
                <w:sz w:val="16"/>
              </w:rPr>
              <w:t>Series A 36W Desk</w:t>
            </w:r>
          </w:p>
        </w:tc>
        <w:tc>
          <w:tcPr>
            <w:tcW w:w="6212" w:type="dxa"/>
          </w:tcPr>
          <w:p>
            <w:pPr>
              <w:pStyle w:val="TableParagraph"/>
              <w:spacing w:line="163" w:lineRule="exact" w:before="120"/>
              <w:ind w:left="108"/>
              <w:rPr>
                <w:sz w:val="16"/>
              </w:rPr>
            </w:pPr>
            <w:r>
              <w:rPr>
                <w:sz w:val="16"/>
              </w:rPr>
              <w:t>https://</w:t>
            </w:r>
            <w:hyperlink r:id="rId123">
              <w:r>
                <w:rPr>
                  <w:sz w:val="16"/>
                </w:rPr>
                <w:t>www.amazon.com/Bush-Business-Furniture-WC8436A-Series/dp/B000W8OXCG/</w:t>
              </w:r>
            </w:hyperlink>
          </w:p>
        </w:tc>
      </w:tr>
      <w:tr>
        <w:trPr>
          <w:trHeight w:val="304" w:hRule="atLeast"/>
        </w:trPr>
        <w:tc>
          <w:tcPr>
            <w:tcW w:w="689" w:type="dxa"/>
          </w:tcPr>
          <w:p>
            <w:pPr>
              <w:pStyle w:val="TableParagraph"/>
              <w:spacing w:line="163" w:lineRule="exact" w:before="121"/>
              <w:rPr>
                <w:sz w:val="16"/>
              </w:rPr>
            </w:pPr>
            <w:r>
              <w:rPr>
                <w:sz w:val="16"/>
              </w:rPr>
              <w:t>69</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Series A 60W Desk</w:t>
            </w:r>
          </w:p>
        </w:tc>
        <w:tc>
          <w:tcPr>
            <w:tcW w:w="6212" w:type="dxa"/>
          </w:tcPr>
          <w:p>
            <w:pPr>
              <w:pStyle w:val="TableParagraph"/>
              <w:spacing w:line="163" w:lineRule="exact" w:before="121"/>
              <w:ind w:left="108"/>
              <w:rPr>
                <w:sz w:val="16"/>
              </w:rPr>
            </w:pPr>
            <w:r>
              <w:rPr>
                <w:sz w:val="16"/>
              </w:rPr>
              <w:t>https://</w:t>
            </w:r>
            <w:hyperlink r:id="rId124">
              <w:r>
                <w:rPr>
                  <w:sz w:val="16"/>
                </w:rPr>
                <w:t>www.amazon.com/Bush-Business-Furniture-WC90460A-Series/dp/B000W8N2J6/</w:t>
              </w:r>
            </w:hyperlink>
          </w:p>
        </w:tc>
      </w:tr>
      <w:tr>
        <w:trPr>
          <w:trHeight w:val="304" w:hRule="atLeast"/>
        </w:trPr>
        <w:tc>
          <w:tcPr>
            <w:tcW w:w="689" w:type="dxa"/>
          </w:tcPr>
          <w:p>
            <w:pPr>
              <w:pStyle w:val="TableParagraph"/>
              <w:spacing w:line="163" w:lineRule="exact" w:before="121"/>
              <w:rPr>
                <w:sz w:val="16"/>
              </w:rPr>
            </w:pPr>
            <w:r>
              <w:rPr>
                <w:sz w:val="16"/>
              </w:rPr>
              <w:t>70</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Series A 72W Desk</w:t>
            </w:r>
          </w:p>
        </w:tc>
        <w:tc>
          <w:tcPr>
            <w:tcW w:w="6212" w:type="dxa"/>
          </w:tcPr>
          <w:p>
            <w:pPr>
              <w:pStyle w:val="TableParagraph"/>
              <w:spacing w:line="163" w:lineRule="exact" w:before="121"/>
              <w:ind w:left="108"/>
              <w:rPr>
                <w:sz w:val="16"/>
              </w:rPr>
            </w:pPr>
            <w:r>
              <w:rPr>
                <w:sz w:val="16"/>
              </w:rPr>
              <w:t>https://</w:t>
            </w:r>
            <w:hyperlink r:id="rId125">
              <w:r>
                <w:rPr>
                  <w:sz w:val="16"/>
                </w:rPr>
                <w:t>www.amazon.com/Bush-Business-Furniture-WC94472-Series/dp/B000W8I1D8/</w:t>
              </w:r>
            </w:hyperlink>
          </w:p>
        </w:tc>
      </w:tr>
      <w:tr>
        <w:trPr>
          <w:trHeight w:val="304" w:hRule="atLeast"/>
        </w:trPr>
        <w:tc>
          <w:tcPr>
            <w:tcW w:w="689" w:type="dxa"/>
          </w:tcPr>
          <w:p>
            <w:pPr>
              <w:pStyle w:val="TableParagraph"/>
              <w:spacing w:line="163" w:lineRule="exact" w:before="121"/>
              <w:rPr>
                <w:sz w:val="16"/>
              </w:rPr>
            </w:pPr>
            <w:r>
              <w:rPr>
                <w:sz w:val="16"/>
              </w:rPr>
              <w:t>71</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Coaster 103061 Home Furnishings Dining Table</w:t>
            </w:r>
          </w:p>
        </w:tc>
        <w:tc>
          <w:tcPr>
            <w:tcW w:w="6212" w:type="dxa"/>
          </w:tcPr>
          <w:p>
            <w:pPr>
              <w:pStyle w:val="TableParagraph"/>
              <w:spacing w:line="163" w:lineRule="exact" w:before="121"/>
              <w:ind w:left="108"/>
              <w:rPr>
                <w:sz w:val="16"/>
              </w:rPr>
            </w:pPr>
            <w:r>
              <w:rPr>
                <w:sz w:val="16"/>
              </w:rPr>
              <w:t>https://</w:t>
            </w:r>
            <w:hyperlink r:id="rId126">
              <w:r>
                <w:rPr>
                  <w:sz w:val="16"/>
                </w:rPr>
                <w:t>www.amazon.com/Coaster-103061-Home-Furnishings-Chestnut/dp/B00J9YT99G/</w:t>
              </w:r>
            </w:hyperlink>
          </w:p>
        </w:tc>
      </w:tr>
      <w:tr>
        <w:trPr>
          <w:trHeight w:val="304" w:hRule="atLeast"/>
        </w:trPr>
        <w:tc>
          <w:tcPr>
            <w:tcW w:w="689" w:type="dxa"/>
          </w:tcPr>
          <w:p>
            <w:pPr>
              <w:pStyle w:val="TableParagraph"/>
              <w:spacing w:line="163" w:lineRule="exact" w:before="121"/>
              <w:rPr>
                <w:sz w:val="16"/>
              </w:rPr>
            </w:pPr>
            <w:r>
              <w:rPr>
                <w:sz w:val="16"/>
              </w:rPr>
              <w:t>72</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Coaster Counter Height Dining</w:t>
            </w:r>
          </w:p>
        </w:tc>
        <w:tc>
          <w:tcPr>
            <w:tcW w:w="6212" w:type="dxa"/>
          </w:tcPr>
          <w:p>
            <w:pPr>
              <w:pStyle w:val="TableParagraph"/>
              <w:spacing w:line="163" w:lineRule="exact" w:before="121"/>
              <w:ind w:left="108"/>
              <w:rPr>
                <w:sz w:val="16"/>
              </w:rPr>
            </w:pPr>
            <w:r>
              <w:rPr>
                <w:sz w:val="16"/>
              </w:rPr>
              <w:t>https://</w:t>
            </w:r>
            <w:hyperlink r:id="rId127">
              <w:r>
                <w:rPr>
                  <w:sz w:val="16"/>
                </w:rPr>
                <w:t>www.amazon.com/Coaster-Counter-Height-Extension-Cappuccino/dp/B0054H3ZO2/</w:t>
              </w:r>
            </w:hyperlink>
          </w:p>
        </w:tc>
      </w:tr>
      <w:tr>
        <w:trPr>
          <w:trHeight w:val="304" w:hRule="atLeast"/>
        </w:trPr>
        <w:tc>
          <w:tcPr>
            <w:tcW w:w="689" w:type="dxa"/>
          </w:tcPr>
          <w:p>
            <w:pPr>
              <w:pStyle w:val="TableParagraph"/>
              <w:spacing w:line="163" w:lineRule="exact" w:before="121"/>
              <w:rPr>
                <w:sz w:val="16"/>
              </w:rPr>
            </w:pPr>
            <w:r>
              <w:rPr>
                <w:sz w:val="16"/>
              </w:rPr>
              <w:t>73</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Coaster Country Butcher Block Oak and White Finish Wood Dining Table</w:t>
            </w:r>
          </w:p>
        </w:tc>
        <w:tc>
          <w:tcPr>
            <w:tcW w:w="6212" w:type="dxa"/>
          </w:tcPr>
          <w:p>
            <w:pPr>
              <w:pStyle w:val="TableParagraph"/>
              <w:spacing w:line="163" w:lineRule="exact" w:before="121"/>
              <w:ind w:left="108"/>
              <w:rPr>
                <w:sz w:val="16"/>
              </w:rPr>
            </w:pPr>
            <w:r>
              <w:rPr>
                <w:sz w:val="16"/>
              </w:rPr>
              <w:t>https://</w:t>
            </w:r>
            <w:hyperlink r:id="rId128">
              <w:r>
                <w:rPr>
                  <w:sz w:val="16"/>
                </w:rPr>
                <w:t>www.amazon.com/Coaster-Country-Butcher-Finish-Dining/dp/B0002KNMJO/</w:t>
              </w:r>
            </w:hyperlink>
          </w:p>
        </w:tc>
      </w:tr>
      <w:tr>
        <w:trPr>
          <w:trHeight w:val="302" w:hRule="atLeast"/>
        </w:trPr>
        <w:tc>
          <w:tcPr>
            <w:tcW w:w="689" w:type="dxa"/>
          </w:tcPr>
          <w:p>
            <w:pPr>
              <w:pStyle w:val="TableParagraph"/>
              <w:spacing w:line="163" w:lineRule="exact" w:before="119"/>
              <w:rPr>
                <w:sz w:val="16"/>
              </w:rPr>
            </w:pPr>
            <w:r>
              <w:rPr>
                <w:sz w:val="16"/>
              </w:rPr>
              <w:t>74</w:t>
            </w:r>
          </w:p>
        </w:tc>
        <w:tc>
          <w:tcPr>
            <w:tcW w:w="1610" w:type="dxa"/>
          </w:tcPr>
          <w:p>
            <w:pPr>
              <w:pStyle w:val="TableParagraph"/>
              <w:spacing w:line="163" w:lineRule="exact" w:before="119"/>
              <w:ind w:left="108"/>
              <w:rPr>
                <w:sz w:val="16"/>
              </w:rPr>
            </w:pPr>
            <w:r>
              <w:rPr>
                <w:sz w:val="16"/>
              </w:rPr>
              <w:t>Mobilya</w:t>
            </w:r>
          </w:p>
        </w:tc>
        <w:tc>
          <w:tcPr>
            <w:tcW w:w="5029" w:type="dxa"/>
          </w:tcPr>
          <w:p>
            <w:pPr>
              <w:pStyle w:val="TableParagraph"/>
              <w:spacing w:line="163" w:lineRule="exact" w:before="119"/>
              <w:ind w:left="108"/>
              <w:rPr>
                <w:sz w:val="16"/>
              </w:rPr>
            </w:pPr>
            <w:r>
              <w:rPr>
                <w:sz w:val="16"/>
              </w:rPr>
              <w:t>Coaster Home Furnishings 101071 Casual Dining Table Base</w:t>
            </w:r>
          </w:p>
        </w:tc>
        <w:tc>
          <w:tcPr>
            <w:tcW w:w="6212" w:type="dxa"/>
          </w:tcPr>
          <w:p>
            <w:pPr>
              <w:pStyle w:val="TableParagraph"/>
              <w:spacing w:line="163" w:lineRule="exact" w:before="119"/>
              <w:ind w:left="108"/>
              <w:rPr>
                <w:sz w:val="16"/>
              </w:rPr>
            </w:pPr>
            <w:r>
              <w:rPr>
                <w:sz w:val="16"/>
              </w:rPr>
              <w:t>https://</w:t>
            </w:r>
            <w:hyperlink r:id="rId129">
              <w:r>
                <w:rPr>
                  <w:sz w:val="16"/>
                </w:rPr>
                <w:t>www.amazon.com/Coaster-Home-Furnishings-101071-included/dp/B00RHPL7ZS/</w:t>
              </w:r>
            </w:hyperlink>
          </w:p>
        </w:tc>
      </w:tr>
      <w:tr>
        <w:trPr>
          <w:trHeight w:val="489" w:hRule="atLeast"/>
        </w:trPr>
        <w:tc>
          <w:tcPr>
            <w:tcW w:w="689" w:type="dxa"/>
          </w:tcPr>
          <w:p>
            <w:pPr>
              <w:pStyle w:val="TableParagraph"/>
              <w:spacing w:before="121"/>
              <w:rPr>
                <w:sz w:val="16"/>
              </w:rPr>
            </w:pPr>
            <w:r>
              <w:rPr>
                <w:sz w:val="16"/>
              </w:rPr>
              <w:t>75</w:t>
            </w:r>
          </w:p>
        </w:tc>
        <w:tc>
          <w:tcPr>
            <w:tcW w:w="1610" w:type="dxa"/>
          </w:tcPr>
          <w:p>
            <w:pPr>
              <w:pStyle w:val="TableParagraph"/>
              <w:spacing w:before="121"/>
              <w:ind w:left="108"/>
              <w:rPr>
                <w:sz w:val="16"/>
              </w:rPr>
            </w:pPr>
            <w:r>
              <w:rPr>
                <w:sz w:val="16"/>
              </w:rPr>
              <w:t>Mobilya</w:t>
            </w:r>
          </w:p>
        </w:tc>
        <w:tc>
          <w:tcPr>
            <w:tcW w:w="5029" w:type="dxa"/>
          </w:tcPr>
          <w:p>
            <w:pPr>
              <w:pStyle w:val="TableParagraph"/>
              <w:spacing w:before="121"/>
              <w:ind w:left="108"/>
              <w:rPr>
                <w:sz w:val="16"/>
              </w:rPr>
            </w:pPr>
            <w:r>
              <w:rPr>
                <w:sz w:val="16"/>
              </w:rPr>
              <w:t>Coaster Hyde Rectangular Casual Dining Leg Table</w:t>
            </w:r>
          </w:p>
        </w:tc>
        <w:tc>
          <w:tcPr>
            <w:tcW w:w="6212" w:type="dxa"/>
          </w:tcPr>
          <w:p>
            <w:pPr>
              <w:pStyle w:val="TableParagraph"/>
              <w:spacing w:line="180" w:lineRule="atLeast" w:before="121"/>
              <w:ind w:left="816" w:right="2030" w:hanging="708"/>
              <w:rPr>
                <w:sz w:val="16"/>
              </w:rPr>
            </w:pPr>
            <w:r>
              <w:rPr>
                <w:sz w:val="16"/>
              </w:rPr>
              <w:t>https://</w:t>
            </w:r>
            <w:hyperlink r:id="rId130">
              <w:r>
                <w:rPr>
                  <w:sz w:val="16"/>
                </w:rPr>
                <w:t>www.amazon.com/Coaster-Rectangular-Casual-Dining-</w:t>
              </w:r>
            </w:hyperlink>
            <w:r>
              <w:rPr>
                <w:sz w:val="16"/>
              </w:rPr>
              <w:t> Cappuccino/dp/B002PBN70W/</w:t>
            </w:r>
          </w:p>
        </w:tc>
      </w:tr>
      <w:tr>
        <w:trPr>
          <w:trHeight w:val="304" w:hRule="atLeast"/>
        </w:trPr>
        <w:tc>
          <w:tcPr>
            <w:tcW w:w="689" w:type="dxa"/>
          </w:tcPr>
          <w:p>
            <w:pPr>
              <w:pStyle w:val="TableParagraph"/>
              <w:spacing w:line="163" w:lineRule="exact" w:before="122"/>
              <w:rPr>
                <w:sz w:val="16"/>
              </w:rPr>
            </w:pPr>
            <w:r>
              <w:rPr>
                <w:sz w:val="16"/>
              </w:rPr>
              <w:t>76</w:t>
            </w:r>
          </w:p>
        </w:tc>
        <w:tc>
          <w:tcPr>
            <w:tcW w:w="1610" w:type="dxa"/>
          </w:tcPr>
          <w:p>
            <w:pPr>
              <w:pStyle w:val="TableParagraph"/>
              <w:spacing w:line="163" w:lineRule="exact" w:before="122"/>
              <w:ind w:left="108"/>
              <w:rPr>
                <w:sz w:val="16"/>
              </w:rPr>
            </w:pPr>
            <w:r>
              <w:rPr>
                <w:sz w:val="16"/>
              </w:rPr>
              <w:t>Mobilya</w:t>
            </w:r>
          </w:p>
        </w:tc>
        <w:tc>
          <w:tcPr>
            <w:tcW w:w="5029" w:type="dxa"/>
          </w:tcPr>
          <w:p>
            <w:pPr>
              <w:pStyle w:val="TableParagraph"/>
              <w:spacing w:line="163" w:lineRule="exact" w:before="122"/>
              <w:ind w:left="108"/>
              <w:rPr>
                <w:sz w:val="16"/>
              </w:rPr>
            </w:pPr>
            <w:r>
              <w:rPr>
                <w:sz w:val="16"/>
              </w:rPr>
              <w:t>Ashley Furniture Signature Design</w:t>
            </w:r>
          </w:p>
        </w:tc>
        <w:tc>
          <w:tcPr>
            <w:tcW w:w="6212" w:type="dxa"/>
          </w:tcPr>
          <w:p>
            <w:pPr>
              <w:pStyle w:val="TableParagraph"/>
              <w:spacing w:line="163" w:lineRule="exact" w:before="122"/>
              <w:ind w:left="108"/>
              <w:rPr>
                <w:sz w:val="16"/>
              </w:rPr>
            </w:pPr>
            <w:r>
              <w:rPr>
                <w:sz w:val="16"/>
              </w:rPr>
              <w:t>https://</w:t>
            </w:r>
            <w:hyperlink r:id="rId131">
              <w:r>
                <w:rPr>
                  <w:sz w:val="16"/>
                </w:rPr>
                <w:t>www.amazon.com/Demarlos-Parchment-White-Night-Table/dp/B00IRY4WSM/</w:t>
              </w:r>
            </w:hyperlink>
          </w:p>
        </w:tc>
      </w:tr>
      <w:tr>
        <w:trPr>
          <w:trHeight w:val="304" w:hRule="atLeast"/>
        </w:trPr>
        <w:tc>
          <w:tcPr>
            <w:tcW w:w="689" w:type="dxa"/>
          </w:tcPr>
          <w:p>
            <w:pPr>
              <w:pStyle w:val="TableParagraph"/>
              <w:spacing w:line="163" w:lineRule="exact" w:before="121"/>
              <w:rPr>
                <w:sz w:val="16"/>
              </w:rPr>
            </w:pPr>
            <w:r>
              <w:rPr>
                <w:sz w:val="16"/>
              </w:rPr>
              <w:t>77</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East West Furniture AVT-BLK-TP Oval Table</w:t>
            </w:r>
          </w:p>
        </w:tc>
        <w:tc>
          <w:tcPr>
            <w:tcW w:w="6212" w:type="dxa"/>
          </w:tcPr>
          <w:p>
            <w:pPr>
              <w:pStyle w:val="TableParagraph"/>
              <w:spacing w:line="163" w:lineRule="exact" w:before="121"/>
              <w:ind w:left="108"/>
              <w:rPr>
                <w:sz w:val="16"/>
              </w:rPr>
            </w:pPr>
            <w:r>
              <w:rPr>
                <w:sz w:val="16"/>
              </w:rPr>
              <w:t>https://</w:t>
            </w:r>
            <w:hyperlink r:id="rId132">
              <w:r>
                <w:rPr>
                  <w:sz w:val="16"/>
                </w:rPr>
                <w:t>www.amazon.com/East-West-Furniture-AVT-BLK-TP-Butterfly/dp/B00TV475QS/</w:t>
              </w:r>
            </w:hyperlink>
          </w:p>
        </w:tc>
      </w:tr>
      <w:tr>
        <w:trPr>
          <w:trHeight w:val="301" w:hRule="atLeast"/>
        </w:trPr>
        <w:tc>
          <w:tcPr>
            <w:tcW w:w="689" w:type="dxa"/>
          </w:tcPr>
          <w:p>
            <w:pPr>
              <w:pStyle w:val="TableParagraph"/>
              <w:spacing w:line="163" w:lineRule="exact" w:before="119"/>
              <w:rPr>
                <w:sz w:val="16"/>
              </w:rPr>
            </w:pPr>
            <w:r>
              <w:rPr>
                <w:sz w:val="16"/>
              </w:rPr>
              <w:t>78</w:t>
            </w:r>
          </w:p>
        </w:tc>
        <w:tc>
          <w:tcPr>
            <w:tcW w:w="1610" w:type="dxa"/>
          </w:tcPr>
          <w:p>
            <w:pPr>
              <w:pStyle w:val="TableParagraph"/>
              <w:spacing w:line="163" w:lineRule="exact" w:before="119"/>
              <w:ind w:left="108"/>
              <w:rPr>
                <w:sz w:val="16"/>
              </w:rPr>
            </w:pPr>
            <w:r>
              <w:rPr>
                <w:sz w:val="16"/>
              </w:rPr>
              <w:t>Mobilya</w:t>
            </w:r>
          </w:p>
        </w:tc>
        <w:tc>
          <w:tcPr>
            <w:tcW w:w="5029" w:type="dxa"/>
          </w:tcPr>
          <w:p>
            <w:pPr>
              <w:pStyle w:val="TableParagraph"/>
              <w:spacing w:line="163" w:lineRule="exact" w:before="119"/>
              <w:ind w:left="108"/>
              <w:rPr>
                <w:sz w:val="16"/>
              </w:rPr>
            </w:pPr>
            <w:r>
              <w:rPr>
                <w:sz w:val="16"/>
              </w:rPr>
              <w:t>East West Furniture DLT-WHI-TP Round Table</w:t>
            </w:r>
          </w:p>
        </w:tc>
        <w:tc>
          <w:tcPr>
            <w:tcW w:w="6212" w:type="dxa"/>
          </w:tcPr>
          <w:p>
            <w:pPr>
              <w:pStyle w:val="TableParagraph"/>
              <w:spacing w:line="163" w:lineRule="exact" w:before="119"/>
              <w:ind w:left="108"/>
              <w:rPr>
                <w:sz w:val="16"/>
              </w:rPr>
            </w:pPr>
            <w:r>
              <w:rPr>
                <w:sz w:val="16"/>
              </w:rPr>
              <w:t>https://</w:t>
            </w:r>
            <w:hyperlink r:id="rId133">
              <w:r>
                <w:rPr>
                  <w:sz w:val="16"/>
                </w:rPr>
                <w:t>www.amazon.com/East-West-Furniture-DLT-WHI-TP-9-Inch/dp/B00TV47AA4/</w:t>
              </w:r>
            </w:hyperlink>
          </w:p>
        </w:tc>
      </w:tr>
      <w:tr>
        <w:trPr>
          <w:trHeight w:val="304" w:hRule="atLeast"/>
        </w:trPr>
        <w:tc>
          <w:tcPr>
            <w:tcW w:w="689" w:type="dxa"/>
          </w:tcPr>
          <w:p>
            <w:pPr>
              <w:pStyle w:val="TableParagraph"/>
              <w:spacing w:line="163" w:lineRule="exact" w:before="121"/>
              <w:rPr>
                <w:sz w:val="16"/>
              </w:rPr>
            </w:pPr>
            <w:r>
              <w:rPr>
                <w:sz w:val="16"/>
              </w:rPr>
              <w:t>79</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East West Furniture HLT-CAP-T Round Table</w:t>
            </w:r>
          </w:p>
        </w:tc>
        <w:tc>
          <w:tcPr>
            <w:tcW w:w="6212" w:type="dxa"/>
          </w:tcPr>
          <w:p>
            <w:pPr>
              <w:pStyle w:val="TableParagraph"/>
              <w:spacing w:line="163" w:lineRule="exact" w:before="121"/>
              <w:ind w:left="108"/>
              <w:rPr>
                <w:sz w:val="16"/>
              </w:rPr>
            </w:pPr>
            <w:r>
              <w:rPr>
                <w:sz w:val="16"/>
              </w:rPr>
              <w:t>https://</w:t>
            </w:r>
            <w:hyperlink r:id="rId134">
              <w:r>
                <w:rPr>
                  <w:sz w:val="16"/>
                </w:rPr>
                <w:t>www.amazon.com/East-West-Furniture-HLT-CAP-T-Cappuccino/dp/B00TV47CQQ/</w:t>
              </w:r>
            </w:hyperlink>
          </w:p>
        </w:tc>
      </w:tr>
      <w:tr>
        <w:trPr>
          <w:trHeight w:val="304" w:hRule="atLeast"/>
        </w:trPr>
        <w:tc>
          <w:tcPr>
            <w:tcW w:w="689" w:type="dxa"/>
          </w:tcPr>
          <w:p>
            <w:pPr>
              <w:pStyle w:val="TableParagraph"/>
              <w:spacing w:line="163" w:lineRule="exact" w:before="121"/>
              <w:rPr>
                <w:sz w:val="16"/>
              </w:rPr>
            </w:pPr>
            <w:r>
              <w:rPr>
                <w:sz w:val="16"/>
              </w:rPr>
              <w:t>80</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East West Furniture KET-ESP-TP</w:t>
            </w:r>
          </w:p>
        </w:tc>
        <w:tc>
          <w:tcPr>
            <w:tcW w:w="6212" w:type="dxa"/>
          </w:tcPr>
          <w:p>
            <w:pPr>
              <w:pStyle w:val="TableParagraph"/>
              <w:spacing w:line="163" w:lineRule="exact" w:before="121"/>
              <w:ind w:left="108"/>
              <w:rPr>
                <w:sz w:val="16"/>
              </w:rPr>
            </w:pPr>
            <w:r>
              <w:rPr>
                <w:sz w:val="16"/>
              </w:rPr>
              <w:t>https://</w:t>
            </w:r>
            <w:hyperlink r:id="rId135">
              <w:r>
                <w:rPr>
                  <w:sz w:val="16"/>
                </w:rPr>
                <w:t>www.amazon.com/East-West-Furniture-KET-ESP-TP-Butterfly/dp/B01GTQF3B4/</w:t>
              </w:r>
            </w:hyperlink>
          </w:p>
        </w:tc>
      </w:tr>
      <w:tr>
        <w:trPr>
          <w:trHeight w:val="304" w:hRule="atLeast"/>
        </w:trPr>
        <w:tc>
          <w:tcPr>
            <w:tcW w:w="689" w:type="dxa"/>
          </w:tcPr>
          <w:p>
            <w:pPr>
              <w:pStyle w:val="TableParagraph"/>
              <w:spacing w:line="163" w:lineRule="exact" w:before="121"/>
              <w:rPr>
                <w:sz w:val="16"/>
              </w:rPr>
            </w:pPr>
            <w:r>
              <w:rPr>
                <w:sz w:val="16"/>
              </w:rPr>
              <w:t>81</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East West Furniture LYT-CAP-T</w:t>
            </w:r>
          </w:p>
        </w:tc>
        <w:tc>
          <w:tcPr>
            <w:tcW w:w="6212" w:type="dxa"/>
          </w:tcPr>
          <w:p>
            <w:pPr>
              <w:pStyle w:val="TableParagraph"/>
              <w:spacing w:line="163" w:lineRule="exact" w:before="121"/>
              <w:ind w:left="108"/>
              <w:rPr>
                <w:sz w:val="16"/>
              </w:rPr>
            </w:pPr>
            <w:r>
              <w:rPr>
                <w:sz w:val="16"/>
              </w:rPr>
              <w:t>https://</w:t>
            </w:r>
            <w:hyperlink r:id="rId136">
              <w:r>
                <w:rPr>
                  <w:sz w:val="16"/>
                </w:rPr>
                <w:t>www.amazon.com/East-West-Furniture-LYT-CAP-T-Rectangular/dp/B00TV47CV6/</w:t>
              </w:r>
            </w:hyperlink>
          </w:p>
        </w:tc>
      </w:tr>
      <w:tr>
        <w:trPr>
          <w:trHeight w:val="304" w:hRule="atLeast"/>
        </w:trPr>
        <w:tc>
          <w:tcPr>
            <w:tcW w:w="689" w:type="dxa"/>
          </w:tcPr>
          <w:p>
            <w:pPr>
              <w:pStyle w:val="TableParagraph"/>
              <w:spacing w:line="163" w:lineRule="exact" w:before="121"/>
              <w:rPr>
                <w:sz w:val="16"/>
              </w:rPr>
            </w:pPr>
            <w:r>
              <w:rPr>
                <w:sz w:val="16"/>
              </w:rPr>
              <w:t>82</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East West Furniture TRT-BLK-TP</w:t>
            </w:r>
          </w:p>
        </w:tc>
        <w:tc>
          <w:tcPr>
            <w:tcW w:w="6212" w:type="dxa"/>
          </w:tcPr>
          <w:p>
            <w:pPr>
              <w:pStyle w:val="TableParagraph"/>
              <w:spacing w:line="163" w:lineRule="exact" w:before="121"/>
              <w:ind w:left="108"/>
              <w:rPr>
                <w:sz w:val="16"/>
              </w:rPr>
            </w:pPr>
            <w:r>
              <w:rPr>
                <w:sz w:val="16"/>
              </w:rPr>
              <w:t>https://</w:t>
            </w:r>
            <w:hyperlink r:id="rId137">
              <w:r>
                <w:rPr>
                  <w:sz w:val="16"/>
                </w:rPr>
                <w:t>www.amazon.com/East-West-Furniture-TRT-BLK-TP-Trenton/dp/B01GTQCUS8/</w:t>
              </w:r>
            </w:hyperlink>
          </w:p>
        </w:tc>
      </w:tr>
      <w:tr>
        <w:trPr>
          <w:trHeight w:val="301" w:hRule="atLeast"/>
        </w:trPr>
        <w:tc>
          <w:tcPr>
            <w:tcW w:w="689" w:type="dxa"/>
          </w:tcPr>
          <w:p>
            <w:pPr>
              <w:pStyle w:val="TableParagraph"/>
              <w:spacing w:line="163" w:lineRule="exact" w:before="119"/>
              <w:rPr>
                <w:sz w:val="16"/>
              </w:rPr>
            </w:pPr>
            <w:r>
              <w:rPr>
                <w:sz w:val="16"/>
              </w:rPr>
              <w:t>83</w:t>
            </w:r>
          </w:p>
        </w:tc>
        <w:tc>
          <w:tcPr>
            <w:tcW w:w="1610" w:type="dxa"/>
          </w:tcPr>
          <w:p>
            <w:pPr>
              <w:pStyle w:val="TableParagraph"/>
              <w:spacing w:line="163" w:lineRule="exact" w:before="119"/>
              <w:ind w:left="108"/>
              <w:rPr>
                <w:sz w:val="16"/>
              </w:rPr>
            </w:pPr>
            <w:r>
              <w:rPr>
                <w:sz w:val="16"/>
              </w:rPr>
              <w:t>Mobilya</w:t>
            </w:r>
          </w:p>
        </w:tc>
        <w:tc>
          <w:tcPr>
            <w:tcW w:w="5029" w:type="dxa"/>
          </w:tcPr>
          <w:p>
            <w:pPr>
              <w:pStyle w:val="TableParagraph"/>
              <w:spacing w:line="163" w:lineRule="exact" w:before="119"/>
              <w:ind w:left="108"/>
              <w:rPr>
                <w:sz w:val="16"/>
              </w:rPr>
            </w:pPr>
            <w:r>
              <w:rPr>
                <w:sz w:val="16"/>
              </w:rPr>
              <w:t>New Ikea Computer Desk Table Multi-use</w:t>
            </w:r>
          </w:p>
        </w:tc>
        <w:tc>
          <w:tcPr>
            <w:tcW w:w="6212" w:type="dxa"/>
          </w:tcPr>
          <w:p>
            <w:pPr>
              <w:pStyle w:val="TableParagraph"/>
              <w:spacing w:line="163" w:lineRule="exact" w:before="119"/>
              <w:ind w:left="108"/>
              <w:rPr>
                <w:sz w:val="16"/>
              </w:rPr>
            </w:pPr>
            <w:r>
              <w:rPr>
                <w:sz w:val="16"/>
              </w:rPr>
              <w:t>https://</w:t>
            </w:r>
            <w:hyperlink r:id="rId138">
              <w:r>
                <w:rPr>
                  <w:sz w:val="16"/>
                </w:rPr>
                <w:t>www.amazon.com/Ikea-Computer-Desk-Table-Multi-use/dp/B0055IXLW6/</w:t>
              </w:r>
            </w:hyperlink>
          </w:p>
        </w:tc>
      </w:tr>
      <w:tr>
        <w:trPr>
          <w:trHeight w:val="489" w:hRule="atLeast"/>
        </w:trPr>
        <w:tc>
          <w:tcPr>
            <w:tcW w:w="689" w:type="dxa"/>
          </w:tcPr>
          <w:p>
            <w:pPr>
              <w:pStyle w:val="TableParagraph"/>
              <w:spacing w:before="121"/>
              <w:rPr>
                <w:sz w:val="16"/>
              </w:rPr>
            </w:pPr>
            <w:r>
              <w:rPr>
                <w:sz w:val="16"/>
              </w:rPr>
              <w:t>84</w:t>
            </w:r>
          </w:p>
        </w:tc>
        <w:tc>
          <w:tcPr>
            <w:tcW w:w="1610" w:type="dxa"/>
          </w:tcPr>
          <w:p>
            <w:pPr>
              <w:pStyle w:val="TableParagraph"/>
              <w:spacing w:before="121"/>
              <w:ind w:left="108"/>
              <w:rPr>
                <w:sz w:val="16"/>
              </w:rPr>
            </w:pPr>
            <w:r>
              <w:rPr>
                <w:sz w:val="16"/>
              </w:rPr>
              <w:t>Mobilya</w:t>
            </w:r>
          </w:p>
        </w:tc>
        <w:tc>
          <w:tcPr>
            <w:tcW w:w="5029" w:type="dxa"/>
          </w:tcPr>
          <w:p>
            <w:pPr>
              <w:pStyle w:val="TableParagraph"/>
              <w:spacing w:before="121"/>
              <w:ind w:left="108"/>
              <w:rPr>
                <w:sz w:val="16"/>
              </w:rPr>
            </w:pPr>
            <w:r>
              <w:rPr>
                <w:sz w:val="16"/>
              </w:rPr>
              <w:t>Ikea Computer Desk Workstation</w:t>
            </w:r>
          </w:p>
        </w:tc>
        <w:tc>
          <w:tcPr>
            <w:tcW w:w="6212" w:type="dxa"/>
          </w:tcPr>
          <w:p>
            <w:pPr>
              <w:pStyle w:val="TableParagraph"/>
              <w:spacing w:line="180" w:lineRule="atLeast" w:before="121"/>
              <w:ind w:left="816" w:right="1364" w:hanging="708"/>
              <w:rPr>
                <w:sz w:val="16"/>
              </w:rPr>
            </w:pPr>
            <w:r>
              <w:rPr>
                <w:sz w:val="16"/>
              </w:rPr>
              <w:t>https://</w:t>
            </w:r>
            <w:hyperlink r:id="rId139">
              <w:r>
                <w:rPr>
                  <w:sz w:val="16"/>
                </w:rPr>
                <w:t>www.amazon.com/Ikea-Computer-Workstation-MICKE-902-143-</w:t>
              </w:r>
            </w:hyperlink>
            <w:r>
              <w:rPr>
                <w:sz w:val="16"/>
              </w:rPr>
              <w:t> 08/dp/B0056ILD20/</w:t>
            </w:r>
          </w:p>
        </w:tc>
      </w:tr>
      <w:tr>
        <w:trPr>
          <w:trHeight w:val="304" w:hRule="atLeast"/>
        </w:trPr>
        <w:tc>
          <w:tcPr>
            <w:tcW w:w="689" w:type="dxa"/>
          </w:tcPr>
          <w:p>
            <w:pPr>
              <w:pStyle w:val="TableParagraph"/>
              <w:spacing w:line="163" w:lineRule="exact" w:before="121"/>
              <w:rPr>
                <w:sz w:val="16"/>
              </w:rPr>
            </w:pPr>
            <w:r>
              <w:rPr>
                <w:sz w:val="16"/>
              </w:rPr>
              <w:t>85</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Ikea Desk</w:t>
            </w:r>
          </w:p>
        </w:tc>
        <w:tc>
          <w:tcPr>
            <w:tcW w:w="6212" w:type="dxa"/>
          </w:tcPr>
          <w:p>
            <w:pPr>
              <w:pStyle w:val="TableParagraph"/>
              <w:spacing w:line="163" w:lineRule="exact" w:before="121"/>
              <w:ind w:left="108"/>
              <w:rPr>
                <w:sz w:val="16"/>
              </w:rPr>
            </w:pPr>
            <w:r>
              <w:rPr>
                <w:sz w:val="16"/>
              </w:rPr>
              <w:t>https://</w:t>
            </w:r>
            <w:hyperlink r:id="rId140">
              <w:r>
                <w:rPr>
                  <w:sz w:val="16"/>
                </w:rPr>
                <w:t>www.amazon.com/Ikea-Desk-black-brown-226-5145-2230/dp/B01IQT662C/</w:t>
              </w:r>
            </w:hyperlink>
          </w:p>
        </w:tc>
      </w:tr>
    </w:tbl>
    <w:p>
      <w:pPr>
        <w:spacing w:after="0" w:line="163" w:lineRule="exact"/>
        <w:rPr>
          <w:sz w:val="16"/>
        </w:rPr>
        <w:sectPr>
          <w:pgSz w:w="15840" w:h="12240" w:orient="landscape"/>
          <w:pgMar w:header="718" w:footer="0" w:top="1040" w:bottom="280" w:left="1300" w:right="760"/>
        </w:sectPr>
      </w:pPr>
    </w:p>
    <w:p>
      <w:pPr>
        <w:pStyle w:val="BodyText"/>
        <w:spacing w:before="11"/>
        <w:ind w:left="0"/>
        <w:jc w:val="left"/>
        <w:rPr>
          <w:b/>
          <w:sz w:val="6"/>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9"/>
        <w:gridCol w:w="1610"/>
        <w:gridCol w:w="5029"/>
        <w:gridCol w:w="6212"/>
      </w:tblGrid>
      <w:tr>
        <w:trPr>
          <w:trHeight w:val="304" w:hRule="atLeast"/>
        </w:trPr>
        <w:tc>
          <w:tcPr>
            <w:tcW w:w="689" w:type="dxa"/>
          </w:tcPr>
          <w:p>
            <w:pPr>
              <w:pStyle w:val="TableParagraph"/>
              <w:spacing w:line="163" w:lineRule="exact" w:before="122"/>
              <w:rPr>
                <w:sz w:val="16"/>
              </w:rPr>
            </w:pPr>
            <w:r>
              <w:rPr>
                <w:sz w:val="16"/>
              </w:rPr>
              <w:t>86</w:t>
            </w:r>
          </w:p>
        </w:tc>
        <w:tc>
          <w:tcPr>
            <w:tcW w:w="1610" w:type="dxa"/>
          </w:tcPr>
          <w:p>
            <w:pPr>
              <w:pStyle w:val="TableParagraph"/>
              <w:spacing w:line="163" w:lineRule="exact" w:before="122"/>
              <w:ind w:left="108"/>
              <w:rPr>
                <w:sz w:val="16"/>
              </w:rPr>
            </w:pPr>
            <w:r>
              <w:rPr>
                <w:sz w:val="16"/>
              </w:rPr>
              <w:t>Mobilya</w:t>
            </w:r>
          </w:p>
        </w:tc>
        <w:tc>
          <w:tcPr>
            <w:tcW w:w="5029" w:type="dxa"/>
          </w:tcPr>
          <w:p>
            <w:pPr>
              <w:pStyle w:val="TableParagraph"/>
              <w:spacing w:line="163" w:lineRule="exact" w:before="122"/>
              <w:ind w:left="108"/>
              <w:rPr>
                <w:sz w:val="16"/>
              </w:rPr>
            </w:pPr>
            <w:r>
              <w:rPr>
                <w:sz w:val="16"/>
              </w:rPr>
              <w:t>Ikea Desk, White, MICKE</w:t>
            </w:r>
          </w:p>
        </w:tc>
        <w:tc>
          <w:tcPr>
            <w:tcW w:w="6212" w:type="dxa"/>
          </w:tcPr>
          <w:p>
            <w:pPr>
              <w:pStyle w:val="TableParagraph"/>
              <w:spacing w:line="163" w:lineRule="exact" w:before="122"/>
              <w:ind w:left="108"/>
              <w:rPr>
                <w:sz w:val="16"/>
              </w:rPr>
            </w:pPr>
            <w:r>
              <w:rPr>
                <w:sz w:val="16"/>
              </w:rPr>
              <w:t>https://</w:t>
            </w:r>
            <w:hyperlink r:id="rId141">
              <w:r>
                <w:rPr>
                  <w:sz w:val="16"/>
                </w:rPr>
                <w:t>www.amazon.com/Ikea-Desk-White-MICKE-802-130-74/dp/B00DR4F4T8/</w:t>
              </w:r>
            </w:hyperlink>
          </w:p>
        </w:tc>
      </w:tr>
      <w:tr>
        <w:trPr>
          <w:trHeight w:val="304" w:hRule="atLeast"/>
        </w:trPr>
        <w:tc>
          <w:tcPr>
            <w:tcW w:w="689" w:type="dxa"/>
          </w:tcPr>
          <w:p>
            <w:pPr>
              <w:pStyle w:val="TableParagraph"/>
              <w:spacing w:line="163" w:lineRule="exact" w:before="121"/>
              <w:rPr>
                <w:sz w:val="16"/>
              </w:rPr>
            </w:pPr>
            <w:r>
              <w:rPr>
                <w:sz w:val="16"/>
              </w:rPr>
              <w:t>87</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Ikea Linnmon Desk</w:t>
            </w:r>
          </w:p>
        </w:tc>
        <w:tc>
          <w:tcPr>
            <w:tcW w:w="6212" w:type="dxa"/>
          </w:tcPr>
          <w:p>
            <w:pPr>
              <w:pStyle w:val="TableParagraph"/>
              <w:spacing w:line="163" w:lineRule="exact" w:before="121"/>
              <w:ind w:left="108"/>
              <w:rPr>
                <w:sz w:val="16"/>
              </w:rPr>
            </w:pPr>
            <w:r>
              <w:rPr>
                <w:sz w:val="16"/>
              </w:rPr>
              <w:t>https://</w:t>
            </w:r>
            <w:hyperlink r:id="rId142">
              <w:r>
                <w:rPr>
                  <w:sz w:val="16"/>
                </w:rPr>
                <w:t>www.amazon.com/Ikea-Linnmon-Adils-Purpose-White/dp/B01FUZ6P3K/</w:t>
              </w:r>
            </w:hyperlink>
          </w:p>
        </w:tc>
      </w:tr>
      <w:tr>
        <w:trPr>
          <w:trHeight w:val="304" w:hRule="atLeast"/>
        </w:trPr>
        <w:tc>
          <w:tcPr>
            <w:tcW w:w="689" w:type="dxa"/>
          </w:tcPr>
          <w:p>
            <w:pPr>
              <w:pStyle w:val="TableParagraph"/>
              <w:spacing w:line="163" w:lineRule="exact" w:before="121"/>
              <w:rPr>
                <w:sz w:val="16"/>
              </w:rPr>
            </w:pPr>
            <w:r>
              <w:rPr>
                <w:sz w:val="16"/>
              </w:rPr>
              <w:t>88</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Ikea Micke Desk Black Brown</w:t>
            </w:r>
          </w:p>
        </w:tc>
        <w:tc>
          <w:tcPr>
            <w:tcW w:w="6212" w:type="dxa"/>
          </w:tcPr>
          <w:p>
            <w:pPr>
              <w:pStyle w:val="TableParagraph"/>
              <w:spacing w:line="163" w:lineRule="exact" w:before="121"/>
              <w:ind w:left="108"/>
              <w:rPr>
                <w:sz w:val="16"/>
              </w:rPr>
            </w:pPr>
            <w:r>
              <w:rPr>
                <w:sz w:val="16"/>
              </w:rPr>
              <w:t>https://</w:t>
            </w:r>
            <w:hyperlink r:id="rId143">
              <w:r>
                <w:rPr>
                  <w:sz w:val="16"/>
                </w:rPr>
                <w:t>www.amazon.com/Ikea-Micke-Desk-Black-Brown/dp/B00BVU8XIY/</w:t>
              </w:r>
            </w:hyperlink>
          </w:p>
        </w:tc>
      </w:tr>
      <w:tr>
        <w:trPr>
          <w:trHeight w:val="304" w:hRule="atLeast"/>
        </w:trPr>
        <w:tc>
          <w:tcPr>
            <w:tcW w:w="689" w:type="dxa"/>
          </w:tcPr>
          <w:p>
            <w:pPr>
              <w:pStyle w:val="TableParagraph"/>
              <w:spacing w:line="163" w:lineRule="exact" w:before="121"/>
              <w:rPr>
                <w:sz w:val="16"/>
              </w:rPr>
            </w:pPr>
            <w:r>
              <w:rPr>
                <w:sz w:val="16"/>
              </w:rPr>
              <w:t>89</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Ikea Malm Home Office Desk</w:t>
            </w:r>
          </w:p>
        </w:tc>
        <w:tc>
          <w:tcPr>
            <w:tcW w:w="6212" w:type="dxa"/>
          </w:tcPr>
          <w:p>
            <w:pPr>
              <w:pStyle w:val="TableParagraph"/>
              <w:spacing w:line="163" w:lineRule="exact" w:before="121"/>
              <w:ind w:left="108"/>
              <w:rPr>
                <w:sz w:val="16"/>
              </w:rPr>
            </w:pPr>
            <w:r>
              <w:rPr>
                <w:sz w:val="16"/>
              </w:rPr>
              <w:t>https://</w:t>
            </w:r>
            <w:hyperlink r:id="rId144">
              <w:r>
                <w:rPr>
                  <w:sz w:val="16"/>
                </w:rPr>
                <w:t>www.amazon.com/Ikea-Office-black-brown-Floor-protectors/dp/B01GGR8VRY/</w:t>
              </w:r>
            </w:hyperlink>
          </w:p>
        </w:tc>
      </w:tr>
      <w:tr>
        <w:trPr>
          <w:trHeight w:val="486" w:hRule="atLeast"/>
        </w:trPr>
        <w:tc>
          <w:tcPr>
            <w:tcW w:w="689" w:type="dxa"/>
          </w:tcPr>
          <w:p>
            <w:pPr>
              <w:pStyle w:val="TableParagraph"/>
              <w:spacing w:before="121"/>
              <w:rPr>
                <w:sz w:val="16"/>
              </w:rPr>
            </w:pPr>
            <w:r>
              <w:rPr>
                <w:sz w:val="16"/>
              </w:rPr>
              <w:t>90</w:t>
            </w:r>
          </w:p>
        </w:tc>
        <w:tc>
          <w:tcPr>
            <w:tcW w:w="1610" w:type="dxa"/>
          </w:tcPr>
          <w:p>
            <w:pPr>
              <w:pStyle w:val="TableParagraph"/>
              <w:spacing w:before="121"/>
              <w:ind w:left="108"/>
              <w:rPr>
                <w:sz w:val="16"/>
              </w:rPr>
            </w:pPr>
            <w:r>
              <w:rPr>
                <w:sz w:val="16"/>
              </w:rPr>
              <w:t>Mobilya</w:t>
            </w:r>
          </w:p>
        </w:tc>
        <w:tc>
          <w:tcPr>
            <w:tcW w:w="5029" w:type="dxa"/>
          </w:tcPr>
          <w:p>
            <w:pPr>
              <w:pStyle w:val="TableParagraph"/>
              <w:spacing w:before="121"/>
              <w:ind w:left="108"/>
              <w:rPr>
                <w:sz w:val="16"/>
              </w:rPr>
            </w:pPr>
            <w:r>
              <w:rPr>
                <w:sz w:val="16"/>
              </w:rPr>
              <w:t>Ikea Computer Desk Workstation</w:t>
            </w:r>
          </w:p>
        </w:tc>
        <w:tc>
          <w:tcPr>
            <w:tcW w:w="6212" w:type="dxa"/>
          </w:tcPr>
          <w:p>
            <w:pPr>
              <w:pStyle w:val="TableParagraph"/>
              <w:spacing w:line="182" w:lineRule="exact" w:before="125"/>
              <w:ind w:left="816" w:right="1168" w:hanging="708"/>
              <w:rPr>
                <w:sz w:val="16"/>
              </w:rPr>
            </w:pPr>
            <w:r>
              <w:rPr>
                <w:sz w:val="16"/>
              </w:rPr>
              <w:t>https://</w:t>
            </w:r>
            <w:hyperlink r:id="rId145">
              <w:r>
                <w:rPr>
                  <w:sz w:val="16"/>
                </w:rPr>
                <w:t>www.amazon.com/Ikea-Workstation-Black-brown-MICKE-602-447-</w:t>
              </w:r>
            </w:hyperlink>
            <w:r>
              <w:rPr>
                <w:sz w:val="16"/>
              </w:rPr>
              <w:t> 45/dp/B00HUAV9IA/</w:t>
            </w:r>
          </w:p>
        </w:tc>
      </w:tr>
      <w:tr>
        <w:trPr>
          <w:trHeight w:val="487" w:hRule="atLeast"/>
        </w:trPr>
        <w:tc>
          <w:tcPr>
            <w:tcW w:w="689" w:type="dxa"/>
          </w:tcPr>
          <w:p>
            <w:pPr>
              <w:pStyle w:val="TableParagraph"/>
              <w:spacing w:before="119"/>
              <w:rPr>
                <w:sz w:val="16"/>
              </w:rPr>
            </w:pPr>
            <w:r>
              <w:rPr>
                <w:sz w:val="16"/>
              </w:rPr>
              <w:t>91</w:t>
            </w:r>
          </w:p>
        </w:tc>
        <w:tc>
          <w:tcPr>
            <w:tcW w:w="1610" w:type="dxa"/>
          </w:tcPr>
          <w:p>
            <w:pPr>
              <w:pStyle w:val="TableParagraph"/>
              <w:spacing w:before="119"/>
              <w:ind w:left="108"/>
              <w:rPr>
                <w:sz w:val="16"/>
              </w:rPr>
            </w:pPr>
            <w:r>
              <w:rPr>
                <w:sz w:val="16"/>
              </w:rPr>
              <w:t>Mobilya</w:t>
            </w:r>
          </w:p>
        </w:tc>
        <w:tc>
          <w:tcPr>
            <w:tcW w:w="5029" w:type="dxa"/>
          </w:tcPr>
          <w:p>
            <w:pPr>
              <w:pStyle w:val="TableParagraph"/>
              <w:spacing w:before="119"/>
              <w:ind w:left="108"/>
              <w:rPr>
                <w:sz w:val="16"/>
              </w:rPr>
            </w:pPr>
            <w:r>
              <w:rPr>
                <w:sz w:val="16"/>
              </w:rPr>
              <w:t>International Concepts 30-Inch Round by 30-Inch High Top Ped Table</w:t>
            </w:r>
          </w:p>
        </w:tc>
        <w:tc>
          <w:tcPr>
            <w:tcW w:w="6212" w:type="dxa"/>
          </w:tcPr>
          <w:p>
            <w:pPr>
              <w:pStyle w:val="TableParagraph"/>
              <w:spacing w:line="180" w:lineRule="atLeast" w:before="119"/>
              <w:ind w:left="816" w:right="1595" w:hanging="708"/>
              <w:rPr>
                <w:sz w:val="16"/>
              </w:rPr>
            </w:pPr>
            <w:r>
              <w:rPr>
                <w:sz w:val="16"/>
              </w:rPr>
              <w:t>https://</w:t>
            </w:r>
            <w:hyperlink r:id="rId146">
              <w:r>
                <w:rPr>
                  <w:sz w:val="16"/>
                </w:rPr>
                <w:t>www.amazon.com/International-Concepts-30-Inch-Cinnemon-</w:t>
              </w:r>
            </w:hyperlink>
            <w:r>
              <w:rPr>
                <w:sz w:val="16"/>
              </w:rPr>
              <w:t> Espresso/dp/B009K0NW24/</w:t>
            </w:r>
          </w:p>
        </w:tc>
      </w:tr>
      <w:tr>
        <w:trPr>
          <w:trHeight w:val="486" w:hRule="atLeast"/>
        </w:trPr>
        <w:tc>
          <w:tcPr>
            <w:tcW w:w="689" w:type="dxa"/>
          </w:tcPr>
          <w:p>
            <w:pPr>
              <w:pStyle w:val="TableParagraph"/>
              <w:spacing w:before="121"/>
              <w:rPr>
                <w:sz w:val="16"/>
              </w:rPr>
            </w:pPr>
            <w:r>
              <w:rPr>
                <w:sz w:val="16"/>
              </w:rPr>
              <w:t>92</w:t>
            </w:r>
          </w:p>
        </w:tc>
        <w:tc>
          <w:tcPr>
            <w:tcW w:w="1610" w:type="dxa"/>
          </w:tcPr>
          <w:p>
            <w:pPr>
              <w:pStyle w:val="TableParagraph"/>
              <w:spacing w:before="121"/>
              <w:ind w:left="108"/>
              <w:rPr>
                <w:sz w:val="16"/>
              </w:rPr>
            </w:pPr>
            <w:r>
              <w:rPr>
                <w:sz w:val="16"/>
              </w:rPr>
              <w:t>Mobilya</w:t>
            </w:r>
          </w:p>
        </w:tc>
        <w:tc>
          <w:tcPr>
            <w:tcW w:w="5029" w:type="dxa"/>
          </w:tcPr>
          <w:p>
            <w:pPr>
              <w:pStyle w:val="TableParagraph"/>
              <w:spacing w:before="121"/>
              <w:ind w:left="108"/>
              <w:rPr>
                <w:sz w:val="16"/>
              </w:rPr>
            </w:pPr>
            <w:r>
              <w:rPr>
                <w:sz w:val="16"/>
              </w:rPr>
              <w:t>International Concepts 36-Inch Round by 30-Inch High Top Ped Table</w:t>
            </w:r>
          </w:p>
        </w:tc>
        <w:tc>
          <w:tcPr>
            <w:tcW w:w="6212" w:type="dxa"/>
          </w:tcPr>
          <w:p>
            <w:pPr>
              <w:pStyle w:val="TableParagraph"/>
              <w:spacing w:line="182" w:lineRule="exact" w:before="125"/>
              <w:ind w:left="816" w:right="1621" w:hanging="708"/>
              <w:rPr>
                <w:sz w:val="16"/>
              </w:rPr>
            </w:pPr>
            <w:r>
              <w:rPr>
                <w:sz w:val="16"/>
              </w:rPr>
              <w:t>https://</w:t>
            </w:r>
            <w:hyperlink r:id="rId147">
              <w:r>
                <w:rPr>
                  <w:sz w:val="16"/>
                </w:rPr>
                <w:t>www.amazon.com/International-Concepts-36-Inch-Round-30-</w:t>
              </w:r>
            </w:hyperlink>
            <w:r>
              <w:rPr>
                <w:sz w:val="16"/>
              </w:rPr>
              <w:t> Inch/dp/B009K0O2UK/</w:t>
            </w:r>
          </w:p>
        </w:tc>
      </w:tr>
      <w:tr>
        <w:trPr>
          <w:trHeight w:val="487" w:hRule="atLeast"/>
        </w:trPr>
        <w:tc>
          <w:tcPr>
            <w:tcW w:w="689" w:type="dxa"/>
          </w:tcPr>
          <w:p>
            <w:pPr>
              <w:pStyle w:val="TableParagraph"/>
              <w:spacing w:before="120"/>
              <w:rPr>
                <w:sz w:val="16"/>
              </w:rPr>
            </w:pPr>
            <w:r>
              <w:rPr>
                <w:sz w:val="16"/>
              </w:rPr>
              <w:t>93</w:t>
            </w:r>
          </w:p>
        </w:tc>
        <w:tc>
          <w:tcPr>
            <w:tcW w:w="1610" w:type="dxa"/>
          </w:tcPr>
          <w:p>
            <w:pPr>
              <w:pStyle w:val="TableParagraph"/>
              <w:spacing w:before="120"/>
              <w:ind w:left="108"/>
              <w:rPr>
                <w:sz w:val="16"/>
              </w:rPr>
            </w:pPr>
            <w:r>
              <w:rPr>
                <w:sz w:val="16"/>
              </w:rPr>
              <w:t>Mobilya</w:t>
            </w:r>
          </w:p>
        </w:tc>
        <w:tc>
          <w:tcPr>
            <w:tcW w:w="5029" w:type="dxa"/>
          </w:tcPr>
          <w:p>
            <w:pPr>
              <w:pStyle w:val="TableParagraph"/>
              <w:spacing w:before="120"/>
              <w:ind w:left="108"/>
              <w:rPr>
                <w:sz w:val="16"/>
              </w:rPr>
            </w:pPr>
            <w:r>
              <w:rPr>
                <w:sz w:val="16"/>
              </w:rPr>
              <w:t>International Concepts Counter Height Mission Table, 24 by 48-Inch</w:t>
            </w:r>
          </w:p>
        </w:tc>
        <w:tc>
          <w:tcPr>
            <w:tcW w:w="6212" w:type="dxa"/>
          </w:tcPr>
          <w:p>
            <w:pPr>
              <w:pStyle w:val="TableParagraph"/>
              <w:spacing w:line="180" w:lineRule="atLeast" w:before="120"/>
              <w:ind w:left="816" w:right="1728" w:hanging="708"/>
              <w:rPr>
                <w:sz w:val="16"/>
              </w:rPr>
            </w:pPr>
            <w:r>
              <w:rPr>
                <w:sz w:val="16"/>
              </w:rPr>
              <w:t>https://</w:t>
            </w:r>
            <w:hyperlink r:id="rId148">
              <w:r>
                <w:rPr>
                  <w:sz w:val="16"/>
                </w:rPr>
                <w:t>www.amazon.com/International-Concepts-Counter-Mission-</w:t>
              </w:r>
            </w:hyperlink>
            <w:r>
              <w:rPr>
                <w:sz w:val="16"/>
              </w:rPr>
              <w:t> Unfinished/dp/B00LU38HZQ/</w:t>
            </w:r>
          </w:p>
        </w:tc>
      </w:tr>
      <w:tr>
        <w:trPr>
          <w:trHeight w:val="304" w:hRule="atLeast"/>
        </w:trPr>
        <w:tc>
          <w:tcPr>
            <w:tcW w:w="689" w:type="dxa"/>
          </w:tcPr>
          <w:p>
            <w:pPr>
              <w:pStyle w:val="TableParagraph"/>
              <w:spacing w:line="163" w:lineRule="exact" w:before="121"/>
              <w:rPr>
                <w:sz w:val="16"/>
              </w:rPr>
            </w:pPr>
            <w:r>
              <w:rPr>
                <w:sz w:val="16"/>
              </w:rPr>
              <w:t>94</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International Concepts Solid Wood Dining Table with Shaker Legs</w:t>
            </w:r>
          </w:p>
        </w:tc>
        <w:tc>
          <w:tcPr>
            <w:tcW w:w="6212" w:type="dxa"/>
          </w:tcPr>
          <w:p>
            <w:pPr>
              <w:pStyle w:val="TableParagraph"/>
              <w:spacing w:line="163" w:lineRule="exact" w:before="121"/>
              <w:ind w:left="108"/>
              <w:rPr>
                <w:sz w:val="16"/>
              </w:rPr>
            </w:pPr>
            <w:r>
              <w:rPr>
                <w:sz w:val="16"/>
              </w:rPr>
              <w:t>https://</w:t>
            </w:r>
            <w:hyperlink r:id="rId149">
              <w:r>
                <w:rPr>
                  <w:sz w:val="16"/>
                </w:rPr>
                <w:t>www.amazon.com/International-Concepts-Dining-Shaker-30-Inch/dp/B00ANJPHRO/</w:t>
              </w:r>
            </w:hyperlink>
          </w:p>
        </w:tc>
      </w:tr>
      <w:tr>
        <w:trPr>
          <w:trHeight w:val="486" w:hRule="atLeast"/>
        </w:trPr>
        <w:tc>
          <w:tcPr>
            <w:tcW w:w="689" w:type="dxa"/>
          </w:tcPr>
          <w:p>
            <w:pPr>
              <w:pStyle w:val="TableParagraph"/>
              <w:spacing w:before="119"/>
              <w:rPr>
                <w:sz w:val="16"/>
              </w:rPr>
            </w:pPr>
            <w:r>
              <w:rPr>
                <w:sz w:val="16"/>
              </w:rPr>
              <w:t>95</w:t>
            </w:r>
          </w:p>
        </w:tc>
        <w:tc>
          <w:tcPr>
            <w:tcW w:w="1610" w:type="dxa"/>
          </w:tcPr>
          <w:p>
            <w:pPr>
              <w:pStyle w:val="TableParagraph"/>
              <w:spacing w:before="119"/>
              <w:ind w:left="108"/>
              <w:rPr>
                <w:sz w:val="16"/>
              </w:rPr>
            </w:pPr>
            <w:r>
              <w:rPr>
                <w:sz w:val="16"/>
              </w:rPr>
              <w:t>Mobilya</w:t>
            </w:r>
          </w:p>
        </w:tc>
        <w:tc>
          <w:tcPr>
            <w:tcW w:w="5029" w:type="dxa"/>
          </w:tcPr>
          <w:p>
            <w:pPr>
              <w:pStyle w:val="TableParagraph"/>
              <w:spacing w:line="180" w:lineRule="atLeast" w:before="119"/>
              <w:ind w:left="816" w:right="20" w:hanging="708"/>
              <w:rPr>
                <w:sz w:val="16"/>
              </w:rPr>
            </w:pPr>
            <w:r>
              <w:rPr>
                <w:sz w:val="16"/>
              </w:rPr>
              <w:t>International Concepts Solid Wood Dining Table with Shaker Legs, 36 by 36 by 30-Inch</w:t>
            </w:r>
          </w:p>
        </w:tc>
        <w:tc>
          <w:tcPr>
            <w:tcW w:w="6212" w:type="dxa"/>
          </w:tcPr>
          <w:p>
            <w:pPr>
              <w:pStyle w:val="TableParagraph"/>
              <w:spacing w:before="119"/>
              <w:ind w:left="108"/>
              <w:rPr>
                <w:sz w:val="16"/>
              </w:rPr>
            </w:pPr>
            <w:r>
              <w:rPr>
                <w:sz w:val="16"/>
              </w:rPr>
              <w:t>https://</w:t>
            </w:r>
            <w:hyperlink r:id="rId150">
              <w:r>
                <w:rPr>
                  <w:sz w:val="16"/>
                </w:rPr>
                <w:t>www.amazon.com/International-Concepts-Dining-Shaker-30-Inch/dp/B00ANJPJJU/</w:t>
              </w:r>
            </w:hyperlink>
          </w:p>
        </w:tc>
      </w:tr>
      <w:tr>
        <w:trPr>
          <w:trHeight w:val="304" w:hRule="atLeast"/>
        </w:trPr>
        <w:tc>
          <w:tcPr>
            <w:tcW w:w="689" w:type="dxa"/>
          </w:tcPr>
          <w:p>
            <w:pPr>
              <w:pStyle w:val="TableParagraph"/>
              <w:spacing w:line="163" w:lineRule="exact" w:before="121"/>
              <w:rPr>
                <w:sz w:val="16"/>
              </w:rPr>
            </w:pPr>
            <w:r>
              <w:rPr>
                <w:sz w:val="16"/>
              </w:rPr>
              <w:t>96</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International Concepts Spencer Server Table</w:t>
            </w:r>
          </w:p>
        </w:tc>
        <w:tc>
          <w:tcPr>
            <w:tcW w:w="6212" w:type="dxa"/>
          </w:tcPr>
          <w:p>
            <w:pPr>
              <w:pStyle w:val="TableParagraph"/>
              <w:spacing w:line="163" w:lineRule="exact" w:before="121"/>
              <w:ind w:left="108"/>
              <w:rPr>
                <w:sz w:val="16"/>
              </w:rPr>
            </w:pPr>
            <w:r>
              <w:rPr>
                <w:sz w:val="16"/>
              </w:rPr>
              <w:t>https://</w:t>
            </w:r>
            <w:hyperlink r:id="rId151">
              <w:r>
                <w:rPr>
                  <w:sz w:val="16"/>
                </w:rPr>
                <w:t>www.amazon.com/International-Concepts-Spencer-Server-Table/dp/B00CDI4F26/</w:t>
              </w:r>
            </w:hyperlink>
          </w:p>
        </w:tc>
      </w:tr>
      <w:tr>
        <w:trPr>
          <w:trHeight w:val="486" w:hRule="atLeast"/>
        </w:trPr>
        <w:tc>
          <w:tcPr>
            <w:tcW w:w="689" w:type="dxa"/>
          </w:tcPr>
          <w:p>
            <w:pPr>
              <w:pStyle w:val="TableParagraph"/>
              <w:spacing w:before="121"/>
              <w:rPr>
                <w:sz w:val="16"/>
              </w:rPr>
            </w:pPr>
            <w:r>
              <w:rPr>
                <w:sz w:val="16"/>
              </w:rPr>
              <w:t>97</w:t>
            </w:r>
          </w:p>
        </w:tc>
        <w:tc>
          <w:tcPr>
            <w:tcW w:w="1610" w:type="dxa"/>
          </w:tcPr>
          <w:p>
            <w:pPr>
              <w:pStyle w:val="TableParagraph"/>
              <w:spacing w:before="121"/>
              <w:ind w:left="108"/>
              <w:rPr>
                <w:sz w:val="16"/>
              </w:rPr>
            </w:pPr>
            <w:r>
              <w:rPr>
                <w:sz w:val="16"/>
              </w:rPr>
              <w:t>Mobilya</w:t>
            </w:r>
          </w:p>
        </w:tc>
        <w:tc>
          <w:tcPr>
            <w:tcW w:w="5029" w:type="dxa"/>
          </w:tcPr>
          <w:p>
            <w:pPr>
              <w:pStyle w:val="TableParagraph"/>
              <w:spacing w:line="182" w:lineRule="exact" w:before="125"/>
              <w:ind w:left="816" w:right="394" w:hanging="708"/>
              <w:rPr>
                <w:sz w:val="16"/>
              </w:rPr>
            </w:pPr>
            <w:r>
              <w:rPr>
                <w:sz w:val="16"/>
              </w:rPr>
              <w:t>International Concepts T04-42DP 42-inch Round Dual Drop Leaf Ped Table</w:t>
            </w:r>
          </w:p>
        </w:tc>
        <w:tc>
          <w:tcPr>
            <w:tcW w:w="6212" w:type="dxa"/>
          </w:tcPr>
          <w:p>
            <w:pPr>
              <w:pStyle w:val="TableParagraph"/>
              <w:spacing w:line="182" w:lineRule="exact" w:before="125"/>
              <w:ind w:left="816" w:right="1595" w:hanging="708"/>
              <w:rPr>
                <w:sz w:val="16"/>
              </w:rPr>
            </w:pPr>
            <w:r>
              <w:rPr>
                <w:sz w:val="16"/>
              </w:rPr>
              <w:t>https://</w:t>
            </w:r>
            <w:hyperlink r:id="rId152">
              <w:r>
                <w:rPr>
                  <w:sz w:val="16"/>
                </w:rPr>
                <w:t>www.amazon.com/International-Concepts-T04-42DP-42-inch-</w:t>
              </w:r>
            </w:hyperlink>
            <w:r>
              <w:rPr>
                <w:sz w:val="16"/>
              </w:rPr>
              <w:t> Round/dp/B001E4PWTU/</w:t>
            </w:r>
          </w:p>
        </w:tc>
      </w:tr>
      <w:tr>
        <w:trPr>
          <w:trHeight w:val="487" w:hRule="atLeast"/>
        </w:trPr>
        <w:tc>
          <w:tcPr>
            <w:tcW w:w="689" w:type="dxa"/>
          </w:tcPr>
          <w:p>
            <w:pPr>
              <w:pStyle w:val="TableParagraph"/>
              <w:spacing w:before="119"/>
              <w:rPr>
                <w:sz w:val="16"/>
              </w:rPr>
            </w:pPr>
            <w:r>
              <w:rPr>
                <w:sz w:val="16"/>
              </w:rPr>
              <w:t>98</w:t>
            </w:r>
          </w:p>
        </w:tc>
        <w:tc>
          <w:tcPr>
            <w:tcW w:w="1610" w:type="dxa"/>
          </w:tcPr>
          <w:p>
            <w:pPr>
              <w:pStyle w:val="TableParagraph"/>
              <w:spacing w:before="119"/>
              <w:ind w:left="108"/>
              <w:rPr>
                <w:sz w:val="16"/>
              </w:rPr>
            </w:pPr>
            <w:r>
              <w:rPr>
                <w:sz w:val="16"/>
              </w:rPr>
              <w:t>Mobilya</w:t>
            </w:r>
          </w:p>
        </w:tc>
        <w:tc>
          <w:tcPr>
            <w:tcW w:w="5029" w:type="dxa"/>
          </w:tcPr>
          <w:p>
            <w:pPr>
              <w:pStyle w:val="TableParagraph"/>
              <w:spacing w:before="119"/>
              <w:ind w:left="108"/>
              <w:rPr>
                <w:sz w:val="16"/>
              </w:rPr>
            </w:pPr>
            <w:r>
              <w:rPr>
                <w:sz w:val="16"/>
              </w:rPr>
              <w:t>International Concepts T15-3048GS Shaker Styled Counter Height Table</w:t>
            </w:r>
          </w:p>
        </w:tc>
        <w:tc>
          <w:tcPr>
            <w:tcW w:w="6212" w:type="dxa"/>
          </w:tcPr>
          <w:p>
            <w:pPr>
              <w:pStyle w:val="TableParagraph"/>
              <w:spacing w:line="180" w:lineRule="atLeast" w:before="119"/>
              <w:ind w:left="816" w:right="1479" w:hanging="708"/>
              <w:rPr>
                <w:sz w:val="16"/>
              </w:rPr>
            </w:pPr>
            <w:r>
              <w:rPr>
                <w:sz w:val="16"/>
              </w:rPr>
              <w:t>https://</w:t>
            </w:r>
            <w:hyperlink r:id="rId153">
              <w:r>
                <w:rPr>
                  <w:sz w:val="16"/>
                </w:rPr>
                <w:t>www.amazon.com/International-Concepts-T15-3048GS-Shaker-</w:t>
              </w:r>
            </w:hyperlink>
            <w:r>
              <w:rPr>
                <w:sz w:val="16"/>
              </w:rPr>
              <w:t> Counter/dp/B00221Q34C/</w:t>
            </w:r>
          </w:p>
        </w:tc>
      </w:tr>
      <w:tr>
        <w:trPr>
          <w:trHeight w:val="487" w:hRule="atLeast"/>
        </w:trPr>
        <w:tc>
          <w:tcPr>
            <w:tcW w:w="689" w:type="dxa"/>
          </w:tcPr>
          <w:p>
            <w:pPr>
              <w:pStyle w:val="TableParagraph"/>
              <w:spacing w:before="122"/>
              <w:rPr>
                <w:sz w:val="16"/>
              </w:rPr>
            </w:pPr>
            <w:r>
              <w:rPr>
                <w:sz w:val="16"/>
              </w:rPr>
              <w:t>99</w:t>
            </w:r>
          </w:p>
        </w:tc>
        <w:tc>
          <w:tcPr>
            <w:tcW w:w="1610" w:type="dxa"/>
          </w:tcPr>
          <w:p>
            <w:pPr>
              <w:pStyle w:val="TableParagraph"/>
              <w:spacing w:before="122"/>
              <w:ind w:left="108"/>
              <w:rPr>
                <w:sz w:val="16"/>
              </w:rPr>
            </w:pPr>
            <w:r>
              <w:rPr>
                <w:sz w:val="16"/>
              </w:rPr>
              <w:t>Mobilya</w:t>
            </w:r>
          </w:p>
        </w:tc>
        <w:tc>
          <w:tcPr>
            <w:tcW w:w="5029" w:type="dxa"/>
          </w:tcPr>
          <w:p>
            <w:pPr>
              <w:pStyle w:val="TableParagraph"/>
              <w:spacing w:before="122"/>
              <w:ind w:left="108"/>
              <w:rPr>
                <w:sz w:val="16"/>
              </w:rPr>
            </w:pPr>
            <w:r>
              <w:rPr>
                <w:sz w:val="16"/>
              </w:rPr>
              <w:t>International Concepts T-2236D Small Drop-leaf Table</w:t>
            </w:r>
          </w:p>
        </w:tc>
        <w:tc>
          <w:tcPr>
            <w:tcW w:w="6212" w:type="dxa"/>
          </w:tcPr>
          <w:p>
            <w:pPr>
              <w:pStyle w:val="TableParagraph"/>
              <w:spacing w:line="182" w:lineRule="exact" w:before="125"/>
              <w:ind w:left="816" w:right="1550" w:hanging="708"/>
              <w:rPr>
                <w:sz w:val="16"/>
              </w:rPr>
            </w:pPr>
            <w:r>
              <w:rPr>
                <w:sz w:val="16"/>
              </w:rPr>
              <w:t>https://</w:t>
            </w:r>
            <w:hyperlink r:id="rId154">
              <w:r>
                <w:rPr>
                  <w:sz w:val="16"/>
                </w:rPr>
                <w:t>www.amazon.com/International-Concepts-T-2236D-Drop-leaf-</w:t>
              </w:r>
            </w:hyperlink>
            <w:r>
              <w:rPr>
                <w:sz w:val="16"/>
              </w:rPr>
              <w:t> Unfinished/dp/B0029LHTM0/</w:t>
            </w:r>
          </w:p>
        </w:tc>
      </w:tr>
      <w:tr>
        <w:trPr>
          <w:trHeight w:val="487" w:hRule="atLeast"/>
        </w:trPr>
        <w:tc>
          <w:tcPr>
            <w:tcW w:w="689" w:type="dxa"/>
          </w:tcPr>
          <w:p>
            <w:pPr>
              <w:pStyle w:val="TableParagraph"/>
              <w:spacing w:before="120"/>
              <w:rPr>
                <w:sz w:val="16"/>
              </w:rPr>
            </w:pPr>
            <w:r>
              <w:rPr>
                <w:sz w:val="16"/>
              </w:rPr>
              <w:t>100</w:t>
            </w:r>
          </w:p>
        </w:tc>
        <w:tc>
          <w:tcPr>
            <w:tcW w:w="1610" w:type="dxa"/>
          </w:tcPr>
          <w:p>
            <w:pPr>
              <w:pStyle w:val="TableParagraph"/>
              <w:spacing w:before="120"/>
              <w:ind w:left="108"/>
              <w:rPr>
                <w:sz w:val="16"/>
              </w:rPr>
            </w:pPr>
            <w:r>
              <w:rPr>
                <w:sz w:val="16"/>
              </w:rPr>
              <w:t>Mobilya</w:t>
            </w:r>
          </w:p>
        </w:tc>
        <w:tc>
          <w:tcPr>
            <w:tcW w:w="5029" w:type="dxa"/>
          </w:tcPr>
          <w:p>
            <w:pPr>
              <w:pStyle w:val="TableParagraph"/>
              <w:spacing w:before="120"/>
              <w:ind w:left="108"/>
              <w:rPr>
                <w:sz w:val="16"/>
              </w:rPr>
            </w:pPr>
            <w:r>
              <w:rPr>
                <w:sz w:val="16"/>
              </w:rPr>
              <w:t>International Concepts T-36DP 36-Inch Dual Drop Leaf Table</w:t>
            </w:r>
          </w:p>
        </w:tc>
        <w:tc>
          <w:tcPr>
            <w:tcW w:w="6212" w:type="dxa"/>
          </w:tcPr>
          <w:p>
            <w:pPr>
              <w:pStyle w:val="TableParagraph"/>
              <w:spacing w:line="180" w:lineRule="atLeast" w:before="120"/>
              <w:ind w:left="816" w:right="1746" w:hanging="708"/>
              <w:rPr>
                <w:sz w:val="16"/>
              </w:rPr>
            </w:pPr>
            <w:r>
              <w:rPr>
                <w:sz w:val="16"/>
              </w:rPr>
              <w:t>https://</w:t>
            </w:r>
            <w:hyperlink r:id="rId155">
              <w:r>
                <w:rPr>
                  <w:sz w:val="16"/>
                </w:rPr>
                <w:t>www.amazon.com/International-Concepts-T-36DP-36-Inch-</w:t>
              </w:r>
            </w:hyperlink>
            <w:r>
              <w:rPr>
                <w:sz w:val="16"/>
              </w:rPr>
              <w:t> Unfinished/dp/B0026O44B4/</w:t>
            </w:r>
          </w:p>
        </w:tc>
      </w:tr>
      <w:tr>
        <w:trPr>
          <w:trHeight w:val="303" w:hRule="atLeast"/>
        </w:trPr>
        <w:tc>
          <w:tcPr>
            <w:tcW w:w="689" w:type="dxa"/>
          </w:tcPr>
          <w:p>
            <w:pPr>
              <w:pStyle w:val="TableParagraph"/>
              <w:spacing w:line="163" w:lineRule="exact" w:before="121"/>
              <w:rPr>
                <w:sz w:val="16"/>
              </w:rPr>
            </w:pPr>
            <w:r>
              <w:rPr>
                <w:sz w:val="16"/>
              </w:rPr>
              <w:t>101</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New Linnmon Ikea Desk</w:t>
            </w:r>
          </w:p>
        </w:tc>
        <w:tc>
          <w:tcPr>
            <w:tcW w:w="6212" w:type="dxa"/>
          </w:tcPr>
          <w:p>
            <w:pPr>
              <w:pStyle w:val="TableParagraph"/>
              <w:spacing w:line="163" w:lineRule="exact" w:before="121"/>
              <w:ind w:left="108"/>
              <w:rPr>
                <w:sz w:val="16"/>
              </w:rPr>
            </w:pPr>
            <w:r>
              <w:rPr>
                <w:sz w:val="16"/>
              </w:rPr>
              <w:t>https://</w:t>
            </w:r>
            <w:hyperlink r:id="rId156">
              <w:r>
                <w:rPr>
                  <w:sz w:val="16"/>
                </w:rPr>
                <w:t>www.amazon.com/Linnmon-Ikea-Desk-Upgraded-Square/dp/B01H2LYTNS/</w:t>
              </w:r>
            </w:hyperlink>
          </w:p>
        </w:tc>
      </w:tr>
      <w:tr>
        <w:trPr>
          <w:trHeight w:val="486" w:hRule="atLeast"/>
        </w:trPr>
        <w:tc>
          <w:tcPr>
            <w:tcW w:w="689" w:type="dxa"/>
          </w:tcPr>
          <w:p>
            <w:pPr>
              <w:pStyle w:val="TableParagraph"/>
              <w:spacing w:before="119"/>
              <w:rPr>
                <w:sz w:val="16"/>
              </w:rPr>
            </w:pPr>
            <w:r>
              <w:rPr>
                <w:sz w:val="16"/>
              </w:rPr>
              <w:t>102</w:t>
            </w:r>
          </w:p>
        </w:tc>
        <w:tc>
          <w:tcPr>
            <w:tcW w:w="1610" w:type="dxa"/>
          </w:tcPr>
          <w:p>
            <w:pPr>
              <w:pStyle w:val="TableParagraph"/>
              <w:spacing w:before="119"/>
              <w:ind w:left="108"/>
              <w:rPr>
                <w:sz w:val="16"/>
              </w:rPr>
            </w:pPr>
            <w:r>
              <w:rPr>
                <w:sz w:val="16"/>
              </w:rPr>
              <w:t>Mobilya</w:t>
            </w:r>
          </w:p>
        </w:tc>
        <w:tc>
          <w:tcPr>
            <w:tcW w:w="5029" w:type="dxa"/>
          </w:tcPr>
          <w:p>
            <w:pPr>
              <w:pStyle w:val="TableParagraph"/>
              <w:spacing w:before="119"/>
              <w:ind w:left="108"/>
              <w:rPr>
                <w:sz w:val="16"/>
              </w:rPr>
            </w:pPr>
            <w:r>
              <w:rPr>
                <w:sz w:val="16"/>
              </w:rPr>
              <w:t>IKEA MICKE 75x73x50cm Modern Computer Desk</w:t>
            </w:r>
          </w:p>
        </w:tc>
        <w:tc>
          <w:tcPr>
            <w:tcW w:w="6212" w:type="dxa"/>
          </w:tcPr>
          <w:p>
            <w:pPr>
              <w:pStyle w:val="TableParagraph"/>
              <w:spacing w:line="180" w:lineRule="atLeast" w:before="119"/>
              <w:ind w:left="816" w:right="1674" w:hanging="708"/>
              <w:rPr>
                <w:sz w:val="16"/>
              </w:rPr>
            </w:pPr>
            <w:r>
              <w:rPr>
                <w:sz w:val="16"/>
              </w:rPr>
              <w:t>https://</w:t>
            </w:r>
            <w:hyperlink r:id="rId157">
              <w:r>
                <w:rPr>
                  <w:sz w:val="16"/>
                </w:rPr>
                <w:t>www.amazon.com/MICKE-75x73x50cm-Modern-Computer-</w:t>
              </w:r>
            </w:hyperlink>
            <w:r>
              <w:rPr>
                <w:sz w:val="16"/>
              </w:rPr>
              <w:t> White/dp/B006LDOS6M/</w:t>
            </w:r>
          </w:p>
        </w:tc>
      </w:tr>
      <w:tr>
        <w:trPr>
          <w:trHeight w:val="304" w:hRule="atLeast"/>
        </w:trPr>
        <w:tc>
          <w:tcPr>
            <w:tcW w:w="689" w:type="dxa"/>
          </w:tcPr>
          <w:p>
            <w:pPr>
              <w:pStyle w:val="TableParagraph"/>
              <w:spacing w:line="163" w:lineRule="exact" w:before="121"/>
              <w:rPr>
                <w:sz w:val="16"/>
              </w:rPr>
            </w:pPr>
            <w:r>
              <w:rPr>
                <w:sz w:val="16"/>
              </w:rPr>
              <w:t>103</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Modus Nevis 7 Drawer Double Dresser and Mirror Set in Espresso</w:t>
            </w:r>
          </w:p>
        </w:tc>
        <w:tc>
          <w:tcPr>
            <w:tcW w:w="6212" w:type="dxa"/>
          </w:tcPr>
          <w:p>
            <w:pPr>
              <w:pStyle w:val="TableParagraph"/>
              <w:spacing w:line="163" w:lineRule="exact" w:before="121"/>
              <w:ind w:left="108"/>
              <w:rPr>
                <w:sz w:val="16"/>
              </w:rPr>
            </w:pPr>
            <w:r>
              <w:rPr>
                <w:sz w:val="16"/>
              </w:rPr>
              <w:t>https://</w:t>
            </w:r>
            <w:hyperlink r:id="rId158">
              <w:r>
                <w:rPr>
                  <w:sz w:val="16"/>
                </w:rPr>
                <w:t>www.amazon.com/Modus-Drawer-Double-Dresser-Espresso/dp/B003AVSFJ4/</w:t>
              </w:r>
            </w:hyperlink>
          </w:p>
        </w:tc>
      </w:tr>
      <w:tr>
        <w:trPr>
          <w:trHeight w:val="304" w:hRule="atLeast"/>
        </w:trPr>
        <w:tc>
          <w:tcPr>
            <w:tcW w:w="689" w:type="dxa"/>
          </w:tcPr>
          <w:p>
            <w:pPr>
              <w:pStyle w:val="TableParagraph"/>
              <w:spacing w:line="163" w:lineRule="exact" w:before="121"/>
              <w:rPr>
                <w:sz w:val="16"/>
              </w:rPr>
            </w:pPr>
            <w:r>
              <w:rPr>
                <w:sz w:val="16"/>
              </w:rPr>
              <w:t>104</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Modus Furniture 3F4182 Meadow Six Drawer Solid Wood Dresser</w:t>
            </w:r>
          </w:p>
        </w:tc>
        <w:tc>
          <w:tcPr>
            <w:tcW w:w="6212" w:type="dxa"/>
          </w:tcPr>
          <w:p>
            <w:pPr>
              <w:pStyle w:val="TableParagraph"/>
              <w:spacing w:line="163" w:lineRule="exact" w:before="121"/>
              <w:ind w:left="108"/>
              <w:rPr>
                <w:sz w:val="16"/>
              </w:rPr>
            </w:pPr>
            <w:r>
              <w:rPr>
                <w:sz w:val="16"/>
              </w:rPr>
              <w:t>https://</w:t>
            </w:r>
            <w:hyperlink r:id="rId159">
              <w:r>
                <w:rPr>
                  <w:sz w:val="16"/>
                </w:rPr>
                <w:t>www.amazon.com/Modus-Furniture-3F4182-Meadow-Dresser/dp/B00FHP57ME/</w:t>
              </w:r>
            </w:hyperlink>
          </w:p>
        </w:tc>
      </w:tr>
      <w:tr>
        <w:trPr>
          <w:trHeight w:val="304" w:hRule="atLeast"/>
        </w:trPr>
        <w:tc>
          <w:tcPr>
            <w:tcW w:w="689" w:type="dxa"/>
          </w:tcPr>
          <w:p>
            <w:pPr>
              <w:pStyle w:val="TableParagraph"/>
              <w:spacing w:line="163" w:lineRule="exact" w:before="121"/>
              <w:rPr>
                <w:sz w:val="16"/>
              </w:rPr>
            </w:pPr>
            <w:r>
              <w:rPr>
                <w:sz w:val="16"/>
              </w:rPr>
              <w:t>105</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Modus Furniture 4G2282 Element Dresser</w:t>
            </w:r>
          </w:p>
        </w:tc>
        <w:tc>
          <w:tcPr>
            <w:tcW w:w="6212" w:type="dxa"/>
          </w:tcPr>
          <w:p>
            <w:pPr>
              <w:pStyle w:val="TableParagraph"/>
              <w:spacing w:line="163" w:lineRule="exact" w:before="121"/>
              <w:ind w:left="108"/>
              <w:rPr>
                <w:sz w:val="16"/>
              </w:rPr>
            </w:pPr>
            <w:r>
              <w:rPr>
                <w:sz w:val="16"/>
              </w:rPr>
              <w:t>https://</w:t>
            </w:r>
            <w:hyperlink r:id="rId160">
              <w:r>
                <w:rPr>
                  <w:sz w:val="16"/>
                </w:rPr>
                <w:t>www.amazon.com/Modus-Furniture-4G2282-Element-Chocolate/dp/B008C7D71W/</w:t>
              </w:r>
            </w:hyperlink>
          </w:p>
        </w:tc>
      </w:tr>
      <w:tr>
        <w:trPr>
          <w:trHeight w:val="302" w:hRule="atLeast"/>
        </w:trPr>
        <w:tc>
          <w:tcPr>
            <w:tcW w:w="689" w:type="dxa"/>
          </w:tcPr>
          <w:p>
            <w:pPr>
              <w:pStyle w:val="TableParagraph"/>
              <w:spacing w:line="163" w:lineRule="exact" w:before="120"/>
              <w:rPr>
                <w:sz w:val="16"/>
              </w:rPr>
            </w:pPr>
            <w:r>
              <w:rPr>
                <w:sz w:val="16"/>
              </w:rPr>
              <w:t>106</w:t>
            </w:r>
          </w:p>
        </w:tc>
        <w:tc>
          <w:tcPr>
            <w:tcW w:w="1610" w:type="dxa"/>
          </w:tcPr>
          <w:p>
            <w:pPr>
              <w:pStyle w:val="TableParagraph"/>
              <w:spacing w:line="163" w:lineRule="exact" w:before="120"/>
              <w:ind w:left="108"/>
              <w:rPr>
                <w:sz w:val="16"/>
              </w:rPr>
            </w:pPr>
            <w:r>
              <w:rPr>
                <w:sz w:val="16"/>
              </w:rPr>
              <w:t>Mobilya</w:t>
            </w:r>
          </w:p>
        </w:tc>
        <w:tc>
          <w:tcPr>
            <w:tcW w:w="5029" w:type="dxa"/>
          </w:tcPr>
          <w:p>
            <w:pPr>
              <w:pStyle w:val="TableParagraph"/>
              <w:spacing w:line="163" w:lineRule="exact" w:before="120"/>
              <w:ind w:left="108"/>
              <w:rPr>
                <w:sz w:val="16"/>
              </w:rPr>
            </w:pPr>
            <w:r>
              <w:rPr>
                <w:sz w:val="16"/>
              </w:rPr>
              <w:t>Modus Furniture 4N3582 Paragon 8-Drawer Dresser</w:t>
            </w:r>
          </w:p>
        </w:tc>
        <w:tc>
          <w:tcPr>
            <w:tcW w:w="6212" w:type="dxa"/>
          </w:tcPr>
          <w:p>
            <w:pPr>
              <w:pStyle w:val="TableParagraph"/>
              <w:spacing w:line="163" w:lineRule="exact" w:before="120"/>
              <w:ind w:left="108"/>
              <w:rPr>
                <w:sz w:val="16"/>
              </w:rPr>
            </w:pPr>
            <w:r>
              <w:rPr>
                <w:sz w:val="16"/>
              </w:rPr>
              <w:t>https://</w:t>
            </w:r>
            <w:hyperlink r:id="rId161">
              <w:r>
                <w:rPr>
                  <w:sz w:val="16"/>
                </w:rPr>
                <w:t>www.amazon.com/Modus-Furniture-4N3582-Paragon-8-Drawer/dp/B00ASJKWWE/</w:t>
              </w:r>
            </w:hyperlink>
          </w:p>
        </w:tc>
      </w:tr>
      <w:tr>
        <w:trPr>
          <w:trHeight w:val="304" w:hRule="atLeast"/>
        </w:trPr>
        <w:tc>
          <w:tcPr>
            <w:tcW w:w="689" w:type="dxa"/>
          </w:tcPr>
          <w:p>
            <w:pPr>
              <w:pStyle w:val="TableParagraph"/>
              <w:spacing w:line="163" w:lineRule="exact" w:before="121"/>
              <w:rPr>
                <w:sz w:val="16"/>
              </w:rPr>
            </w:pPr>
            <w:r>
              <w:rPr>
                <w:sz w:val="16"/>
              </w:rPr>
              <w:t>107</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Modus Furniture Meadow Five Drawer Solid Wood Chest</w:t>
            </w:r>
          </w:p>
        </w:tc>
        <w:tc>
          <w:tcPr>
            <w:tcW w:w="6212" w:type="dxa"/>
          </w:tcPr>
          <w:p>
            <w:pPr>
              <w:pStyle w:val="TableParagraph"/>
              <w:spacing w:line="163" w:lineRule="exact" w:before="121"/>
              <w:ind w:left="108"/>
              <w:rPr>
                <w:sz w:val="16"/>
              </w:rPr>
            </w:pPr>
            <w:r>
              <w:rPr>
                <w:sz w:val="16"/>
              </w:rPr>
              <w:t>https://</w:t>
            </w:r>
            <w:hyperlink r:id="rId162">
              <w:r>
                <w:rPr>
                  <w:sz w:val="16"/>
                </w:rPr>
                <w:t>www.amazon.com/Modus-Furniture-Meadow-Drawer-Solid/dp/B00FHP59SG/</w:t>
              </w:r>
            </w:hyperlink>
          </w:p>
        </w:tc>
      </w:tr>
    </w:tbl>
    <w:p>
      <w:pPr>
        <w:spacing w:after="0" w:line="163" w:lineRule="exact"/>
        <w:rPr>
          <w:sz w:val="16"/>
        </w:rPr>
        <w:sectPr>
          <w:pgSz w:w="15840" w:h="12240" w:orient="landscape"/>
          <w:pgMar w:header="718" w:footer="0" w:top="1040" w:bottom="280" w:left="1300" w:right="760"/>
        </w:sectPr>
      </w:pPr>
    </w:p>
    <w:p>
      <w:pPr>
        <w:pStyle w:val="BodyText"/>
        <w:spacing w:before="11"/>
        <w:ind w:left="0"/>
        <w:jc w:val="left"/>
        <w:rPr>
          <w:b/>
          <w:sz w:val="6"/>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9"/>
        <w:gridCol w:w="1610"/>
        <w:gridCol w:w="5029"/>
        <w:gridCol w:w="6212"/>
      </w:tblGrid>
      <w:tr>
        <w:trPr>
          <w:trHeight w:val="304" w:hRule="atLeast"/>
        </w:trPr>
        <w:tc>
          <w:tcPr>
            <w:tcW w:w="689" w:type="dxa"/>
          </w:tcPr>
          <w:p>
            <w:pPr>
              <w:pStyle w:val="TableParagraph"/>
              <w:spacing w:line="163" w:lineRule="exact" w:before="122"/>
              <w:rPr>
                <w:sz w:val="16"/>
              </w:rPr>
            </w:pPr>
            <w:r>
              <w:rPr>
                <w:sz w:val="16"/>
              </w:rPr>
              <w:t>108</w:t>
            </w:r>
          </w:p>
        </w:tc>
        <w:tc>
          <w:tcPr>
            <w:tcW w:w="1610" w:type="dxa"/>
          </w:tcPr>
          <w:p>
            <w:pPr>
              <w:pStyle w:val="TableParagraph"/>
              <w:spacing w:line="163" w:lineRule="exact" w:before="122"/>
              <w:ind w:left="108"/>
              <w:rPr>
                <w:sz w:val="16"/>
              </w:rPr>
            </w:pPr>
            <w:r>
              <w:rPr>
                <w:sz w:val="16"/>
              </w:rPr>
              <w:t>Mobilya</w:t>
            </w:r>
          </w:p>
        </w:tc>
        <w:tc>
          <w:tcPr>
            <w:tcW w:w="5029" w:type="dxa"/>
          </w:tcPr>
          <w:p>
            <w:pPr>
              <w:pStyle w:val="TableParagraph"/>
              <w:spacing w:line="163" w:lineRule="exact" w:before="122"/>
              <w:ind w:left="108"/>
              <w:rPr>
                <w:sz w:val="16"/>
              </w:rPr>
            </w:pPr>
            <w:r>
              <w:rPr>
                <w:sz w:val="16"/>
              </w:rPr>
              <w:t>Modus Furniture NV2382 Nevis Seven Drawer Dresser</w:t>
            </w:r>
          </w:p>
        </w:tc>
        <w:tc>
          <w:tcPr>
            <w:tcW w:w="6212" w:type="dxa"/>
          </w:tcPr>
          <w:p>
            <w:pPr>
              <w:pStyle w:val="TableParagraph"/>
              <w:spacing w:line="163" w:lineRule="exact" w:before="122"/>
              <w:ind w:left="108"/>
              <w:rPr>
                <w:sz w:val="16"/>
              </w:rPr>
            </w:pPr>
            <w:r>
              <w:rPr>
                <w:sz w:val="16"/>
              </w:rPr>
              <w:t>https://</w:t>
            </w:r>
            <w:hyperlink r:id="rId163">
              <w:r>
                <w:rPr>
                  <w:sz w:val="16"/>
                </w:rPr>
                <w:t>www.amazon.com/Modus-Furniture-NV2382-Dresser-Espresso/dp/B002VWKD3E/</w:t>
              </w:r>
            </w:hyperlink>
          </w:p>
        </w:tc>
      </w:tr>
      <w:tr>
        <w:trPr>
          <w:trHeight w:val="304" w:hRule="atLeast"/>
        </w:trPr>
        <w:tc>
          <w:tcPr>
            <w:tcW w:w="689" w:type="dxa"/>
          </w:tcPr>
          <w:p>
            <w:pPr>
              <w:pStyle w:val="TableParagraph"/>
              <w:spacing w:line="163" w:lineRule="exact" w:before="121"/>
              <w:rPr>
                <w:sz w:val="16"/>
              </w:rPr>
            </w:pPr>
            <w:r>
              <w:rPr>
                <w:sz w:val="16"/>
              </w:rPr>
              <w:t>109</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Modus Furniture NV2384 Nevis Five Drawer Chest</w:t>
            </w:r>
          </w:p>
        </w:tc>
        <w:tc>
          <w:tcPr>
            <w:tcW w:w="6212" w:type="dxa"/>
          </w:tcPr>
          <w:p>
            <w:pPr>
              <w:pStyle w:val="TableParagraph"/>
              <w:spacing w:line="163" w:lineRule="exact" w:before="121"/>
              <w:ind w:left="108"/>
              <w:rPr>
                <w:sz w:val="16"/>
              </w:rPr>
            </w:pPr>
            <w:r>
              <w:rPr>
                <w:sz w:val="16"/>
              </w:rPr>
              <w:t>https://</w:t>
            </w:r>
            <w:hyperlink r:id="rId164">
              <w:r>
                <w:rPr>
                  <w:sz w:val="16"/>
                </w:rPr>
                <w:t>www.amazon.com/Modus-Furniture-NV2384-Drawer-Espresso/dp/B002VWKD4I/</w:t>
              </w:r>
            </w:hyperlink>
          </w:p>
        </w:tc>
      </w:tr>
      <w:tr>
        <w:trPr>
          <w:trHeight w:val="304" w:hRule="atLeast"/>
        </w:trPr>
        <w:tc>
          <w:tcPr>
            <w:tcW w:w="689" w:type="dxa"/>
          </w:tcPr>
          <w:p>
            <w:pPr>
              <w:pStyle w:val="TableParagraph"/>
              <w:spacing w:line="163" w:lineRule="exact" w:before="121"/>
              <w:rPr>
                <w:sz w:val="16"/>
              </w:rPr>
            </w:pPr>
            <w:r>
              <w:rPr>
                <w:sz w:val="16"/>
              </w:rPr>
              <w:t>110</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Modus Furniture RV2682 Riva 6-Drawer Dresser</w:t>
            </w:r>
          </w:p>
        </w:tc>
        <w:tc>
          <w:tcPr>
            <w:tcW w:w="6212" w:type="dxa"/>
          </w:tcPr>
          <w:p>
            <w:pPr>
              <w:pStyle w:val="TableParagraph"/>
              <w:spacing w:line="163" w:lineRule="exact" w:before="121"/>
              <w:ind w:left="108"/>
              <w:rPr>
                <w:sz w:val="16"/>
              </w:rPr>
            </w:pPr>
            <w:r>
              <w:rPr>
                <w:sz w:val="16"/>
              </w:rPr>
              <w:t>https://</w:t>
            </w:r>
            <w:hyperlink r:id="rId165">
              <w:r>
                <w:rPr>
                  <w:sz w:val="16"/>
                </w:rPr>
                <w:t>www.amazon.com/Modus-Furniture-RV2682-6-Drawer-Chocolate/dp/B00ASJJSFG/</w:t>
              </w:r>
            </w:hyperlink>
          </w:p>
        </w:tc>
      </w:tr>
      <w:tr>
        <w:trPr>
          <w:trHeight w:val="304" w:hRule="atLeast"/>
        </w:trPr>
        <w:tc>
          <w:tcPr>
            <w:tcW w:w="689" w:type="dxa"/>
          </w:tcPr>
          <w:p>
            <w:pPr>
              <w:pStyle w:val="TableParagraph"/>
              <w:spacing w:line="163" w:lineRule="exact" w:before="121"/>
              <w:rPr>
                <w:sz w:val="16"/>
              </w:rPr>
            </w:pPr>
            <w:r>
              <w:rPr>
                <w:sz w:val="16"/>
              </w:rPr>
              <w:t>111</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Modus Furniture RV2684 Riva 5-Drawer Chest</w:t>
            </w:r>
          </w:p>
        </w:tc>
        <w:tc>
          <w:tcPr>
            <w:tcW w:w="6212" w:type="dxa"/>
          </w:tcPr>
          <w:p>
            <w:pPr>
              <w:pStyle w:val="TableParagraph"/>
              <w:spacing w:line="163" w:lineRule="exact" w:before="121"/>
              <w:ind w:left="108"/>
              <w:rPr>
                <w:sz w:val="16"/>
              </w:rPr>
            </w:pPr>
            <w:r>
              <w:rPr>
                <w:sz w:val="16"/>
              </w:rPr>
              <w:t>https://</w:t>
            </w:r>
            <w:hyperlink r:id="rId166">
              <w:r>
                <w:rPr>
                  <w:sz w:val="16"/>
                </w:rPr>
                <w:t>www.amazon.com/Modus-Furniture-RV2684-5-Drawer-Chocolate/dp/B00ASJJT78/</w:t>
              </w:r>
            </w:hyperlink>
          </w:p>
        </w:tc>
      </w:tr>
      <w:tr>
        <w:trPr>
          <w:trHeight w:val="304" w:hRule="atLeast"/>
        </w:trPr>
        <w:tc>
          <w:tcPr>
            <w:tcW w:w="689" w:type="dxa"/>
          </w:tcPr>
          <w:p>
            <w:pPr>
              <w:pStyle w:val="TableParagraph"/>
              <w:spacing w:line="163" w:lineRule="exact" w:before="121"/>
              <w:rPr>
                <w:sz w:val="16"/>
              </w:rPr>
            </w:pPr>
            <w:r>
              <w:rPr>
                <w:sz w:val="16"/>
              </w:rPr>
              <w:t>112</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Pulaski Celestial Drawer Dresser</w:t>
            </w:r>
          </w:p>
        </w:tc>
        <w:tc>
          <w:tcPr>
            <w:tcW w:w="6212" w:type="dxa"/>
          </w:tcPr>
          <w:p>
            <w:pPr>
              <w:pStyle w:val="TableParagraph"/>
              <w:spacing w:line="163" w:lineRule="exact" w:before="121"/>
              <w:ind w:left="108"/>
              <w:rPr>
                <w:sz w:val="16"/>
              </w:rPr>
            </w:pPr>
            <w:r>
              <w:rPr>
                <w:sz w:val="16"/>
              </w:rPr>
              <w:t>https://</w:t>
            </w:r>
            <w:hyperlink r:id="rId167">
              <w:r>
                <w:rPr>
                  <w:sz w:val="16"/>
                </w:rPr>
                <w:t>www.amazon.com/Pulaski-8960-010-Celestial-Drawer-Dresser/dp/B01FU5KOAA/</w:t>
              </w:r>
            </w:hyperlink>
          </w:p>
        </w:tc>
      </w:tr>
      <w:tr>
        <w:trPr>
          <w:trHeight w:val="486" w:hRule="atLeast"/>
        </w:trPr>
        <w:tc>
          <w:tcPr>
            <w:tcW w:w="689" w:type="dxa"/>
          </w:tcPr>
          <w:p>
            <w:pPr>
              <w:pStyle w:val="TableParagraph"/>
              <w:spacing w:before="119"/>
              <w:rPr>
                <w:sz w:val="16"/>
              </w:rPr>
            </w:pPr>
            <w:r>
              <w:rPr>
                <w:sz w:val="16"/>
              </w:rPr>
              <w:t>113</w:t>
            </w:r>
          </w:p>
        </w:tc>
        <w:tc>
          <w:tcPr>
            <w:tcW w:w="1610" w:type="dxa"/>
          </w:tcPr>
          <w:p>
            <w:pPr>
              <w:pStyle w:val="TableParagraph"/>
              <w:spacing w:before="119"/>
              <w:ind w:left="108"/>
              <w:rPr>
                <w:sz w:val="16"/>
              </w:rPr>
            </w:pPr>
            <w:r>
              <w:rPr>
                <w:sz w:val="16"/>
              </w:rPr>
              <w:t>Mobilya</w:t>
            </w:r>
          </w:p>
        </w:tc>
        <w:tc>
          <w:tcPr>
            <w:tcW w:w="5029" w:type="dxa"/>
          </w:tcPr>
          <w:p>
            <w:pPr>
              <w:pStyle w:val="TableParagraph"/>
              <w:spacing w:before="119"/>
              <w:ind w:left="108"/>
              <w:rPr>
                <w:sz w:val="16"/>
              </w:rPr>
            </w:pPr>
            <w:r>
              <w:rPr>
                <w:sz w:val="16"/>
              </w:rPr>
              <w:t>Pulaski DS-P017033 Traditional Curved Front Hall Chest</w:t>
            </w:r>
          </w:p>
        </w:tc>
        <w:tc>
          <w:tcPr>
            <w:tcW w:w="6212" w:type="dxa"/>
          </w:tcPr>
          <w:p>
            <w:pPr>
              <w:pStyle w:val="TableParagraph"/>
              <w:spacing w:line="180" w:lineRule="atLeast" w:before="119"/>
              <w:ind w:left="816" w:right="1692" w:hanging="708"/>
              <w:rPr>
                <w:sz w:val="16"/>
              </w:rPr>
            </w:pPr>
            <w:r>
              <w:rPr>
                <w:sz w:val="16"/>
              </w:rPr>
              <w:t>https://</w:t>
            </w:r>
            <w:hyperlink r:id="rId168">
              <w:r>
                <w:rPr>
                  <w:sz w:val="16"/>
                </w:rPr>
                <w:t>www.amazon.com/Pulaski-DS-P017033-Traditional-Curved-</w:t>
              </w:r>
            </w:hyperlink>
            <w:r>
              <w:rPr>
                <w:sz w:val="16"/>
              </w:rPr>
              <w:t> Finish/dp/B012B1J1XM/</w:t>
            </w:r>
          </w:p>
        </w:tc>
      </w:tr>
      <w:tr>
        <w:trPr>
          <w:trHeight w:val="489" w:hRule="atLeast"/>
        </w:trPr>
        <w:tc>
          <w:tcPr>
            <w:tcW w:w="689" w:type="dxa"/>
          </w:tcPr>
          <w:p>
            <w:pPr>
              <w:pStyle w:val="TableParagraph"/>
              <w:spacing w:before="121"/>
              <w:rPr>
                <w:sz w:val="16"/>
              </w:rPr>
            </w:pPr>
            <w:r>
              <w:rPr>
                <w:sz w:val="16"/>
              </w:rPr>
              <w:t>114</w:t>
            </w:r>
          </w:p>
        </w:tc>
        <w:tc>
          <w:tcPr>
            <w:tcW w:w="1610" w:type="dxa"/>
          </w:tcPr>
          <w:p>
            <w:pPr>
              <w:pStyle w:val="TableParagraph"/>
              <w:spacing w:before="121"/>
              <w:ind w:left="108"/>
              <w:rPr>
                <w:sz w:val="16"/>
              </w:rPr>
            </w:pPr>
            <w:r>
              <w:rPr>
                <w:sz w:val="16"/>
              </w:rPr>
              <w:t>Mobilya</w:t>
            </w:r>
          </w:p>
        </w:tc>
        <w:tc>
          <w:tcPr>
            <w:tcW w:w="5029" w:type="dxa"/>
          </w:tcPr>
          <w:p>
            <w:pPr>
              <w:pStyle w:val="TableParagraph"/>
              <w:spacing w:before="121"/>
              <w:ind w:left="108"/>
              <w:rPr>
                <w:sz w:val="16"/>
              </w:rPr>
            </w:pPr>
            <w:r>
              <w:rPr>
                <w:sz w:val="16"/>
              </w:rPr>
              <w:t>Pulaski DS-P017065 Traditional Two Tone Accent Hall Chest</w:t>
            </w:r>
          </w:p>
        </w:tc>
        <w:tc>
          <w:tcPr>
            <w:tcW w:w="6212" w:type="dxa"/>
          </w:tcPr>
          <w:p>
            <w:pPr>
              <w:pStyle w:val="TableParagraph"/>
              <w:spacing w:line="180" w:lineRule="atLeast" w:before="121"/>
              <w:ind w:left="816" w:right="1710" w:hanging="708"/>
              <w:rPr>
                <w:sz w:val="16"/>
              </w:rPr>
            </w:pPr>
            <w:r>
              <w:rPr>
                <w:sz w:val="16"/>
              </w:rPr>
              <w:t>https://</w:t>
            </w:r>
            <w:hyperlink r:id="rId169">
              <w:r>
                <w:rPr>
                  <w:sz w:val="16"/>
                </w:rPr>
                <w:t>www.amazon.com/Pulaski-DS-P017065-Traditional-Accent-</w:t>
              </w:r>
            </w:hyperlink>
            <w:r>
              <w:rPr>
                <w:sz w:val="16"/>
              </w:rPr>
              <w:t> Finish/dp/B01C63NAR8/</w:t>
            </w:r>
          </w:p>
        </w:tc>
      </w:tr>
      <w:tr>
        <w:trPr>
          <w:trHeight w:val="302" w:hRule="atLeast"/>
        </w:trPr>
        <w:tc>
          <w:tcPr>
            <w:tcW w:w="689" w:type="dxa"/>
          </w:tcPr>
          <w:p>
            <w:pPr>
              <w:pStyle w:val="TableParagraph"/>
              <w:spacing w:line="163" w:lineRule="exact" w:before="120"/>
              <w:rPr>
                <w:sz w:val="16"/>
              </w:rPr>
            </w:pPr>
            <w:r>
              <w:rPr>
                <w:sz w:val="16"/>
              </w:rPr>
              <w:t>115</w:t>
            </w:r>
          </w:p>
        </w:tc>
        <w:tc>
          <w:tcPr>
            <w:tcW w:w="1610" w:type="dxa"/>
          </w:tcPr>
          <w:p>
            <w:pPr>
              <w:pStyle w:val="TableParagraph"/>
              <w:spacing w:line="163" w:lineRule="exact" w:before="120"/>
              <w:ind w:left="108"/>
              <w:rPr>
                <w:sz w:val="16"/>
              </w:rPr>
            </w:pPr>
            <w:r>
              <w:rPr>
                <w:sz w:val="16"/>
              </w:rPr>
              <w:t>Mobilya</w:t>
            </w:r>
          </w:p>
        </w:tc>
        <w:tc>
          <w:tcPr>
            <w:tcW w:w="5029" w:type="dxa"/>
          </w:tcPr>
          <w:p>
            <w:pPr>
              <w:pStyle w:val="TableParagraph"/>
              <w:spacing w:line="163" w:lineRule="exact" w:before="120"/>
              <w:ind w:left="108"/>
              <w:rPr>
                <w:sz w:val="16"/>
              </w:rPr>
            </w:pPr>
            <w:r>
              <w:rPr>
                <w:sz w:val="16"/>
              </w:rPr>
              <w:t>Pulaski Hand Painted Bombay Chest with Brass Drawer Pulls</w:t>
            </w:r>
          </w:p>
        </w:tc>
        <w:tc>
          <w:tcPr>
            <w:tcW w:w="6212" w:type="dxa"/>
          </w:tcPr>
          <w:p>
            <w:pPr>
              <w:pStyle w:val="TableParagraph"/>
              <w:spacing w:line="163" w:lineRule="exact" w:before="120"/>
              <w:ind w:left="108"/>
              <w:rPr>
                <w:sz w:val="16"/>
              </w:rPr>
            </w:pPr>
            <w:r>
              <w:rPr>
                <w:sz w:val="16"/>
              </w:rPr>
              <w:t>https://</w:t>
            </w:r>
            <w:hyperlink r:id="rId170">
              <w:r>
                <w:rPr>
                  <w:sz w:val="16"/>
                </w:rPr>
                <w:t>www.amazon.com/Pulaski-Painted-Bombay-Chest-Drawer/dp/B01HJ7XRO2/</w:t>
              </w:r>
            </w:hyperlink>
          </w:p>
        </w:tc>
      </w:tr>
      <w:tr>
        <w:trPr>
          <w:trHeight w:val="304" w:hRule="atLeast"/>
        </w:trPr>
        <w:tc>
          <w:tcPr>
            <w:tcW w:w="689" w:type="dxa"/>
          </w:tcPr>
          <w:p>
            <w:pPr>
              <w:pStyle w:val="TableParagraph"/>
              <w:spacing w:line="163" w:lineRule="exact" w:before="121"/>
              <w:rPr>
                <w:sz w:val="16"/>
              </w:rPr>
            </w:pPr>
            <w:r>
              <w:rPr>
                <w:sz w:val="16"/>
              </w:rPr>
              <w:t>116</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Pulaski Veronica Mirrored Accent Chest, 46 by 15 by 34-Inch</w:t>
            </w:r>
          </w:p>
        </w:tc>
        <w:tc>
          <w:tcPr>
            <w:tcW w:w="6212" w:type="dxa"/>
          </w:tcPr>
          <w:p>
            <w:pPr>
              <w:pStyle w:val="TableParagraph"/>
              <w:spacing w:line="163" w:lineRule="exact" w:before="121"/>
              <w:ind w:left="108"/>
              <w:rPr>
                <w:sz w:val="16"/>
              </w:rPr>
            </w:pPr>
            <w:r>
              <w:rPr>
                <w:sz w:val="16"/>
              </w:rPr>
              <w:t>https://</w:t>
            </w:r>
            <w:hyperlink r:id="rId171">
              <w:r>
                <w:rPr>
                  <w:sz w:val="16"/>
                </w:rPr>
                <w:t>www.amazon.com/Pulaski-Veronica-Mirrored-Accent-34-Inch/dp/B0032E6O06/</w:t>
              </w:r>
            </w:hyperlink>
          </w:p>
        </w:tc>
      </w:tr>
      <w:tr>
        <w:trPr>
          <w:trHeight w:val="304" w:hRule="atLeast"/>
        </w:trPr>
        <w:tc>
          <w:tcPr>
            <w:tcW w:w="689" w:type="dxa"/>
          </w:tcPr>
          <w:p>
            <w:pPr>
              <w:pStyle w:val="TableParagraph"/>
              <w:spacing w:line="163" w:lineRule="exact" w:before="121"/>
              <w:rPr>
                <w:sz w:val="16"/>
              </w:rPr>
            </w:pPr>
            <w:r>
              <w:rPr>
                <w:sz w:val="16"/>
              </w:rPr>
              <w:t>117</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Saratoga Executive CollectionManagers Desk</w:t>
            </w:r>
          </w:p>
        </w:tc>
        <w:tc>
          <w:tcPr>
            <w:tcW w:w="6212" w:type="dxa"/>
          </w:tcPr>
          <w:p>
            <w:pPr>
              <w:pStyle w:val="TableParagraph"/>
              <w:spacing w:line="163" w:lineRule="exact" w:before="121"/>
              <w:ind w:left="108"/>
              <w:rPr>
                <w:sz w:val="16"/>
              </w:rPr>
            </w:pPr>
            <w:r>
              <w:rPr>
                <w:sz w:val="16"/>
              </w:rPr>
              <w:t>https://</w:t>
            </w:r>
            <w:hyperlink r:id="rId172">
              <w:r>
                <w:rPr>
                  <w:sz w:val="16"/>
                </w:rPr>
                <w:t>www.amazon.com/Saratoga-Executive-Collection-Managers-Desk/dp/B000W8OTTI/</w:t>
              </w:r>
            </w:hyperlink>
          </w:p>
        </w:tc>
      </w:tr>
      <w:tr>
        <w:trPr>
          <w:trHeight w:val="304" w:hRule="atLeast"/>
        </w:trPr>
        <w:tc>
          <w:tcPr>
            <w:tcW w:w="689" w:type="dxa"/>
          </w:tcPr>
          <w:p>
            <w:pPr>
              <w:pStyle w:val="TableParagraph"/>
              <w:spacing w:line="163" w:lineRule="exact" w:before="121"/>
              <w:rPr>
                <w:sz w:val="16"/>
              </w:rPr>
            </w:pPr>
            <w:r>
              <w:rPr>
                <w:sz w:val="16"/>
              </w:rPr>
              <w:t>118</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Sauder Beginnings Desk</w:t>
            </w:r>
          </w:p>
        </w:tc>
        <w:tc>
          <w:tcPr>
            <w:tcW w:w="6212" w:type="dxa"/>
          </w:tcPr>
          <w:p>
            <w:pPr>
              <w:pStyle w:val="TableParagraph"/>
              <w:spacing w:line="163" w:lineRule="exact" w:before="121"/>
              <w:ind w:left="108"/>
              <w:rPr>
                <w:sz w:val="16"/>
              </w:rPr>
            </w:pPr>
            <w:r>
              <w:rPr>
                <w:sz w:val="16"/>
              </w:rPr>
              <w:t>https://</w:t>
            </w:r>
            <w:hyperlink r:id="rId173">
              <w:r>
                <w:rPr>
                  <w:sz w:val="16"/>
                </w:rPr>
                <w:t>www.amazon.com/Sauder-413072-Beginnings-Desk-Cherry/dp/B008V8A8CS/</w:t>
              </w:r>
            </w:hyperlink>
          </w:p>
        </w:tc>
      </w:tr>
      <w:tr>
        <w:trPr>
          <w:trHeight w:val="486" w:hRule="atLeast"/>
        </w:trPr>
        <w:tc>
          <w:tcPr>
            <w:tcW w:w="689" w:type="dxa"/>
          </w:tcPr>
          <w:p>
            <w:pPr>
              <w:pStyle w:val="TableParagraph"/>
              <w:spacing w:before="121"/>
              <w:rPr>
                <w:sz w:val="16"/>
              </w:rPr>
            </w:pPr>
            <w:r>
              <w:rPr>
                <w:sz w:val="16"/>
              </w:rPr>
              <w:t>119</w:t>
            </w:r>
          </w:p>
        </w:tc>
        <w:tc>
          <w:tcPr>
            <w:tcW w:w="1610" w:type="dxa"/>
          </w:tcPr>
          <w:p>
            <w:pPr>
              <w:pStyle w:val="TableParagraph"/>
              <w:spacing w:before="121"/>
              <w:ind w:left="108"/>
              <w:rPr>
                <w:sz w:val="16"/>
              </w:rPr>
            </w:pPr>
            <w:r>
              <w:rPr>
                <w:sz w:val="16"/>
              </w:rPr>
              <w:t>Mobilya</w:t>
            </w:r>
          </w:p>
        </w:tc>
        <w:tc>
          <w:tcPr>
            <w:tcW w:w="5029" w:type="dxa"/>
          </w:tcPr>
          <w:p>
            <w:pPr>
              <w:pStyle w:val="TableParagraph"/>
              <w:spacing w:before="121"/>
              <w:ind w:left="108"/>
              <w:rPr>
                <w:sz w:val="16"/>
              </w:rPr>
            </w:pPr>
            <w:r>
              <w:rPr>
                <w:sz w:val="16"/>
              </w:rPr>
              <w:t>Sauder Beginnings Computer Desk</w:t>
            </w:r>
          </w:p>
        </w:tc>
        <w:tc>
          <w:tcPr>
            <w:tcW w:w="6212" w:type="dxa"/>
          </w:tcPr>
          <w:p>
            <w:pPr>
              <w:pStyle w:val="TableParagraph"/>
              <w:spacing w:line="182" w:lineRule="exact" w:before="125"/>
              <w:ind w:left="816" w:right="1692" w:hanging="708"/>
              <w:rPr>
                <w:sz w:val="16"/>
              </w:rPr>
            </w:pPr>
            <w:r>
              <w:rPr>
                <w:sz w:val="16"/>
              </w:rPr>
              <w:t>https://</w:t>
            </w:r>
            <w:hyperlink r:id="rId174">
              <w:r>
                <w:rPr>
                  <w:sz w:val="16"/>
                </w:rPr>
                <w:t>www.amazon.com/Sauder-Beginnings-Computer-Cinnamon-</w:t>
              </w:r>
            </w:hyperlink>
            <w:r>
              <w:rPr>
                <w:sz w:val="16"/>
              </w:rPr>
              <w:t> Cherry/dp/B002QGLBI6/</w:t>
            </w:r>
          </w:p>
        </w:tc>
      </w:tr>
      <w:tr>
        <w:trPr>
          <w:trHeight w:val="302" w:hRule="atLeast"/>
        </w:trPr>
        <w:tc>
          <w:tcPr>
            <w:tcW w:w="689" w:type="dxa"/>
          </w:tcPr>
          <w:p>
            <w:pPr>
              <w:pStyle w:val="TableParagraph"/>
              <w:spacing w:line="163" w:lineRule="exact" w:before="119"/>
              <w:rPr>
                <w:sz w:val="16"/>
              </w:rPr>
            </w:pPr>
            <w:r>
              <w:rPr>
                <w:sz w:val="16"/>
              </w:rPr>
              <w:t>120</w:t>
            </w:r>
          </w:p>
        </w:tc>
        <w:tc>
          <w:tcPr>
            <w:tcW w:w="1610" w:type="dxa"/>
          </w:tcPr>
          <w:p>
            <w:pPr>
              <w:pStyle w:val="TableParagraph"/>
              <w:spacing w:line="163" w:lineRule="exact" w:before="119"/>
              <w:ind w:left="108"/>
              <w:rPr>
                <w:sz w:val="16"/>
              </w:rPr>
            </w:pPr>
            <w:r>
              <w:rPr>
                <w:sz w:val="16"/>
              </w:rPr>
              <w:t>Mobilya</w:t>
            </w:r>
          </w:p>
        </w:tc>
        <w:tc>
          <w:tcPr>
            <w:tcW w:w="5029" w:type="dxa"/>
          </w:tcPr>
          <w:p>
            <w:pPr>
              <w:pStyle w:val="TableParagraph"/>
              <w:spacing w:line="163" w:lineRule="exact" w:before="119"/>
              <w:ind w:left="108"/>
              <w:rPr>
                <w:sz w:val="16"/>
              </w:rPr>
            </w:pPr>
            <w:r>
              <w:rPr>
                <w:sz w:val="16"/>
              </w:rPr>
              <w:t>Sauder Beginnings Corner Computer Desk</w:t>
            </w:r>
          </w:p>
        </w:tc>
        <w:tc>
          <w:tcPr>
            <w:tcW w:w="6212" w:type="dxa"/>
          </w:tcPr>
          <w:p>
            <w:pPr>
              <w:pStyle w:val="TableParagraph"/>
              <w:spacing w:line="163" w:lineRule="exact" w:before="119"/>
              <w:ind w:left="108"/>
              <w:rPr>
                <w:sz w:val="16"/>
              </w:rPr>
            </w:pPr>
            <w:r>
              <w:rPr>
                <w:sz w:val="16"/>
              </w:rPr>
              <w:t>https://</w:t>
            </w:r>
            <w:hyperlink r:id="rId175">
              <w:r>
                <w:rPr>
                  <w:sz w:val="16"/>
                </w:rPr>
                <w:t>www.amazon.com/Sauder-Beginnings-Corner-Computer-Cherry/dp/B005OY7LWC/</w:t>
              </w:r>
            </w:hyperlink>
          </w:p>
        </w:tc>
      </w:tr>
      <w:tr>
        <w:trPr>
          <w:trHeight w:val="304" w:hRule="atLeast"/>
        </w:trPr>
        <w:tc>
          <w:tcPr>
            <w:tcW w:w="689" w:type="dxa"/>
          </w:tcPr>
          <w:p>
            <w:pPr>
              <w:pStyle w:val="TableParagraph"/>
              <w:spacing w:line="163" w:lineRule="exact" w:before="121"/>
              <w:rPr>
                <w:sz w:val="16"/>
              </w:rPr>
            </w:pPr>
            <w:r>
              <w:rPr>
                <w:sz w:val="16"/>
              </w:rPr>
              <w:t>121</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Sauder Beginnings Writing Table</w:t>
            </w:r>
          </w:p>
        </w:tc>
        <w:tc>
          <w:tcPr>
            <w:tcW w:w="6212" w:type="dxa"/>
          </w:tcPr>
          <w:p>
            <w:pPr>
              <w:pStyle w:val="TableParagraph"/>
              <w:spacing w:line="163" w:lineRule="exact" w:before="121"/>
              <w:ind w:left="108"/>
              <w:rPr>
                <w:sz w:val="16"/>
              </w:rPr>
            </w:pPr>
            <w:r>
              <w:rPr>
                <w:sz w:val="16"/>
              </w:rPr>
              <w:t>https://</w:t>
            </w:r>
            <w:hyperlink r:id="rId176">
              <w:r>
                <w:rPr>
                  <w:sz w:val="16"/>
                </w:rPr>
                <w:t>www.amazon.com/Sauder-Beginnings-Writing-Table-Cherry/dp/B00AJE8R6G/</w:t>
              </w:r>
            </w:hyperlink>
          </w:p>
        </w:tc>
      </w:tr>
      <w:tr>
        <w:trPr>
          <w:trHeight w:val="304" w:hRule="atLeast"/>
        </w:trPr>
        <w:tc>
          <w:tcPr>
            <w:tcW w:w="689" w:type="dxa"/>
          </w:tcPr>
          <w:p>
            <w:pPr>
              <w:pStyle w:val="TableParagraph"/>
              <w:spacing w:line="163" w:lineRule="exact" w:before="121"/>
              <w:rPr>
                <w:sz w:val="16"/>
              </w:rPr>
            </w:pPr>
            <w:r>
              <w:rPr>
                <w:sz w:val="16"/>
              </w:rPr>
              <w:t>122</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Sauder Carson Forge Desk</w:t>
            </w:r>
          </w:p>
        </w:tc>
        <w:tc>
          <w:tcPr>
            <w:tcW w:w="6212" w:type="dxa"/>
          </w:tcPr>
          <w:p>
            <w:pPr>
              <w:pStyle w:val="TableParagraph"/>
              <w:spacing w:line="163" w:lineRule="exact" w:before="121"/>
              <w:ind w:left="108"/>
              <w:rPr>
                <w:sz w:val="16"/>
              </w:rPr>
            </w:pPr>
            <w:r>
              <w:rPr>
                <w:sz w:val="16"/>
              </w:rPr>
              <w:t>https://</w:t>
            </w:r>
            <w:hyperlink r:id="rId177">
              <w:r>
                <w:rPr>
                  <w:sz w:val="16"/>
                </w:rPr>
                <w:t>www.amazon.com/Sauder-Carson-Washington-Cherry-Finish/dp/B008GV1KJU/</w:t>
              </w:r>
            </w:hyperlink>
          </w:p>
        </w:tc>
      </w:tr>
      <w:tr>
        <w:trPr>
          <w:trHeight w:val="304" w:hRule="atLeast"/>
        </w:trPr>
        <w:tc>
          <w:tcPr>
            <w:tcW w:w="689" w:type="dxa"/>
          </w:tcPr>
          <w:p>
            <w:pPr>
              <w:pStyle w:val="TableParagraph"/>
              <w:spacing w:line="163" w:lineRule="exact" w:before="122"/>
              <w:rPr>
                <w:sz w:val="16"/>
              </w:rPr>
            </w:pPr>
            <w:r>
              <w:rPr>
                <w:sz w:val="16"/>
              </w:rPr>
              <w:t>123</w:t>
            </w:r>
          </w:p>
        </w:tc>
        <w:tc>
          <w:tcPr>
            <w:tcW w:w="1610" w:type="dxa"/>
          </w:tcPr>
          <w:p>
            <w:pPr>
              <w:pStyle w:val="TableParagraph"/>
              <w:spacing w:line="163" w:lineRule="exact" w:before="122"/>
              <w:ind w:left="108"/>
              <w:rPr>
                <w:sz w:val="16"/>
              </w:rPr>
            </w:pPr>
            <w:r>
              <w:rPr>
                <w:sz w:val="16"/>
              </w:rPr>
              <w:t>Mobilya</w:t>
            </w:r>
          </w:p>
        </w:tc>
        <w:tc>
          <w:tcPr>
            <w:tcW w:w="5029" w:type="dxa"/>
          </w:tcPr>
          <w:p>
            <w:pPr>
              <w:pStyle w:val="TableParagraph"/>
              <w:spacing w:line="163" w:lineRule="exact" w:before="122"/>
              <w:ind w:left="108"/>
              <w:rPr>
                <w:sz w:val="16"/>
              </w:rPr>
            </w:pPr>
            <w:r>
              <w:rPr>
                <w:sz w:val="16"/>
              </w:rPr>
              <w:t>Sauder Computer Desk</w:t>
            </w:r>
          </w:p>
        </w:tc>
        <w:tc>
          <w:tcPr>
            <w:tcW w:w="6212" w:type="dxa"/>
          </w:tcPr>
          <w:p>
            <w:pPr>
              <w:pStyle w:val="TableParagraph"/>
              <w:spacing w:line="163" w:lineRule="exact" w:before="122"/>
              <w:ind w:left="108"/>
              <w:rPr>
                <w:sz w:val="16"/>
              </w:rPr>
            </w:pPr>
            <w:r>
              <w:rPr>
                <w:sz w:val="16"/>
              </w:rPr>
              <w:t>https://</w:t>
            </w:r>
            <w:hyperlink r:id="rId178">
              <w:r>
                <w:rPr>
                  <w:sz w:val="16"/>
                </w:rPr>
                <w:t>www.amazon.com/Sauder-Computer-Brushed-Maple-Finish/dp/B004G7RN1C/</w:t>
              </w:r>
            </w:hyperlink>
          </w:p>
        </w:tc>
      </w:tr>
      <w:tr>
        <w:trPr>
          <w:trHeight w:val="304" w:hRule="atLeast"/>
        </w:trPr>
        <w:tc>
          <w:tcPr>
            <w:tcW w:w="689" w:type="dxa"/>
          </w:tcPr>
          <w:p>
            <w:pPr>
              <w:pStyle w:val="TableParagraph"/>
              <w:spacing w:line="163" w:lineRule="exact" w:before="121"/>
              <w:rPr>
                <w:sz w:val="16"/>
              </w:rPr>
            </w:pPr>
            <w:r>
              <w:rPr>
                <w:sz w:val="16"/>
              </w:rPr>
              <w:t>124</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Sauder Graham Hill Desk</w:t>
            </w:r>
          </w:p>
        </w:tc>
        <w:tc>
          <w:tcPr>
            <w:tcW w:w="6212" w:type="dxa"/>
          </w:tcPr>
          <w:p>
            <w:pPr>
              <w:pStyle w:val="TableParagraph"/>
              <w:spacing w:line="163" w:lineRule="exact" w:before="121"/>
              <w:ind w:left="108"/>
              <w:rPr>
                <w:sz w:val="16"/>
              </w:rPr>
            </w:pPr>
            <w:r>
              <w:rPr>
                <w:sz w:val="16"/>
              </w:rPr>
              <w:t>https://</w:t>
            </w:r>
            <w:hyperlink r:id="rId179">
              <w:r>
                <w:rPr>
                  <w:sz w:val="16"/>
                </w:rPr>
                <w:t>www.amazon.com/Sauder-Graham-Autumn-Maple-Finish/dp/B002QGQH9O/</w:t>
              </w:r>
            </w:hyperlink>
          </w:p>
        </w:tc>
      </w:tr>
      <w:tr>
        <w:trPr>
          <w:trHeight w:val="301" w:hRule="atLeast"/>
        </w:trPr>
        <w:tc>
          <w:tcPr>
            <w:tcW w:w="689" w:type="dxa"/>
          </w:tcPr>
          <w:p>
            <w:pPr>
              <w:pStyle w:val="TableParagraph"/>
              <w:spacing w:line="163" w:lineRule="exact" w:before="119"/>
              <w:rPr>
                <w:sz w:val="16"/>
              </w:rPr>
            </w:pPr>
            <w:r>
              <w:rPr>
                <w:sz w:val="16"/>
              </w:rPr>
              <w:t>125</w:t>
            </w:r>
          </w:p>
        </w:tc>
        <w:tc>
          <w:tcPr>
            <w:tcW w:w="1610" w:type="dxa"/>
          </w:tcPr>
          <w:p>
            <w:pPr>
              <w:pStyle w:val="TableParagraph"/>
              <w:spacing w:line="163" w:lineRule="exact" w:before="119"/>
              <w:ind w:left="108"/>
              <w:rPr>
                <w:sz w:val="16"/>
              </w:rPr>
            </w:pPr>
            <w:r>
              <w:rPr>
                <w:sz w:val="16"/>
              </w:rPr>
              <w:t>Mobilya</w:t>
            </w:r>
          </w:p>
        </w:tc>
        <w:tc>
          <w:tcPr>
            <w:tcW w:w="5029" w:type="dxa"/>
          </w:tcPr>
          <w:p>
            <w:pPr>
              <w:pStyle w:val="TableParagraph"/>
              <w:spacing w:line="163" w:lineRule="exact" w:before="119"/>
              <w:ind w:left="108"/>
              <w:rPr>
                <w:sz w:val="16"/>
              </w:rPr>
            </w:pPr>
            <w:r>
              <w:rPr>
                <w:sz w:val="16"/>
              </w:rPr>
              <w:t>Sauder Harbor View Computer Desk</w:t>
            </w:r>
          </w:p>
        </w:tc>
        <w:tc>
          <w:tcPr>
            <w:tcW w:w="6212" w:type="dxa"/>
          </w:tcPr>
          <w:p>
            <w:pPr>
              <w:pStyle w:val="TableParagraph"/>
              <w:spacing w:line="163" w:lineRule="exact" w:before="119"/>
              <w:ind w:left="108"/>
              <w:rPr>
                <w:sz w:val="16"/>
              </w:rPr>
            </w:pPr>
            <w:r>
              <w:rPr>
                <w:sz w:val="16"/>
              </w:rPr>
              <w:t>https://</w:t>
            </w:r>
            <w:hyperlink r:id="rId180">
              <w:r>
                <w:rPr>
                  <w:sz w:val="16"/>
                </w:rPr>
                <w:t>www.amazon.com/Sauder-Harbor-Computer-Antiqued-Finish/dp/B001DNZ0H6/</w:t>
              </w:r>
            </w:hyperlink>
          </w:p>
        </w:tc>
      </w:tr>
      <w:tr>
        <w:trPr>
          <w:trHeight w:val="304" w:hRule="atLeast"/>
        </w:trPr>
        <w:tc>
          <w:tcPr>
            <w:tcW w:w="689" w:type="dxa"/>
          </w:tcPr>
          <w:p>
            <w:pPr>
              <w:pStyle w:val="TableParagraph"/>
              <w:spacing w:line="163" w:lineRule="exact" w:before="121"/>
              <w:rPr>
                <w:sz w:val="16"/>
              </w:rPr>
            </w:pPr>
            <w:r>
              <w:rPr>
                <w:sz w:val="16"/>
              </w:rPr>
              <w:t>126</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Sauder Shoal Creek Computer Desk</w:t>
            </w:r>
          </w:p>
        </w:tc>
        <w:tc>
          <w:tcPr>
            <w:tcW w:w="6212" w:type="dxa"/>
          </w:tcPr>
          <w:p>
            <w:pPr>
              <w:pStyle w:val="TableParagraph"/>
              <w:spacing w:line="163" w:lineRule="exact" w:before="121"/>
              <w:ind w:left="108"/>
              <w:rPr>
                <w:sz w:val="16"/>
              </w:rPr>
            </w:pPr>
            <w:r>
              <w:rPr>
                <w:sz w:val="16"/>
              </w:rPr>
              <w:t>https://</w:t>
            </w:r>
            <w:hyperlink r:id="rId181">
              <w:r>
                <w:rPr>
                  <w:sz w:val="16"/>
                </w:rPr>
                <w:t>www.amazon.com/Sauder-Shoal-Computer-Jamocha-Finish/dp/B003RB9CY4/</w:t>
              </w:r>
            </w:hyperlink>
          </w:p>
        </w:tc>
      </w:tr>
      <w:tr>
        <w:trPr>
          <w:trHeight w:val="304" w:hRule="atLeast"/>
        </w:trPr>
        <w:tc>
          <w:tcPr>
            <w:tcW w:w="689" w:type="dxa"/>
          </w:tcPr>
          <w:p>
            <w:pPr>
              <w:pStyle w:val="TableParagraph"/>
              <w:spacing w:line="163" w:lineRule="exact" w:before="121"/>
              <w:rPr>
                <w:sz w:val="16"/>
              </w:rPr>
            </w:pPr>
            <w:r>
              <w:rPr>
                <w:sz w:val="16"/>
              </w:rPr>
              <w:t>127</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Sauder Edge Water Executive Desk</w:t>
            </w:r>
          </w:p>
        </w:tc>
        <w:tc>
          <w:tcPr>
            <w:tcW w:w="6212" w:type="dxa"/>
          </w:tcPr>
          <w:p>
            <w:pPr>
              <w:pStyle w:val="TableParagraph"/>
              <w:spacing w:line="163" w:lineRule="exact" w:before="121"/>
              <w:ind w:left="108"/>
              <w:rPr>
                <w:sz w:val="16"/>
              </w:rPr>
            </w:pPr>
            <w:r>
              <w:rPr>
                <w:sz w:val="16"/>
              </w:rPr>
              <w:t>https://</w:t>
            </w:r>
            <w:hyperlink r:id="rId182">
              <w:r>
                <w:rPr>
                  <w:sz w:val="16"/>
                </w:rPr>
                <w:t>www.amazon.com/Sauder-Water-Executive-Chalked-Chestnut/dp/B010EAI4DA/</w:t>
              </w:r>
            </w:hyperlink>
          </w:p>
        </w:tc>
      </w:tr>
      <w:tr>
        <w:trPr>
          <w:trHeight w:val="304" w:hRule="atLeast"/>
        </w:trPr>
        <w:tc>
          <w:tcPr>
            <w:tcW w:w="689" w:type="dxa"/>
          </w:tcPr>
          <w:p>
            <w:pPr>
              <w:pStyle w:val="TableParagraph"/>
              <w:spacing w:line="163" w:lineRule="exact" w:before="121"/>
              <w:rPr>
                <w:sz w:val="16"/>
              </w:rPr>
            </w:pPr>
            <w:r>
              <w:rPr>
                <w:sz w:val="16"/>
              </w:rPr>
              <w:t>128</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Series A 48W Corner Desk</w:t>
            </w:r>
          </w:p>
        </w:tc>
        <w:tc>
          <w:tcPr>
            <w:tcW w:w="6212" w:type="dxa"/>
          </w:tcPr>
          <w:p>
            <w:pPr>
              <w:pStyle w:val="TableParagraph"/>
              <w:spacing w:line="163" w:lineRule="exact" w:before="121"/>
              <w:ind w:left="108"/>
              <w:rPr>
                <w:sz w:val="16"/>
              </w:rPr>
            </w:pPr>
            <w:r>
              <w:rPr>
                <w:sz w:val="16"/>
              </w:rPr>
              <w:t>https://</w:t>
            </w:r>
            <w:hyperlink r:id="rId183">
              <w:r>
                <w:rPr>
                  <w:sz w:val="16"/>
                </w:rPr>
                <w:t>www.amazon.com/Series-A-48W-Corner-Desk/dp/B000W8JO9S/</w:t>
              </w:r>
            </w:hyperlink>
          </w:p>
        </w:tc>
      </w:tr>
      <w:tr>
        <w:trPr>
          <w:trHeight w:val="304" w:hRule="atLeast"/>
        </w:trPr>
        <w:tc>
          <w:tcPr>
            <w:tcW w:w="689" w:type="dxa"/>
          </w:tcPr>
          <w:p>
            <w:pPr>
              <w:pStyle w:val="TableParagraph"/>
              <w:spacing w:line="163" w:lineRule="exact" w:before="121"/>
              <w:rPr>
                <w:sz w:val="16"/>
              </w:rPr>
            </w:pPr>
            <w:r>
              <w:rPr>
                <w:sz w:val="16"/>
              </w:rPr>
              <w:t>129</w:t>
            </w:r>
          </w:p>
        </w:tc>
        <w:tc>
          <w:tcPr>
            <w:tcW w:w="1610" w:type="dxa"/>
          </w:tcPr>
          <w:p>
            <w:pPr>
              <w:pStyle w:val="TableParagraph"/>
              <w:spacing w:line="163" w:lineRule="exact" w:before="121"/>
              <w:ind w:left="108"/>
              <w:rPr>
                <w:sz w:val="16"/>
              </w:rPr>
            </w:pPr>
            <w:r>
              <w:rPr>
                <w:sz w:val="16"/>
              </w:rPr>
              <w:t>Mobilya</w:t>
            </w:r>
          </w:p>
        </w:tc>
        <w:tc>
          <w:tcPr>
            <w:tcW w:w="5029" w:type="dxa"/>
          </w:tcPr>
          <w:p>
            <w:pPr>
              <w:pStyle w:val="TableParagraph"/>
              <w:spacing w:line="163" w:lineRule="exact" w:before="121"/>
              <w:ind w:left="108"/>
              <w:rPr>
                <w:sz w:val="16"/>
              </w:rPr>
            </w:pPr>
            <w:r>
              <w:rPr>
                <w:sz w:val="16"/>
              </w:rPr>
              <w:t>Series C 66W x 30D Office Desk</w:t>
            </w:r>
          </w:p>
        </w:tc>
        <w:tc>
          <w:tcPr>
            <w:tcW w:w="6212" w:type="dxa"/>
          </w:tcPr>
          <w:p>
            <w:pPr>
              <w:pStyle w:val="TableParagraph"/>
              <w:spacing w:line="163" w:lineRule="exact" w:before="121"/>
              <w:ind w:left="108"/>
              <w:rPr>
                <w:sz w:val="16"/>
              </w:rPr>
            </w:pPr>
            <w:r>
              <w:rPr>
                <w:sz w:val="16"/>
              </w:rPr>
              <w:t>https://</w:t>
            </w:r>
            <w:hyperlink r:id="rId184">
              <w:r>
                <w:rPr>
                  <w:sz w:val="16"/>
                </w:rPr>
                <w:t>www.amazon.com/Series-C-66-inch-Desk-Shell/dp/B000W8N0HK/</w:t>
              </w:r>
            </w:hyperlink>
          </w:p>
        </w:tc>
      </w:tr>
      <w:tr>
        <w:trPr>
          <w:trHeight w:val="301" w:hRule="atLeast"/>
        </w:trPr>
        <w:tc>
          <w:tcPr>
            <w:tcW w:w="689" w:type="dxa"/>
          </w:tcPr>
          <w:p>
            <w:pPr>
              <w:pStyle w:val="TableParagraph"/>
              <w:spacing w:line="163" w:lineRule="exact" w:before="119"/>
              <w:rPr>
                <w:sz w:val="16"/>
              </w:rPr>
            </w:pPr>
            <w:r>
              <w:rPr>
                <w:sz w:val="16"/>
              </w:rPr>
              <w:t>130</w:t>
            </w:r>
          </w:p>
        </w:tc>
        <w:tc>
          <w:tcPr>
            <w:tcW w:w="1610" w:type="dxa"/>
          </w:tcPr>
          <w:p>
            <w:pPr>
              <w:pStyle w:val="TableParagraph"/>
              <w:spacing w:line="163" w:lineRule="exact" w:before="119"/>
              <w:ind w:left="108"/>
              <w:rPr>
                <w:sz w:val="16"/>
              </w:rPr>
            </w:pPr>
            <w:r>
              <w:rPr>
                <w:sz w:val="16"/>
              </w:rPr>
              <w:t>Mobilya</w:t>
            </w:r>
          </w:p>
        </w:tc>
        <w:tc>
          <w:tcPr>
            <w:tcW w:w="5029" w:type="dxa"/>
          </w:tcPr>
          <w:p>
            <w:pPr>
              <w:pStyle w:val="TableParagraph"/>
              <w:spacing w:line="163" w:lineRule="exact" w:before="119"/>
              <w:ind w:left="108"/>
              <w:rPr>
                <w:sz w:val="16"/>
              </w:rPr>
            </w:pPr>
            <w:r>
              <w:rPr>
                <w:sz w:val="16"/>
              </w:rPr>
              <w:t>Series C 72W x 36D Bow Front Desk</w:t>
            </w:r>
          </w:p>
        </w:tc>
        <w:tc>
          <w:tcPr>
            <w:tcW w:w="6212" w:type="dxa"/>
          </w:tcPr>
          <w:p>
            <w:pPr>
              <w:pStyle w:val="TableParagraph"/>
              <w:spacing w:line="163" w:lineRule="exact" w:before="119"/>
              <w:ind w:left="108"/>
              <w:rPr>
                <w:sz w:val="16"/>
              </w:rPr>
            </w:pPr>
            <w:r>
              <w:rPr>
                <w:sz w:val="16"/>
              </w:rPr>
              <w:t>https://</w:t>
            </w:r>
            <w:hyperlink r:id="rId185">
              <w:r>
                <w:rPr>
                  <w:sz w:val="16"/>
                </w:rPr>
                <w:t>www.amazon.com/Series-C-Bow-Front-Desk/dp/B000W8N1UQ/</w:t>
              </w:r>
            </w:hyperlink>
          </w:p>
        </w:tc>
      </w:tr>
      <w:tr>
        <w:trPr>
          <w:trHeight w:val="304" w:hRule="atLeast"/>
        </w:trPr>
        <w:tc>
          <w:tcPr>
            <w:tcW w:w="689" w:type="dxa"/>
          </w:tcPr>
          <w:p>
            <w:pPr>
              <w:pStyle w:val="TableParagraph"/>
              <w:spacing w:line="163" w:lineRule="exact" w:before="121"/>
              <w:rPr>
                <w:sz w:val="16"/>
              </w:rPr>
            </w:pPr>
            <w:r>
              <w:rPr>
                <w:sz w:val="16"/>
              </w:rPr>
              <w:t>131</w:t>
            </w:r>
          </w:p>
        </w:tc>
        <w:tc>
          <w:tcPr>
            <w:tcW w:w="1610" w:type="dxa"/>
          </w:tcPr>
          <w:p>
            <w:pPr>
              <w:pStyle w:val="TableParagraph"/>
              <w:spacing w:line="163" w:lineRule="exact" w:before="121"/>
              <w:ind w:left="108"/>
              <w:rPr>
                <w:sz w:val="16"/>
              </w:rPr>
            </w:pPr>
            <w:r>
              <w:rPr>
                <w:sz w:val="16"/>
              </w:rPr>
              <w:t>Televizyon</w:t>
            </w:r>
          </w:p>
        </w:tc>
        <w:tc>
          <w:tcPr>
            <w:tcW w:w="5029" w:type="dxa"/>
          </w:tcPr>
          <w:p>
            <w:pPr>
              <w:pStyle w:val="TableParagraph"/>
              <w:spacing w:line="163" w:lineRule="exact" w:before="121"/>
              <w:ind w:left="108"/>
              <w:rPr>
                <w:sz w:val="16"/>
              </w:rPr>
            </w:pPr>
            <w:r>
              <w:rPr>
                <w:sz w:val="16"/>
              </w:rPr>
              <w:t>Sony XBR75X850E</w:t>
            </w:r>
          </w:p>
        </w:tc>
        <w:tc>
          <w:tcPr>
            <w:tcW w:w="6212" w:type="dxa"/>
          </w:tcPr>
          <w:p>
            <w:pPr>
              <w:pStyle w:val="TableParagraph"/>
              <w:spacing w:line="163" w:lineRule="exact" w:before="121"/>
              <w:ind w:left="108"/>
              <w:rPr>
                <w:sz w:val="16"/>
              </w:rPr>
            </w:pPr>
            <w:r>
              <w:rPr>
                <w:sz w:val="16"/>
              </w:rPr>
              <w:t>https://</w:t>
            </w:r>
            <w:hyperlink r:id="rId186">
              <w:r>
                <w:rPr>
                  <w:sz w:val="16"/>
                </w:rPr>
                <w:t>www.amazon.com/dp/B01MRBT8CV/</w:t>
              </w:r>
            </w:hyperlink>
          </w:p>
        </w:tc>
      </w:tr>
      <w:tr>
        <w:trPr>
          <w:trHeight w:val="305" w:hRule="atLeast"/>
        </w:trPr>
        <w:tc>
          <w:tcPr>
            <w:tcW w:w="689" w:type="dxa"/>
          </w:tcPr>
          <w:p>
            <w:pPr>
              <w:pStyle w:val="TableParagraph"/>
              <w:spacing w:line="163" w:lineRule="exact" w:before="122"/>
              <w:rPr>
                <w:sz w:val="16"/>
              </w:rPr>
            </w:pPr>
            <w:r>
              <w:rPr>
                <w:sz w:val="16"/>
              </w:rPr>
              <w:t>132</w:t>
            </w:r>
          </w:p>
        </w:tc>
        <w:tc>
          <w:tcPr>
            <w:tcW w:w="1610" w:type="dxa"/>
          </w:tcPr>
          <w:p>
            <w:pPr>
              <w:pStyle w:val="TableParagraph"/>
              <w:spacing w:line="163" w:lineRule="exact" w:before="122"/>
              <w:ind w:left="108"/>
              <w:rPr>
                <w:sz w:val="16"/>
              </w:rPr>
            </w:pPr>
            <w:r>
              <w:rPr>
                <w:sz w:val="16"/>
              </w:rPr>
              <w:t>Televizyon</w:t>
            </w:r>
          </w:p>
        </w:tc>
        <w:tc>
          <w:tcPr>
            <w:tcW w:w="5029" w:type="dxa"/>
          </w:tcPr>
          <w:p>
            <w:pPr>
              <w:pStyle w:val="TableParagraph"/>
              <w:spacing w:line="163" w:lineRule="exact" w:before="122"/>
              <w:ind w:left="108"/>
              <w:rPr>
                <w:sz w:val="16"/>
              </w:rPr>
            </w:pPr>
            <w:r>
              <w:rPr>
                <w:sz w:val="16"/>
              </w:rPr>
              <w:t>Sony XBR49X900E</w:t>
            </w:r>
          </w:p>
        </w:tc>
        <w:tc>
          <w:tcPr>
            <w:tcW w:w="6212" w:type="dxa"/>
          </w:tcPr>
          <w:p>
            <w:pPr>
              <w:pStyle w:val="TableParagraph"/>
              <w:spacing w:line="163" w:lineRule="exact" w:before="122"/>
              <w:ind w:left="108"/>
              <w:rPr>
                <w:sz w:val="16"/>
              </w:rPr>
            </w:pPr>
            <w:r>
              <w:rPr>
                <w:sz w:val="16"/>
              </w:rPr>
              <w:t>https://</w:t>
            </w:r>
            <w:hyperlink r:id="rId187">
              <w:r>
                <w:rPr>
                  <w:sz w:val="16"/>
                </w:rPr>
                <w:t>www.amazon.com/dp/B01N284JCN/</w:t>
              </w:r>
            </w:hyperlink>
          </w:p>
        </w:tc>
      </w:tr>
      <w:tr>
        <w:trPr>
          <w:trHeight w:val="304" w:hRule="atLeast"/>
        </w:trPr>
        <w:tc>
          <w:tcPr>
            <w:tcW w:w="689" w:type="dxa"/>
          </w:tcPr>
          <w:p>
            <w:pPr>
              <w:pStyle w:val="TableParagraph"/>
              <w:spacing w:line="163" w:lineRule="exact" w:before="121"/>
              <w:rPr>
                <w:sz w:val="16"/>
              </w:rPr>
            </w:pPr>
            <w:r>
              <w:rPr>
                <w:sz w:val="16"/>
              </w:rPr>
              <w:t>133</w:t>
            </w:r>
          </w:p>
        </w:tc>
        <w:tc>
          <w:tcPr>
            <w:tcW w:w="1610" w:type="dxa"/>
          </w:tcPr>
          <w:p>
            <w:pPr>
              <w:pStyle w:val="TableParagraph"/>
              <w:spacing w:line="163" w:lineRule="exact" w:before="121"/>
              <w:ind w:left="108"/>
              <w:rPr>
                <w:sz w:val="16"/>
              </w:rPr>
            </w:pPr>
            <w:r>
              <w:rPr>
                <w:sz w:val="16"/>
              </w:rPr>
              <w:t>Televizyon</w:t>
            </w:r>
          </w:p>
        </w:tc>
        <w:tc>
          <w:tcPr>
            <w:tcW w:w="5029" w:type="dxa"/>
          </w:tcPr>
          <w:p>
            <w:pPr>
              <w:pStyle w:val="TableParagraph"/>
              <w:spacing w:line="163" w:lineRule="exact" w:before="121"/>
              <w:ind w:left="108"/>
              <w:rPr>
                <w:sz w:val="16"/>
              </w:rPr>
            </w:pPr>
            <w:r>
              <w:rPr>
                <w:sz w:val="16"/>
              </w:rPr>
              <w:t>LG Electronics 43LJ5000</w:t>
            </w:r>
          </w:p>
        </w:tc>
        <w:tc>
          <w:tcPr>
            <w:tcW w:w="6212" w:type="dxa"/>
          </w:tcPr>
          <w:p>
            <w:pPr>
              <w:pStyle w:val="TableParagraph"/>
              <w:spacing w:line="163" w:lineRule="exact" w:before="121"/>
              <w:ind w:left="108"/>
              <w:rPr>
                <w:sz w:val="16"/>
              </w:rPr>
            </w:pPr>
            <w:r>
              <w:rPr>
                <w:sz w:val="16"/>
              </w:rPr>
              <w:t>https://</w:t>
            </w:r>
            <w:hyperlink r:id="rId188">
              <w:r>
                <w:rPr>
                  <w:sz w:val="16"/>
                </w:rPr>
                <w:t>www.amazon.com/LG-Electronics-43LJ5000-43-Inch-1080p/dp/B01N2849E3/</w:t>
              </w:r>
            </w:hyperlink>
          </w:p>
        </w:tc>
      </w:tr>
    </w:tbl>
    <w:p>
      <w:pPr>
        <w:spacing w:after="0" w:line="163" w:lineRule="exact"/>
        <w:rPr>
          <w:sz w:val="16"/>
        </w:rPr>
        <w:sectPr>
          <w:pgSz w:w="15840" w:h="12240" w:orient="landscape"/>
          <w:pgMar w:header="718" w:footer="0" w:top="1040" w:bottom="280" w:left="1300" w:right="760"/>
        </w:sectPr>
      </w:pPr>
    </w:p>
    <w:p>
      <w:pPr>
        <w:pStyle w:val="BodyText"/>
        <w:spacing w:before="11"/>
        <w:ind w:left="0"/>
        <w:jc w:val="left"/>
        <w:rPr>
          <w:b/>
          <w:sz w:val="6"/>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9"/>
        <w:gridCol w:w="1610"/>
        <w:gridCol w:w="5029"/>
        <w:gridCol w:w="6212"/>
      </w:tblGrid>
      <w:tr>
        <w:trPr>
          <w:trHeight w:val="304" w:hRule="atLeast"/>
        </w:trPr>
        <w:tc>
          <w:tcPr>
            <w:tcW w:w="689" w:type="dxa"/>
          </w:tcPr>
          <w:p>
            <w:pPr>
              <w:pStyle w:val="TableParagraph"/>
              <w:spacing w:line="163" w:lineRule="exact" w:before="122"/>
              <w:rPr>
                <w:sz w:val="16"/>
              </w:rPr>
            </w:pPr>
            <w:r>
              <w:rPr>
                <w:sz w:val="16"/>
              </w:rPr>
              <w:t>134</w:t>
            </w:r>
          </w:p>
        </w:tc>
        <w:tc>
          <w:tcPr>
            <w:tcW w:w="1610" w:type="dxa"/>
          </w:tcPr>
          <w:p>
            <w:pPr>
              <w:pStyle w:val="TableParagraph"/>
              <w:spacing w:line="163" w:lineRule="exact" w:before="122"/>
              <w:ind w:left="108"/>
              <w:rPr>
                <w:sz w:val="16"/>
              </w:rPr>
            </w:pPr>
            <w:r>
              <w:rPr>
                <w:sz w:val="16"/>
              </w:rPr>
              <w:t>Televizyon</w:t>
            </w:r>
          </w:p>
        </w:tc>
        <w:tc>
          <w:tcPr>
            <w:tcW w:w="5029" w:type="dxa"/>
          </w:tcPr>
          <w:p>
            <w:pPr>
              <w:pStyle w:val="TableParagraph"/>
              <w:spacing w:line="163" w:lineRule="exact" w:before="122"/>
              <w:ind w:left="108"/>
              <w:rPr>
                <w:sz w:val="16"/>
              </w:rPr>
            </w:pPr>
            <w:r>
              <w:rPr>
                <w:sz w:val="16"/>
              </w:rPr>
              <w:t>LG Electronics OLED65C7P</w:t>
            </w:r>
          </w:p>
        </w:tc>
        <w:tc>
          <w:tcPr>
            <w:tcW w:w="6212" w:type="dxa"/>
          </w:tcPr>
          <w:p>
            <w:pPr>
              <w:pStyle w:val="TableParagraph"/>
              <w:spacing w:line="163" w:lineRule="exact" w:before="122"/>
              <w:ind w:left="108"/>
              <w:rPr>
                <w:sz w:val="16"/>
              </w:rPr>
            </w:pPr>
            <w:r>
              <w:rPr>
                <w:sz w:val="16"/>
              </w:rPr>
              <w:t>https://</w:t>
            </w:r>
            <w:hyperlink r:id="rId189">
              <w:r>
                <w:rPr>
                  <w:sz w:val="16"/>
                </w:rPr>
                <w:t>www.amazon.com/LG-Electronics-OLED65C7P-65-Inch-Ultra/dp/B01NAYM1TP/</w:t>
              </w:r>
            </w:hyperlink>
          </w:p>
        </w:tc>
      </w:tr>
      <w:tr>
        <w:trPr>
          <w:trHeight w:val="489" w:hRule="atLeast"/>
        </w:trPr>
        <w:tc>
          <w:tcPr>
            <w:tcW w:w="689" w:type="dxa"/>
          </w:tcPr>
          <w:p>
            <w:pPr>
              <w:pStyle w:val="TableParagraph"/>
              <w:spacing w:before="121"/>
              <w:rPr>
                <w:sz w:val="16"/>
              </w:rPr>
            </w:pPr>
            <w:r>
              <w:rPr>
                <w:sz w:val="16"/>
              </w:rPr>
              <w:t>135</w:t>
            </w:r>
          </w:p>
        </w:tc>
        <w:tc>
          <w:tcPr>
            <w:tcW w:w="1610" w:type="dxa"/>
          </w:tcPr>
          <w:p>
            <w:pPr>
              <w:pStyle w:val="TableParagraph"/>
              <w:spacing w:before="121"/>
              <w:ind w:left="108"/>
              <w:rPr>
                <w:sz w:val="16"/>
              </w:rPr>
            </w:pPr>
            <w:r>
              <w:rPr>
                <w:sz w:val="16"/>
              </w:rPr>
              <w:t>Televizyon</w:t>
            </w:r>
          </w:p>
        </w:tc>
        <w:tc>
          <w:tcPr>
            <w:tcW w:w="5029" w:type="dxa"/>
          </w:tcPr>
          <w:p>
            <w:pPr>
              <w:pStyle w:val="TableParagraph"/>
              <w:spacing w:before="121"/>
              <w:ind w:left="108"/>
              <w:rPr>
                <w:sz w:val="16"/>
              </w:rPr>
            </w:pPr>
            <w:r>
              <w:rPr>
                <w:sz w:val="16"/>
              </w:rPr>
              <w:t>Samsung Electronics UN49MU8000</w:t>
            </w:r>
          </w:p>
        </w:tc>
        <w:tc>
          <w:tcPr>
            <w:tcW w:w="6212" w:type="dxa"/>
          </w:tcPr>
          <w:p>
            <w:pPr>
              <w:pStyle w:val="TableParagraph"/>
              <w:spacing w:line="180" w:lineRule="atLeast" w:before="121"/>
              <w:ind w:left="816" w:right="1399" w:hanging="708"/>
              <w:rPr>
                <w:sz w:val="16"/>
              </w:rPr>
            </w:pPr>
            <w:r>
              <w:rPr>
                <w:sz w:val="16"/>
              </w:rPr>
              <w:t>https://</w:t>
            </w:r>
            <w:hyperlink r:id="rId190">
              <w:r>
                <w:rPr>
                  <w:sz w:val="16"/>
                </w:rPr>
                <w:t>www.amazon.com/Samsung-Electronics-UN49MU8000-49-Inch-</w:t>
              </w:r>
            </w:hyperlink>
            <w:r>
              <w:rPr>
                <w:sz w:val="16"/>
              </w:rPr>
              <w:t> Ultra/dp/B06X9VCP3W/</w:t>
            </w:r>
          </w:p>
        </w:tc>
      </w:tr>
      <w:tr>
        <w:trPr>
          <w:trHeight w:val="486" w:hRule="atLeast"/>
        </w:trPr>
        <w:tc>
          <w:tcPr>
            <w:tcW w:w="689" w:type="dxa"/>
          </w:tcPr>
          <w:p>
            <w:pPr>
              <w:pStyle w:val="TableParagraph"/>
              <w:spacing w:before="121"/>
              <w:rPr>
                <w:sz w:val="16"/>
              </w:rPr>
            </w:pPr>
            <w:r>
              <w:rPr>
                <w:sz w:val="16"/>
              </w:rPr>
              <w:t>136</w:t>
            </w:r>
          </w:p>
        </w:tc>
        <w:tc>
          <w:tcPr>
            <w:tcW w:w="1610" w:type="dxa"/>
          </w:tcPr>
          <w:p>
            <w:pPr>
              <w:pStyle w:val="TableParagraph"/>
              <w:spacing w:before="121"/>
              <w:ind w:left="108"/>
              <w:rPr>
                <w:sz w:val="16"/>
              </w:rPr>
            </w:pPr>
            <w:r>
              <w:rPr>
                <w:sz w:val="16"/>
              </w:rPr>
              <w:t>Televizyon</w:t>
            </w:r>
          </w:p>
        </w:tc>
        <w:tc>
          <w:tcPr>
            <w:tcW w:w="5029" w:type="dxa"/>
          </w:tcPr>
          <w:p>
            <w:pPr>
              <w:pStyle w:val="TableParagraph"/>
              <w:spacing w:before="121"/>
              <w:ind w:left="108"/>
              <w:rPr>
                <w:sz w:val="16"/>
              </w:rPr>
            </w:pPr>
            <w:r>
              <w:rPr>
                <w:sz w:val="16"/>
              </w:rPr>
              <w:t>Samsung Electronics UN55MU8500</w:t>
            </w:r>
          </w:p>
        </w:tc>
        <w:tc>
          <w:tcPr>
            <w:tcW w:w="6212" w:type="dxa"/>
          </w:tcPr>
          <w:p>
            <w:pPr>
              <w:pStyle w:val="TableParagraph"/>
              <w:spacing w:line="182" w:lineRule="exact" w:before="125"/>
              <w:ind w:left="816" w:right="1212" w:hanging="708"/>
              <w:rPr>
                <w:sz w:val="16"/>
              </w:rPr>
            </w:pPr>
            <w:r>
              <w:rPr>
                <w:sz w:val="16"/>
              </w:rPr>
              <w:t>https://</w:t>
            </w:r>
            <w:hyperlink r:id="rId191">
              <w:r>
                <w:rPr>
                  <w:sz w:val="16"/>
                </w:rPr>
                <w:t>www.amazon.com/Samsung-Electronics-UN55MU8500-Curved-55-</w:t>
              </w:r>
            </w:hyperlink>
            <w:r>
              <w:rPr>
                <w:sz w:val="16"/>
              </w:rPr>
              <w:t> Inch/dp/B06XGCSS8H/</w:t>
            </w:r>
          </w:p>
        </w:tc>
      </w:tr>
      <w:tr>
        <w:trPr>
          <w:trHeight w:val="487" w:hRule="atLeast"/>
        </w:trPr>
        <w:tc>
          <w:tcPr>
            <w:tcW w:w="689" w:type="dxa"/>
          </w:tcPr>
          <w:p>
            <w:pPr>
              <w:pStyle w:val="TableParagraph"/>
              <w:spacing w:before="119"/>
              <w:rPr>
                <w:sz w:val="16"/>
              </w:rPr>
            </w:pPr>
            <w:r>
              <w:rPr>
                <w:sz w:val="16"/>
              </w:rPr>
              <w:t>137</w:t>
            </w:r>
          </w:p>
        </w:tc>
        <w:tc>
          <w:tcPr>
            <w:tcW w:w="1610" w:type="dxa"/>
          </w:tcPr>
          <w:p>
            <w:pPr>
              <w:pStyle w:val="TableParagraph"/>
              <w:spacing w:before="119"/>
              <w:ind w:left="108"/>
              <w:rPr>
                <w:sz w:val="16"/>
              </w:rPr>
            </w:pPr>
            <w:r>
              <w:rPr>
                <w:sz w:val="16"/>
              </w:rPr>
              <w:t>Televizyon</w:t>
            </w:r>
          </w:p>
        </w:tc>
        <w:tc>
          <w:tcPr>
            <w:tcW w:w="5029" w:type="dxa"/>
          </w:tcPr>
          <w:p>
            <w:pPr>
              <w:pStyle w:val="TableParagraph"/>
              <w:spacing w:before="119"/>
              <w:ind w:left="108"/>
              <w:rPr>
                <w:sz w:val="16"/>
              </w:rPr>
            </w:pPr>
            <w:r>
              <w:rPr>
                <w:sz w:val="16"/>
              </w:rPr>
              <w:t>Samsung Electronics UN65MU8500</w:t>
            </w:r>
          </w:p>
        </w:tc>
        <w:tc>
          <w:tcPr>
            <w:tcW w:w="6212" w:type="dxa"/>
          </w:tcPr>
          <w:p>
            <w:pPr>
              <w:pStyle w:val="TableParagraph"/>
              <w:spacing w:line="180" w:lineRule="atLeast" w:before="119"/>
              <w:ind w:left="816" w:right="1212" w:hanging="708"/>
              <w:rPr>
                <w:sz w:val="16"/>
              </w:rPr>
            </w:pPr>
            <w:r>
              <w:rPr>
                <w:sz w:val="16"/>
              </w:rPr>
              <w:t>https://</w:t>
            </w:r>
            <w:hyperlink r:id="rId192">
              <w:r>
                <w:rPr>
                  <w:sz w:val="16"/>
                </w:rPr>
                <w:t>www.amazon.com/Samsung-Electronics-UN65MU8500-Curved-65-</w:t>
              </w:r>
            </w:hyperlink>
            <w:r>
              <w:rPr>
                <w:sz w:val="16"/>
              </w:rPr>
              <w:t> Inch/dp/B06XGD5JSW/</w:t>
            </w:r>
          </w:p>
        </w:tc>
      </w:tr>
      <w:tr>
        <w:trPr>
          <w:trHeight w:val="486" w:hRule="atLeast"/>
        </w:trPr>
        <w:tc>
          <w:tcPr>
            <w:tcW w:w="689" w:type="dxa"/>
          </w:tcPr>
          <w:p>
            <w:pPr>
              <w:pStyle w:val="TableParagraph"/>
              <w:spacing w:before="121"/>
              <w:rPr>
                <w:sz w:val="16"/>
              </w:rPr>
            </w:pPr>
            <w:r>
              <w:rPr>
                <w:sz w:val="16"/>
              </w:rPr>
              <w:t>138</w:t>
            </w:r>
          </w:p>
        </w:tc>
        <w:tc>
          <w:tcPr>
            <w:tcW w:w="1610" w:type="dxa"/>
          </w:tcPr>
          <w:p>
            <w:pPr>
              <w:pStyle w:val="TableParagraph"/>
              <w:spacing w:before="121"/>
              <w:ind w:left="108"/>
              <w:rPr>
                <w:sz w:val="16"/>
              </w:rPr>
            </w:pPr>
            <w:r>
              <w:rPr>
                <w:sz w:val="16"/>
              </w:rPr>
              <w:t>Televizyon</w:t>
            </w:r>
          </w:p>
        </w:tc>
        <w:tc>
          <w:tcPr>
            <w:tcW w:w="5029" w:type="dxa"/>
          </w:tcPr>
          <w:p>
            <w:pPr>
              <w:pStyle w:val="TableParagraph"/>
              <w:spacing w:before="121"/>
              <w:ind w:left="108"/>
              <w:rPr>
                <w:sz w:val="16"/>
              </w:rPr>
            </w:pPr>
            <w:r>
              <w:rPr>
                <w:sz w:val="16"/>
              </w:rPr>
              <w:t>Samsung UN65MU9000</w:t>
            </w:r>
          </w:p>
        </w:tc>
        <w:tc>
          <w:tcPr>
            <w:tcW w:w="6212" w:type="dxa"/>
          </w:tcPr>
          <w:p>
            <w:pPr>
              <w:pStyle w:val="TableParagraph"/>
              <w:spacing w:line="182" w:lineRule="exact" w:before="125"/>
              <w:ind w:left="816" w:right="1399" w:hanging="708"/>
              <w:rPr>
                <w:sz w:val="16"/>
              </w:rPr>
            </w:pPr>
            <w:r>
              <w:rPr>
                <w:sz w:val="16"/>
              </w:rPr>
              <w:t>https://</w:t>
            </w:r>
            <w:hyperlink r:id="rId193">
              <w:r>
                <w:rPr>
                  <w:sz w:val="16"/>
                </w:rPr>
                <w:t>www.amazon.com/Samsung-Electronics-UN65MU9000-65-Inch-</w:t>
              </w:r>
            </w:hyperlink>
            <w:r>
              <w:rPr>
                <w:sz w:val="16"/>
              </w:rPr>
              <w:t> Ultra/dp/B06XGCT2PQ/</w:t>
            </w:r>
          </w:p>
        </w:tc>
      </w:tr>
      <w:tr>
        <w:trPr>
          <w:trHeight w:val="302" w:hRule="atLeast"/>
        </w:trPr>
        <w:tc>
          <w:tcPr>
            <w:tcW w:w="689" w:type="dxa"/>
          </w:tcPr>
          <w:p>
            <w:pPr>
              <w:pStyle w:val="TableParagraph"/>
              <w:spacing w:line="163" w:lineRule="exact" w:before="119"/>
              <w:rPr>
                <w:sz w:val="16"/>
              </w:rPr>
            </w:pPr>
            <w:r>
              <w:rPr>
                <w:sz w:val="16"/>
              </w:rPr>
              <w:t>139</w:t>
            </w:r>
          </w:p>
        </w:tc>
        <w:tc>
          <w:tcPr>
            <w:tcW w:w="1610" w:type="dxa"/>
          </w:tcPr>
          <w:p>
            <w:pPr>
              <w:pStyle w:val="TableParagraph"/>
              <w:spacing w:line="163" w:lineRule="exact" w:before="119"/>
              <w:ind w:left="108"/>
              <w:rPr>
                <w:sz w:val="16"/>
              </w:rPr>
            </w:pPr>
            <w:r>
              <w:rPr>
                <w:sz w:val="16"/>
              </w:rPr>
              <w:t>Televizyon</w:t>
            </w:r>
          </w:p>
        </w:tc>
        <w:tc>
          <w:tcPr>
            <w:tcW w:w="5029" w:type="dxa"/>
          </w:tcPr>
          <w:p>
            <w:pPr>
              <w:pStyle w:val="TableParagraph"/>
              <w:spacing w:line="163" w:lineRule="exact" w:before="119"/>
              <w:ind w:left="108"/>
              <w:rPr>
                <w:sz w:val="16"/>
              </w:rPr>
            </w:pPr>
            <w:r>
              <w:rPr>
                <w:sz w:val="16"/>
              </w:rPr>
              <w:t>Sceptre 50quot 1080p LED TV</w:t>
            </w:r>
          </w:p>
        </w:tc>
        <w:tc>
          <w:tcPr>
            <w:tcW w:w="6212" w:type="dxa"/>
          </w:tcPr>
          <w:p>
            <w:pPr>
              <w:pStyle w:val="TableParagraph"/>
              <w:spacing w:line="163" w:lineRule="exact" w:before="119"/>
              <w:ind w:left="108"/>
              <w:rPr>
                <w:sz w:val="16"/>
              </w:rPr>
            </w:pPr>
            <w:r>
              <w:rPr>
                <w:sz w:val="16"/>
              </w:rPr>
              <w:t>https://</w:t>
            </w:r>
            <w:hyperlink r:id="rId194">
              <w:r>
                <w:rPr>
                  <w:sz w:val="16"/>
                </w:rPr>
                <w:t>www.amazon.com/Sceptre-1080p-True-black-E505BV-FMQC/dp/B06Y16YM9S/</w:t>
              </w:r>
            </w:hyperlink>
          </w:p>
        </w:tc>
      </w:tr>
      <w:tr>
        <w:trPr>
          <w:trHeight w:val="305" w:hRule="atLeast"/>
        </w:trPr>
        <w:tc>
          <w:tcPr>
            <w:tcW w:w="689" w:type="dxa"/>
          </w:tcPr>
          <w:p>
            <w:pPr>
              <w:pStyle w:val="TableParagraph"/>
              <w:spacing w:line="163" w:lineRule="exact" w:before="122"/>
              <w:rPr>
                <w:sz w:val="16"/>
              </w:rPr>
            </w:pPr>
            <w:r>
              <w:rPr>
                <w:sz w:val="16"/>
              </w:rPr>
              <w:t>140</w:t>
            </w:r>
          </w:p>
        </w:tc>
        <w:tc>
          <w:tcPr>
            <w:tcW w:w="1610" w:type="dxa"/>
          </w:tcPr>
          <w:p>
            <w:pPr>
              <w:pStyle w:val="TableParagraph"/>
              <w:spacing w:line="163" w:lineRule="exact" w:before="122"/>
              <w:ind w:left="108"/>
              <w:rPr>
                <w:sz w:val="16"/>
              </w:rPr>
            </w:pPr>
            <w:r>
              <w:rPr>
                <w:sz w:val="16"/>
              </w:rPr>
              <w:t>Televizyon</w:t>
            </w:r>
          </w:p>
        </w:tc>
        <w:tc>
          <w:tcPr>
            <w:tcW w:w="5029" w:type="dxa"/>
          </w:tcPr>
          <w:p>
            <w:pPr>
              <w:pStyle w:val="TableParagraph"/>
              <w:spacing w:line="163" w:lineRule="exact" w:before="122"/>
              <w:ind w:left="108"/>
              <w:rPr>
                <w:sz w:val="16"/>
              </w:rPr>
            </w:pPr>
            <w:r>
              <w:rPr>
                <w:sz w:val="16"/>
              </w:rPr>
              <w:t>Sceptre 32quot 720p TV</w:t>
            </w:r>
          </w:p>
        </w:tc>
        <w:tc>
          <w:tcPr>
            <w:tcW w:w="6212" w:type="dxa"/>
          </w:tcPr>
          <w:p>
            <w:pPr>
              <w:pStyle w:val="TableParagraph"/>
              <w:spacing w:line="163" w:lineRule="exact" w:before="122"/>
              <w:ind w:left="108"/>
              <w:rPr>
                <w:sz w:val="16"/>
              </w:rPr>
            </w:pPr>
            <w:r>
              <w:rPr>
                <w:sz w:val="16"/>
              </w:rPr>
              <w:t>https://</w:t>
            </w:r>
            <w:hyperlink r:id="rId195">
              <w:r>
                <w:rPr>
                  <w:sz w:val="16"/>
                </w:rPr>
                <w:t>www.amazon.com/Sceptre-32-720p-TV-X328BV-SR/dp/B06XNMQQCP/</w:t>
              </w:r>
            </w:hyperlink>
          </w:p>
        </w:tc>
      </w:tr>
      <w:tr>
        <w:trPr>
          <w:trHeight w:val="304" w:hRule="atLeast"/>
        </w:trPr>
        <w:tc>
          <w:tcPr>
            <w:tcW w:w="689" w:type="dxa"/>
          </w:tcPr>
          <w:p>
            <w:pPr>
              <w:pStyle w:val="TableParagraph"/>
              <w:spacing w:line="163" w:lineRule="exact" w:before="121"/>
              <w:rPr>
                <w:sz w:val="16"/>
              </w:rPr>
            </w:pPr>
            <w:r>
              <w:rPr>
                <w:sz w:val="16"/>
              </w:rPr>
              <w:t>141</w:t>
            </w:r>
          </w:p>
        </w:tc>
        <w:tc>
          <w:tcPr>
            <w:tcW w:w="1610" w:type="dxa"/>
          </w:tcPr>
          <w:p>
            <w:pPr>
              <w:pStyle w:val="TableParagraph"/>
              <w:spacing w:line="163" w:lineRule="exact" w:before="121"/>
              <w:ind w:left="108"/>
              <w:rPr>
                <w:sz w:val="16"/>
              </w:rPr>
            </w:pPr>
            <w:r>
              <w:rPr>
                <w:sz w:val="16"/>
              </w:rPr>
              <w:t>Televizyon</w:t>
            </w:r>
          </w:p>
        </w:tc>
        <w:tc>
          <w:tcPr>
            <w:tcW w:w="5029" w:type="dxa"/>
          </w:tcPr>
          <w:p>
            <w:pPr>
              <w:pStyle w:val="TableParagraph"/>
              <w:spacing w:line="163" w:lineRule="exact" w:before="121"/>
              <w:ind w:left="108"/>
              <w:rPr>
                <w:sz w:val="16"/>
              </w:rPr>
            </w:pPr>
            <w:r>
              <w:rPr>
                <w:sz w:val="16"/>
              </w:rPr>
              <w:t>Sceptre E195BD-SRR</w:t>
            </w:r>
          </w:p>
        </w:tc>
        <w:tc>
          <w:tcPr>
            <w:tcW w:w="6212" w:type="dxa"/>
          </w:tcPr>
          <w:p>
            <w:pPr>
              <w:pStyle w:val="TableParagraph"/>
              <w:spacing w:line="163" w:lineRule="exact" w:before="121"/>
              <w:ind w:left="108"/>
              <w:rPr>
                <w:sz w:val="16"/>
              </w:rPr>
            </w:pPr>
            <w:r>
              <w:rPr>
                <w:sz w:val="16"/>
              </w:rPr>
              <w:t>https://</w:t>
            </w:r>
            <w:hyperlink r:id="rId196">
              <w:r>
                <w:rPr>
                  <w:sz w:val="16"/>
                </w:rPr>
                <w:t>www.amazon.com/Sceptre-E195BD-SRR-19-Inch-720P-Black/dp/B01MY87FWG/</w:t>
              </w:r>
            </w:hyperlink>
          </w:p>
        </w:tc>
      </w:tr>
      <w:tr>
        <w:trPr>
          <w:trHeight w:val="486" w:hRule="atLeast"/>
        </w:trPr>
        <w:tc>
          <w:tcPr>
            <w:tcW w:w="689" w:type="dxa"/>
          </w:tcPr>
          <w:p>
            <w:pPr>
              <w:pStyle w:val="TableParagraph"/>
              <w:spacing w:before="121"/>
              <w:rPr>
                <w:sz w:val="16"/>
              </w:rPr>
            </w:pPr>
            <w:r>
              <w:rPr>
                <w:sz w:val="16"/>
              </w:rPr>
              <w:t>142</w:t>
            </w:r>
          </w:p>
        </w:tc>
        <w:tc>
          <w:tcPr>
            <w:tcW w:w="1610" w:type="dxa"/>
          </w:tcPr>
          <w:p>
            <w:pPr>
              <w:pStyle w:val="TableParagraph"/>
              <w:spacing w:before="121"/>
              <w:ind w:left="108"/>
              <w:rPr>
                <w:sz w:val="16"/>
              </w:rPr>
            </w:pPr>
            <w:r>
              <w:rPr>
                <w:sz w:val="16"/>
              </w:rPr>
              <w:t>Televizyon</w:t>
            </w:r>
          </w:p>
        </w:tc>
        <w:tc>
          <w:tcPr>
            <w:tcW w:w="5029" w:type="dxa"/>
          </w:tcPr>
          <w:p>
            <w:pPr>
              <w:pStyle w:val="TableParagraph"/>
              <w:spacing w:before="121"/>
              <w:ind w:left="108"/>
              <w:rPr>
                <w:sz w:val="16"/>
              </w:rPr>
            </w:pPr>
            <w:r>
              <w:rPr>
                <w:sz w:val="16"/>
              </w:rPr>
              <w:t>Sceptre E245BD-FHD</w:t>
            </w:r>
          </w:p>
        </w:tc>
        <w:tc>
          <w:tcPr>
            <w:tcW w:w="6212" w:type="dxa"/>
          </w:tcPr>
          <w:p>
            <w:pPr>
              <w:pStyle w:val="TableParagraph"/>
              <w:spacing w:line="182" w:lineRule="exact" w:before="125"/>
              <w:ind w:left="816" w:right="1541" w:hanging="708"/>
              <w:rPr>
                <w:sz w:val="16"/>
              </w:rPr>
            </w:pPr>
            <w:r>
              <w:rPr>
                <w:sz w:val="16"/>
              </w:rPr>
              <w:t>https://</w:t>
            </w:r>
            <w:hyperlink r:id="rId197">
              <w:r>
                <w:rPr>
                  <w:sz w:val="16"/>
                </w:rPr>
                <w:t>www.amazon.com/Sceptre-E245BD-FHD-Display-1920x1080-</w:t>
              </w:r>
            </w:hyperlink>
            <w:r>
              <w:rPr>
                <w:sz w:val="16"/>
              </w:rPr>
              <w:t> Black/dp/B00AG2TZH6/</w:t>
            </w:r>
          </w:p>
        </w:tc>
      </w:tr>
      <w:tr>
        <w:trPr>
          <w:trHeight w:val="302" w:hRule="atLeast"/>
        </w:trPr>
        <w:tc>
          <w:tcPr>
            <w:tcW w:w="689" w:type="dxa"/>
          </w:tcPr>
          <w:p>
            <w:pPr>
              <w:pStyle w:val="TableParagraph"/>
              <w:spacing w:line="163" w:lineRule="exact" w:before="119"/>
              <w:rPr>
                <w:sz w:val="16"/>
              </w:rPr>
            </w:pPr>
            <w:r>
              <w:rPr>
                <w:sz w:val="16"/>
              </w:rPr>
              <w:t>143</w:t>
            </w:r>
          </w:p>
        </w:tc>
        <w:tc>
          <w:tcPr>
            <w:tcW w:w="1610" w:type="dxa"/>
          </w:tcPr>
          <w:p>
            <w:pPr>
              <w:pStyle w:val="TableParagraph"/>
              <w:spacing w:line="163" w:lineRule="exact" w:before="119"/>
              <w:ind w:left="108"/>
              <w:rPr>
                <w:sz w:val="16"/>
              </w:rPr>
            </w:pPr>
            <w:r>
              <w:rPr>
                <w:sz w:val="16"/>
              </w:rPr>
              <w:t>Televizyon</w:t>
            </w:r>
          </w:p>
        </w:tc>
        <w:tc>
          <w:tcPr>
            <w:tcW w:w="5029" w:type="dxa"/>
          </w:tcPr>
          <w:p>
            <w:pPr>
              <w:pStyle w:val="TableParagraph"/>
              <w:spacing w:line="163" w:lineRule="exact" w:before="119"/>
              <w:ind w:left="108"/>
              <w:rPr>
                <w:sz w:val="16"/>
              </w:rPr>
            </w:pPr>
            <w:r>
              <w:rPr>
                <w:sz w:val="16"/>
              </w:rPr>
              <w:t>Sceptre E505BV-FMQK</w:t>
            </w:r>
          </w:p>
        </w:tc>
        <w:tc>
          <w:tcPr>
            <w:tcW w:w="6212" w:type="dxa"/>
          </w:tcPr>
          <w:p>
            <w:pPr>
              <w:pStyle w:val="TableParagraph"/>
              <w:spacing w:line="163" w:lineRule="exact" w:before="119"/>
              <w:ind w:left="108"/>
              <w:rPr>
                <w:sz w:val="16"/>
              </w:rPr>
            </w:pPr>
            <w:r>
              <w:rPr>
                <w:sz w:val="16"/>
              </w:rPr>
              <w:t>https://</w:t>
            </w:r>
            <w:hyperlink r:id="rId198">
              <w:r>
                <w:rPr>
                  <w:sz w:val="16"/>
                </w:rPr>
                <w:t>www.amazon.com/Sceptre-E505BV-FMQK-50-Inch-1080p-HDTV/dp/B01138JKJO/</w:t>
              </w:r>
            </w:hyperlink>
          </w:p>
        </w:tc>
      </w:tr>
      <w:tr>
        <w:trPr>
          <w:trHeight w:val="489" w:hRule="atLeast"/>
        </w:trPr>
        <w:tc>
          <w:tcPr>
            <w:tcW w:w="689" w:type="dxa"/>
          </w:tcPr>
          <w:p>
            <w:pPr>
              <w:pStyle w:val="TableParagraph"/>
              <w:spacing w:before="121"/>
              <w:rPr>
                <w:sz w:val="16"/>
              </w:rPr>
            </w:pPr>
            <w:r>
              <w:rPr>
                <w:sz w:val="16"/>
              </w:rPr>
              <w:t>144</w:t>
            </w:r>
          </w:p>
        </w:tc>
        <w:tc>
          <w:tcPr>
            <w:tcW w:w="1610" w:type="dxa"/>
          </w:tcPr>
          <w:p>
            <w:pPr>
              <w:pStyle w:val="TableParagraph"/>
              <w:spacing w:before="121"/>
              <w:ind w:left="108"/>
              <w:rPr>
                <w:sz w:val="16"/>
              </w:rPr>
            </w:pPr>
            <w:r>
              <w:rPr>
                <w:sz w:val="16"/>
              </w:rPr>
              <w:t>Televizyon</w:t>
            </w:r>
          </w:p>
        </w:tc>
        <w:tc>
          <w:tcPr>
            <w:tcW w:w="5029" w:type="dxa"/>
          </w:tcPr>
          <w:p>
            <w:pPr>
              <w:pStyle w:val="TableParagraph"/>
              <w:spacing w:before="121"/>
              <w:ind w:left="108"/>
              <w:rPr>
                <w:sz w:val="16"/>
              </w:rPr>
            </w:pPr>
            <w:r>
              <w:rPr>
                <w:sz w:val="16"/>
              </w:rPr>
              <w:t>Sceptre U658CV-UMC</w:t>
            </w:r>
          </w:p>
        </w:tc>
        <w:tc>
          <w:tcPr>
            <w:tcW w:w="6212" w:type="dxa"/>
          </w:tcPr>
          <w:p>
            <w:pPr>
              <w:pStyle w:val="TableParagraph"/>
              <w:spacing w:line="180" w:lineRule="atLeast" w:before="121"/>
              <w:ind w:left="816" w:right="1648" w:hanging="708"/>
              <w:rPr>
                <w:sz w:val="16"/>
              </w:rPr>
            </w:pPr>
            <w:r>
              <w:rPr>
                <w:sz w:val="16"/>
              </w:rPr>
              <w:t>https://</w:t>
            </w:r>
            <w:hyperlink r:id="rId199">
              <w:r>
                <w:rPr>
                  <w:sz w:val="16"/>
                </w:rPr>
                <w:t>www.amazon.com/Sceptre-U658CV-UMC-Ultra-3840x2160-</w:t>
              </w:r>
            </w:hyperlink>
            <w:r>
              <w:rPr>
                <w:sz w:val="16"/>
              </w:rPr>
              <w:t> Solid/dp/B0198XNF6U/</w:t>
            </w:r>
          </w:p>
        </w:tc>
      </w:tr>
      <w:tr>
        <w:trPr>
          <w:trHeight w:val="486" w:hRule="atLeast"/>
        </w:trPr>
        <w:tc>
          <w:tcPr>
            <w:tcW w:w="689" w:type="dxa"/>
          </w:tcPr>
          <w:p>
            <w:pPr>
              <w:pStyle w:val="TableParagraph"/>
              <w:spacing w:before="119"/>
              <w:rPr>
                <w:sz w:val="16"/>
              </w:rPr>
            </w:pPr>
            <w:r>
              <w:rPr>
                <w:sz w:val="16"/>
              </w:rPr>
              <w:t>145</w:t>
            </w:r>
          </w:p>
        </w:tc>
        <w:tc>
          <w:tcPr>
            <w:tcW w:w="1610" w:type="dxa"/>
          </w:tcPr>
          <w:p>
            <w:pPr>
              <w:pStyle w:val="TableParagraph"/>
              <w:spacing w:before="119"/>
              <w:ind w:left="108"/>
              <w:rPr>
                <w:sz w:val="16"/>
              </w:rPr>
            </w:pPr>
            <w:r>
              <w:rPr>
                <w:sz w:val="16"/>
              </w:rPr>
              <w:t>Televizyon</w:t>
            </w:r>
          </w:p>
        </w:tc>
        <w:tc>
          <w:tcPr>
            <w:tcW w:w="5029" w:type="dxa"/>
          </w:tcPr>
          <w:p>
            <w:pPr>
              <w:pStyle w:val="TableParagraph"/>
              <w:spacing w:before="119"/>
              <w:ind w:left="108"/>
              <w:rPr>
                <w:sz w:val="16"/>
              </w:rPr>
            </w:pPr>
            <w:r>
              <w:rPr>
                <w:sz w:val="16"/>
              </w:rPr>
              <w:t>Sceptre X415BV-FMQR</w:t>
            </w:r>
          </w:p>
        </w:tc>
        <w:tc>
          <w:tcPr>
            <w:tcW w:w="6212" w:type="dxa"/>
          </w:tcPr>
          <w:p>
            <w:pPr>
              <w:pStyle w:val="TableParagraph"/>
              <w:spacing w:line="180" w:lineRule="atLeast" w:before="119"/>
              <w:ind w:left="816" w:right="1852" w:hanging="708"/>
              <w:rPr>
                <w:sz w:val="16"/>
              </w:rPr>
            </w:pPr>
            <w:r>
              <w:rPr>
                <w:sz w:val="16"/>
              </w:rPr>
              <w:t>https://</w:t>
            </w:r>
            <w:hyperlink r:id="rId200">
              <w:r>
                <w:rPr>
                  <w:sz w:val="16"/>
                </w:rPr>
                <w:t>www.amazon.com/Sceptre-X415BV-FMQR-40-Inch-Full-</w:t>
              </w:r>
            </w:hyperlink>
            <w:r>
              <w:rPr>
                <w:sz w:val="16"/>
              </w:rPr>
              <w:t> Function/dp/B00W2T70IM/</w:t>
            </w:r>
          </w:p>
        </w:tc>
      </w:tr>
      <w:tr>
        <w:trPr>
          <w:trHeight w:val="304" w:hRule="atLeast"/>
        </w:trPr>
        <w:tc>
          <w:tcPr>
            <w:tcW w:w="689" w:type="dxa"/>
          </w:tcPr>
          <w:p>
            <w:pPr>
              <w:pStyle w:val="TableParagraph"/>
              <w:spacing w:line="163" w:lineRule="exact" w:before="121"/>
              <w:rPr>
                <w:sz w:val="16"/>
              </w:rPr>
            </w:pPr>
            <w:r>
              <w:rPr>
                <w:sz w:val="16"/>
              </w:rPr>
              <w:t>146</w:t>
            </w:r>
          </w:p>
        </w:tc>
        <w:tc>
          <w:tcPr>
            <w:tcW w:w="1610" w:type="dxa"/>
          </w:tcPr>
          <w:p>
            <w:pPr>
              <w:pStyle w:val="TableParagraph"/>
              <w:spacing w:line="163" w:lineRule="exact" w:before="121"/>
              <w:ind w:left="108"/>
              <w:rPr>
                <w:sz w:val="16"/>
              </w:rPr>
            </w:pPr>
            <w:r>
              <w:rPr>
                <w:sz w:val="16"/>
              </w:rPr>
              <w:t>Televizyon</w:t>
            </w:r>
          </w:p>
        </w:tc>
        <w:tc>
          <w:tcPr>
            <w:tcW w:w="5029" w:type="dxa"/>
          </w:tcPr>
          <w:p>
            <w:pPr>
              <w:pStyle w:val="TableParagraph"/>
              <w:spacing w:line="163" w:lineRule="exact" w:before="121"/>
              <w:ind w:left="108"/>
              <w:rPr>
                <w:sz w:val="16"/>
              </w:rPr>
            </w:pPr>
            <w:r>
              <w:rPr>
                <w:sz w:val="16"/>
              </w:rPr>
              <w:t>Sony XBR55X900E</w:t>
            </w:r>
          </w:p>
        </w:tc>
        <w:tc>
          <w:tcPr>
            <w:tcW w:w="6212" w:type="dxa"/>
          </w:tcPr>
          <w:p>
            <w:pPr>
              <w:pStyle w:val="TableParagraph"/>
              <w:spacing w:line="163" w:lineRule="exact" w:before="121"/>
              <w:ind w:left="108"/>
              <w:rPr>
                <w:sz w:val="16"/>
              </w:rPr>
            </w:pPr>
            <w:r>
              <w:rPr>
                <w:sz w:val="16"/>
              </w:rPr>
              <w:t>https://</w:t>
            </w:r>
            <w:hyperlink r:id="rId201">
              <w:r>
                <w:rPr>
                  <w:sz w:val="16"/>
                </w:rPr>
                <w:t>www.amazon.com/Sony-XBR55X900E-55-Inch-Ultra-Smart/dp/B01MUG21R7/</w:t>
              </w:r>
            </w:hyperlink>
          </w:p>
        </w:tc>
      </w:tr>
      <w:tr>
        <w:trPr>
          <w:trHeight w:val="304" w:hRule="atLeast"/>
        </w:trPr>
        <w:tc>
          <w:tcPr>
            <w:tcW w:w="689" w:type="dxa"/>
          </w:tcPr>
          <w:p>
            <w:pPr>
              <w:pStyle w:val="TableParagraph"/>
              <w:spacing w:line="163" w:lineRule="exact" w:before="122"/>
              <w:rPr>
                <w:sz w:val="16"/>
              </w:rPr>
            </w:pPr>
            <w:r>
              <w:rPr>
                <w:sz w:val="16"/>
              </w:rPr>
              <w:t>147</w:t>
            </w:r>
          </w:p>
        </w:tc>
        <w:tc>
          <w:tcPr>
            <w:tcW w:w="1610" w:type="dxa"/>
          </w:tcPr>
          <w:p>
            <w:pPr>
              <w:pStyle w:val="TableParagraph"/>
              <w:spacing w:line="163" w:lineRule="exact" w:before="122"/>
              <w:ind w:left="108"/>
              <w:rPr>
                <w:sz w:val="16"/>
              </w:rPr>
            </w:pPr>
            <w:r>
              <w:rPr>
                <w:sz w:val="16"/>
              </w:rPr>
              <w:t>Televizyon</w:t>
            </w:r>
          </w:p>
        </w:tc>
        <w:tc>
          <w:tcPr>
            <w:tcW w:w="5029" w:type="dxa"/>
          </w:tcPr>
          <w:p>
            <w:pPr>
              <w:pStyle w:val="TableParagraph"/>
              <w:spacing w:line="163" w:lineRule="exact" w:before="122"/>
              <w:ind w:left="108"/>
              <w:rPr>
                <w:sz w:val="16"/>
              </w:rPr>
            </w:pPr>
            <w:r>
              <w:rPr>
                <w:sz w:val="16"/>
              </w:rPr>
              <w:t>Sony XBR65X750D</w:t>
            </w:r>
          </w:p>
        </w:tc>
        <w:tc>
          <w:tcPr>
            <w:tcW w:w="6212" w:type="dxa"/>
          </w:tcPr>
          <w:p>
            <w:pPr>
              <w:pStyle w:val="TableParagraph"/>
              <w:spacing w:line="163" w:lineRule="exact" w:before="122"/>
              <w:ind w:left="108"/>
              <w:rPr>
                <w:sz w:val="16"/>
              </w:rPr>
            </w:pPr>
            <w:r>
              <w:rPr>
                <w:sz w:val="16"/>
              </w:rPr>
              <w:t>https://</w:t>
            </w:r>
            <w:hyperlink r:id="rId202">
              <w:r>
                <w:rPr>
                  <w:sz w:val="16"/>
                </w:rPr>
                <w:t>www.amazon.com/Sony-XBR65X750D-64-5-Ultra-Smart/dp/B01FWIEMVW/</w:t>
              </w:r>
            </w:hyperlink>
          </w:p>
        </w:tc>
      </w:tr>
      <w:tr>
        <w:trPr>
          <w:trHeight w:val="304" w:hRule="atLeast"/>
        </w:trPr>
        <w:tc>
          <w:tcPr>
            <w:tcW w:w="689" w:type="dxa"/>
          </w:tcPr>
          <w:p>
            <w:pPr>
              <w:pStyle w:val="TableParagraph"/>
              <w:spacing w:line="163" w:lineRule="exact" w:before="121"/>
              <w:rPr>
                <w:sz w:val="16"/>
              </w:rPr>
            </w:pPr>
            <w:r>
              <w:rPr>
                <w:sz w:val="16"/>
              </w:rPr>
              <w:t>148</w:t>
            </w:r>
          </w:p>
        </w:tc>
        <w:tc>
          <w:tcPr>
            <w:tcW w:w="1610" w:type="dxa"/>
          </w:tcPr>
          <w:p>
            <w:pPr>
              <w:pStyle w:val="TableParagraph"/>
              <w:spacing w:line="163" w:lineRule="exact" w:before="121"/>
              <w:ind w:left="108"/>
              <w:rPr>
                <w:sz w:val="16"/>
              </w:rPr>
            </w:pPr>
            <w:r>
              <w:rPr>
                <w:sz w:val="16"/>
              </w:rPr>
              <w:t>Televizyon</w:t>
            </w:r>
          </w:p>
        </w:tc>
        <w:tc>
          <w:tcPr>
            <w:tcW w:w="5029" w:type="dxa"/>
          </w:tcPr>
          <w:p>
            <w:pPr>
              <w:pStyle w:val="TableParagraph"/>
              <w:spacing w:line="163" w:lineRule="exact" w:before="121"/>
              <w:ind w:left="108"/>
              <w:rPr>
                <w:sz w:val="16"/>
              </w:rPr>
            </w:pPr>
            <w:r>
              <w:rPr>
                <w:sz w:val="16"/>
              </w:rPr>
              <w:t>Sony XBR55X930E</w:t>
            </w:r>
          </w:p>
        </w:tc>
        <w:tc>
          <w:tcPr>
            <w:tcW w:w="6212" w:type="dxa"/>
          </w:tcPr>
          <w:p>
            <w:pPr>
              <w:pStyle w:val="TableParagraph"/>
              <w:spacing w:line="163" w:lineRule="exact" w:before="121"/>
              <w:ind w:left="108"/>
              <w:rPr>
                <w:sz w:val="16"/>
              </w:rPr>
            </w:pPr>
            <w:r>
              <w:rPr>
                <w:sz w:val="16"/>
              </w:rPr>
              <w:t>https://</w:t>
            </w:r>
            <w:hyperlink r:id="rId203">
              <w:r>
                <w:rPr>
                  <w:sz w:val="16"/>
                </w:rPr>
                <w:t>www.amazon.com/Sony-XBR65X930E-65-Inch-Ultra-Model/dp/B01NAMGEHP/</w:t>
              </w:r>
            </w:hyperlink>
          </w:p>
        </w:tc>
      </w:tr>
      <w:tr>
        <w:trPr>
          <w:trHeight w:val="302" w:hRule="atLeast"/>
        </w:trPr>
        <w:tc>
          <w:tcPr>
            <w:tcW w:w="689" w:type="dxa"/>
          </w:tcPr>
          <w:p>
            <w:pPr>
              <w:pStyle w:val="TableParagraph"/>
              <w:spacing w:line="163" w:lineRule="exact" w:before="119"/>
              <w:rPr>
                <w:sz w:val="16"/>
              </w:rPr>
            </w:pPr>
            <w:r>
              <w:rPr>
                <w:sz w:val="16"/>
              </w:rPr>
              <w:t>149</w:t>
            </w:r>
          </w:p>
        </w:tc>
        <w:tc>
          <w:tcPr>
            <w:tcW w:w="1610" w:type="dxa"/>
          </w:tcPr>
          <w:p>
            <w:pPr>
              <w:pStyle w:val="TableParagraph"/>
              <w:spacing w:line="163" w:lineRule="exact" w:before="119"/>
              <w:ind w:left="108"/>
              <w:rPr>
                <w:sz w:val="16"/>
              </w:rPr>
            </w:pPr>
            <w:r>
              <w:rPr>
                <w:sz w:val="16"/>
              </w:rPr>
              <w:t>Televizyon</w:t>
            </w:r>
          </w:p>
        </w:tc>
        <w:tc>
          <w:tcPr>
            <w:tcW w:w="5029" w:type="dxa"/>
          </w:tcPr>
          <w:p>
            <w:pPr>
              <w:pStyle w:val="TableParagraph"/>
              <w:spacing w:line="163" w:lineRule="exact" w:before="119"/>
              <w:ind w:left="108"/>
              <w:rPr>
                <w:sz w:val="16"/>
              </w:rPr>
            </w:pPr>
            <w:r>
              <w:rPr>
                <w:sz w:val="16"/>
              </w:rPr>
              <w:t>Sony XBR75X900E</w:t>
            </w:r>
          </w:p>
        </w:tc>
        <w:tc>
          <w:tcPr>
            <w:tcW w:w="6212" w:type="dxa"/>
          </w:tcPr>
          <w:p>
            <w:pPr>
              <w:pStyle w:val="TableParagraph"/>
              <w:spacing w:line="163" w:lineRule="exact" w:before="119"/>
              <w:ind w:left="108"/>
              <w:rPr>
                <w:sz w:val="16"/>
              </w:rPr>
            </w:pPr>
            <w:r>
              <w:rPr>
                <w:sz w:val="16"/>
              </w:rPr>
              <w:t>https://</w:t>
            </w:r>
            <w:hyperlink r:id="rId204">
              <w:r>
                <w:rPr>
                  <w:sz w:val="16"/>
                </w:rPr>
                <w:t>www.amazon.com/Sony-XBR75X900E-75-Inch-Ultra-Smart/dp/B01N7XLYRF/</w:t>
              </w:r>
            </w:hyperlink>
          </w:p>
        </w:tc>
      </w:tr>
      <w:tr>
        <w:trPr>
          <w:trHeight w:val="304" w:hRule="atLeast"/>
        </w:trPr>
        <w:tc>
          <w:tcPr>
            <w:tcW w:w="689" w:type="dxa"/>
          </w:tcPr>
          <w:p>
            <w:pPr>
              <w:pStyle w:val="TableParagraph"/>
              <w:spacing w:line="163" w:lineRule="exact" w:before="121"/>
              <w:rPr>
                <w:sz w:val="16"/>
              </w:rPr>
            </w:pPr>
            <w:r>
              <w:rPr>
                <w:sz w:val="16"/>
              </w:rPr>
              <w:t>150</w:t>
            </w:r>
          </w:p>
        </w:tc>
        <w:tc>
          <w:tcPr>
            <w:tcW w:w="1610" w:type="dxa"/>
          </w:tcPr>
          <w:p>
            <w:pPr>
              <w:pStyle w:val="TableParagraph"/>
              <w:spacing w:line="163" w:lineRule="exact" w:before="121"/>
              <w:ind w:left="108"/>
              <w:rPr>
                <w:sz w:val="16"/>
              </w:rPr>
            </w:pPr>
            <w:r>
              <w:rPr>
                <w:sz w:val="16"/>
              </w:rPr>
              <w:t>Televizyon</w:t>
            </w:r>
          </w:p>
        </w:tc>
        <w:tc>
          <w:tcPr>
            <w:tcW w:w="5029" w:type="dxa"/>
          </w:tcPr>
          <w:p>
            <w:pPr>
              <w:pStyle w:val="TableParagraph"/>
              <w:spacing w:line="163" w:lineRule="exact" w:before="121"/>
              <w:ind w:left="108"/>
              <w:rPr>
                <w:sz w:val="16"/>
              </w:rPr>
            </w:pPr>
            <w:r>
              <w:rPr>
                <w:sz w:val="16"/>
              </w:rPr>
              <w:t>Sony XBR75Z9D</w:t>
            </w:r>
          </w:p>
        </w:tc>
        <w:tc>
          <w:tcPr>
            <w:tcW w:w="6212" w:type="dxa"/>
          </w:tcPr>
          <w:p>
            <w:pPr>
              <w:pStyle w:val="TableParagraph"/>
              <w:spacing w:line="163" w:lineRule="exact" w:before="121"/>
              <w:ind w:left="108"/>
              <w:rPr>
                <w:sz w:val="16"/>
              </w:rPr>
            </w:pPr>
            <w:r>
              <w:rPr>
                <w:sz w:val="16"/>
              </w:rPr>
              <w:t>https://</w:t>
            </w:r>
            <w:hyperlink r:id="rId205">
              <w:r>
                <w:rPr>
                  <w:sz w:val="16"/>
                </w:rPr>
                <w:t>www.amazon.com/Sony-XBR75Z9D-75-Inch-Ultra-Smart/dp/B01HY6W1WW/</w:t>
              </w:r>
            </w:hyperlink>
          </w:p>
        </w:tc>
      </w:tr>
      <w:tr>
        <w:trPr>
          <w:trHeight w:val="304" w:hRule="atLeast"/>
        </w:trPr>
        <w:tc>
          <w:tcPr>
            <w:tcW w:w="689" w:type="dxa"/>
          </w:tcPr>
          <w:p>
            <w:pPr>
              <w:pStyle w:val="TableParagraph"/>
              <w:spacing w:line="163" w:lineRule="exact" w:before="121"/>
              <w:rPr>
                <w:sz w:val="16"/>
              </w:rPr>
            </w:pPr>
            <w:r>
              <w:rPr>
                <w:sz w:val="16"/>
              </w:rPr>
              <w:t>151</w:t>
            </w:r>
          </w:p>
        </w:tc>
        <w:tc>
          <w:tcPr>
            <w:tcW w:w="1610" w:type="dxa"/>
          </w:tcPr>
          <w:p>
            <w:pPr>
              <w:pStyle w:val="TableParagraph"/>
              <w:spacing w:line="163" w:lineRule="exact" w:before="121"/>
              <w:ind w:left="108"/>
              <w:rPr>
                <w:sz w:val="16"/>
              </w:rPr>
            </w:pPr>
            <w:r>
              <w:rPr>
                <w:sz w:val="16"/>
              </w:rPr>
              <w:t>Televizyon</w:t>
            </w:r>
          </w:p>
        </w:tc>
        <w:tc>
          <w:tcPr>
            <w:tcW w:w="5029" w:type="dxa"/>
          </w:tcPr>
          <w:p>
            <w:pPr>
              <w:pStyle w:val="TableParagraph"/>
              <w:spacing w:line="163" w:lineRule="exact" w:before="121"/>
              <w:ind w:left="108"/>
              <w:rPr>
                <w:sz w:val="16"/>
              </w:rPr>
            </w:pPr>
            <w:r>
              <w:rPr>
                <w:sz w:val="16"/>
              </w:rPr>
              <w:t>TCL 28S305 28-Inch 720p Roku Smart LED TV</w:t>
            </w:r>
          </w:p>
        </w:tc>
        <w:tc>
          <w:tcPr>
            <w:tcW w:w="6212" w:type="dxa"/>
          </w:tcPr>
          <w:p>
            <w:pPr>
              <w:pStyle w:val="TableParagraph"/>
              <w:spacing w:line="163" w:lineRule="exact" w:before="121"/>
              <w:ind w:left="108"/>
              <w:rPr>
                <w:sz w:val="16"/>
              </w:rPr>
            </w:pPr>
            <w:r>
              <w:rPr>
                <w:sz w:val="16"/>
              </w:rPr>
              <w:t>https://</w:t>
            </w:r>
            <w:hyperlink r:id="rId206">
              <w:r>
                <w:rPr>
                  <w:sz w:val="16"/>
                </w:rPr>
                <w:t>www.amazon.com/TCL-28S305-28-Inch-Smart-Model/dp/B01N5G7GNR/</w:t>
              </w:r>
            </w:hyperlink>
          </w:p>
        </w:tc>
      </w:tr>
      <w:tr>
        <w:trPr>
          <w:trHeight w:val="304" w:hRule="atLeast"/>
        </w:trPr>
        <w:tc>
          <w:tcPr>
            <w:tcW w:w="689" w:type="dxa"/>
          </w:tcPr>
          <w:p>
            <w:pPr>
              <w:pStyle w:val="TableParagraph"/>
              <w:spacing w:line="163" w:lineRule="exact" w:before="121"/>
              <w:rPr>
                <w:sz w:val="16"/>
              </w:rPr>
            </w:pPr>
            <w:r>
              <w:rPr>
                <w:sz w:val="16"/>
              </w:rPr>
              <w:t>152</w:t>
            </w:r>
          </w:p>
        </w:tc>
        <w:tc>
          <w:tcPr>
            <w:tcW w:w="1610" w:type="dxa"/>
          </w:tcPr>
          <w:p>
            <w:pPr>
              <w:pStyle w:val="TableParagraph"/>
              <w:spacing w:line="163" w:lineRule="exact" w:before="121"/>
              <w:ind w:left="108"/>
              <w:rPr>
                <w:sz w:val="16"/>
              </w:rPr>
            </w:pPr>
            <w:r>
              <w:rPr>
                <w:sz w:val="16"/>
              </w:rPr>
              <w:t>Televizyon</w:t>
            </w:r>
          </w:p>
        </w:tc>
        <w:tc>
          <w:tcPr>
            <w:tcW w:w="5029" w:type="dxa"/>
          </w:tcPr>
          <w:p>
            <w:pPr>
              <w:pStyle w:val="TableParagraph"/>
              <w:spacing w:line="163" w:lineRule="exact" w:before="121"/>
              <w:ind w:left="108"/>
              <w:rPr>
                <w:sz w:val="16"/>
              </w:rPr>
            </w:pPr>
            <w:r>
              <w:rPr>
                <w:sz w:val="16"/>
              </w:rPr>
              <w:t>TCL 32D100 32-Inch 720p LED TV</w:t>
            </w:r>
          </w:p>
        </w:tc>
        <w:tc>
          <w:tcPr>
            <w:tcW w:w="6212" w:type="dxa"/>
          </w:tcPr>
          <w:p>
            <w:pPr>
              <w:pStyle w:val="TableParagraph"/>
              <w:spacing w:line="163" w:lineRule="exact" w:before="121"/>
              <w:ind w:left="108"/>
              <w:rPr>
                <w:sz w:val="16"/>
              </w:rPr>
            </w:pPr>
            <w:r>
              <w:rPr>
                <w:sz w:val="16"/>
              </w:rPr>
              <w:t>https://</w:t>
            </w:r>
            <w:hyperlink r:id="rId207">
              <w:r>
                <w:rPr>
                  <w:sz w:val="16"/>
                </w:rPr>
                <w:t>www.amazon.com/TCL-32D100-32-Inch-720p-Model/dp/B01LVZAUMM/</w:t>
              </w:r>
            </w:hyperlink>
          </w:p>
        </w:tc>
      </w:tr>
      <w:tr>
        <w:trPr>
          <w:trHeight w:val="304" w:hRule="atLeast"/>
        </w:trPr>
        <w:tc>
          <w:tcPr>
            <w:tcW w:w="689" w:type="dxa"/>
          </w:tcPr>
          <w:p>
            <w:pPr>
              <w:pStyle w:val="TableParagraph"/>
              <w:spacing w:line="163" w:lineRule="exact" w:before="121"/>
              <w:rPr>
                <w:sz w:val="16"/>
              </w:rPr>
            </w:pPr>
            <w:r>
              <w:rPr>
                <w:sz w:val="16"/>
              </w:rPr>
              <w:t>153</w:t>
            </w:r>
          </w:p>
        </w:tc>
        <w:tc>
          <w:tcPr>
            <w:tcW w:w="1610" w:type="dxa"/>
          </w:tcPr>
          <w:p>
            <w:pPr>
              <w:pStyle w:val="TableParagraph"/>
              <w:spacing w:line="163" w:lineRule="exact" w:before="121"/>
              <w:ind w:left="108"/>
              <w:rPr>
                <w:sz w:val="16"/>
              </w:rPr>
            </w:pPr>
            <w:r>
              <w:rPr>
                <w:sz w:val="16"/>
              </w:rPr>
              <w:t>Televizyon</w:t>
            </w:r>
          </w:p>
        </w:tc>
        <w:tc>
          <w:tcPr>
            <w:tcW w:w="5029" w:type="dxa"/>
          </w:tcPr>
          <w:p>
            <w:pPr>
              <w:pStyle w:val="TableParagraph"/>
              <w:spacing w:line="163" w:lineRule="exact" w:before="121"/>
              <w:ind w:left="108"/>
              <w:rPr>
                <w:sz w:val="16"/>
              </w:rPr>
            </w:pPr>
            <w:r>
              <w:rPr>
                <w:sz w:val="16"/>
              </w:rPr>
              <w:t>TCL 32S305 32-Inch 720p Roku Smart LED TV</w:t>
            </w:r>
          </w:p>
        </w:tc>
        <w:tc>
          <w:tcPr>
            <w:tcW w:w="6212" w:type="dxa"/>
          </w:tcPr>
          <w:p>
            <w:pPr>
              <w:pStyle w:val="TableParagraph"/>
              <w:spacing w:line="163" w:lineRule="exact" w:before="121"/>
              <w:ind w:left="108"/>
              <w:rPr>
                <w:sz w:val="16"/>
              </w:rPr>
            </w:pPr>
            <w:r>
              <w:rPr>
                <w:sz w:val="16"/>
              </w:rPr>
              <w:t>https://</w:t>
            </w:r>
            <w:hyperlink r:id="rId208">
              <w:r>
                <w:rPr>
                  <w:sz w:val="16"/>
                </w:rPr>
                <w:t>www.amazon.com/TCL-32S305-32-Inch-Smart-Model/dp/B01MU1GBLL/</w:t>
              </w:r>
            </w:hyperlink>
          </w:p>
        </w:tc>
      </w:tr>
      <w:tr>
        <w:trPr>
          <w:trHeight w:val="301" w:hRule="atLeast"/>
        </w:trPr>
        <w:tc>
          <w:tcPr>
            <w:tcW w:w="689" w:type="dxa"/>
          </w:tcPr>
          <w:p>
            <w:pPr>
              <w:pStyle w:val="TableParagraph"/>
              <w:spacing w:line="163" w:lineRule="exact" w:before="119"/>
              <w:rPr>
                <w:sz w:val="16"/>
              </w:rPr>
            </w:pPr>
            <w:r>
              <w:rPr>
                <w:sz w:val="16"/>
              </w:rPr>
              <w:t>154</w:t>
            </w:r>
          </w:p>
        </w:tc>
        <w:tc>
          <w:tcPr>
            <w:tcW w:w="1610" w:type="dxa"/>
          </w:tcPr>
          <w:p>
            <w:pPr>
              <w:pStyle w:val="TableParagraph"/>
              <w:spacing w:line="163" w:lineRule="exact" w:before="119"/>
              <w:ind w:left="108"/>
              <w:rPr>
                <w:sz w:val="16"/>
              </w:rPr>
            </w:pPr>
            <w:r>
              <w:rPr>
                <w:sz w:val="16"/>
              </w:rPr>
              <w:t>Televizyon</w:t>
            </w:r>
          </w:p>
        </w:tc>
        <w:tc>
          <w:tcPr>
            <w:tcW w:w="5029" w:type="dxa"/>
          </w:tcPr>
          <w:p>
            <w:pPr>
              <w:pStyle w:val="TableParagraph"/>
              <w:spacing w:line="163" w:lineRule="exact" w:before="119"/>
              <w:ind w:left="108"/>
              <w:rPr>
                <w:sz w:val="16"/>
              </w:rPr>
            </w:pPr>
            <w:r>
              <w:rPr>
                <w:sz w:val="16"/>
              </w:rPr>
              <w:t>TCL 40D100 40-Inch 1080p LED TV</w:t>
            </w:r>
          </w:p>
        </w:tc>
        <w:tc>
          <w:tcPr>
            <w:tcW w:w="6212" w:type="dxa"/>
          </w:tcPr>
          <w:p>
            <w:pPr>
              <w:pStyle w:val="TableParagraph"/>
              <w:spacing w:line="163" w:lineRule="exact" w:before="119"/>
              <w:ind w:left="108"/>
              <w:rPr>
                <w:sz w:val="16"/>
              </w:rPr>
            </w:pPr>
            <w:r>
              <w:rPr>
                <w:sz w:val="16"/>
              </w:rPr>
              <w:t>https://</w:t>
            </w:r>
            <w:hyperlink r:id="rId209">
              <w:r>
                <w:rPr>
                  <w:sz w:val="16"/>
                </w:rPr>
                <w:t>www.amazon.com/TCL-40D100-40-Inch-1080p-Model/dp/B01LZZIKLZ/</w:t>
              </w:r>
            </w:hyperlink>
          </w:p>
        </w:tc>
      </w:tr>
      <w:tr>
        <w:trPr>
          <w:trHeight w:val="305" w:hRule="atLeast"/>
        </w:trPr>
        <w:tc>
          <w:tcPr>
            <w:tcW w:w="689" w:type="dxa"/>
          </w:tcPr>
          <w:p>
            <w:pPr>
              <w:pStyle w:val="TableParagraph"/>
              <w:spacing w:line="163" w:lineRule="exact" w:before="122"/>
              <w:rPr>
                <w:sz w:val="16"/>
              </w:rPr>
            </w:pPr>
            <w:r>
              <w:rPr>
                <w:sz w:val="16"/>
              </w:rPr>
              <w:t>155</w:t>
            </w:r>
          </w:p>
        </w:tc>
        <w:tc>
          <w:tcPr>
            <w:tcW w:w="1610" w:type="dxa"/>
          </w:tcPr>
          <w:p>
            <w:pPr>
              <w:pStyle w:val="TableParagraph"/>
              <w:spacing w:line="163" w:lineRule="exact" w:before="122"/>
              <w:ind w:left="108"/>
              <w:rPr>
                <w:sz w:val="16"/>
              </w:rPr>
            </w:pPr>
            <w:r>
              <w:rPr>
                <w:sz w:val="16"/>
              </w:rPr>
              <w:t>Televizyon</w:t>
            </w:r>
          </w:p>
        </w:tc>
        <w:tc>
          <w:tcPr>
            <w:tcW w:w="5029" w:type="dxa"/>
          </w:tcPr>
          <w:p>
            <w:pPr>
              <w:pStyle w:val="TableParagraph"/>
              <w:spacing w:line="163" w:lineRule="exact" w:before="122"/>
              <w:ind w:left="108"/>
              <w:rPr>
                <w:sz w:val="16"/>
              </w:rPr>
            </w:pPr>
            <w:r>
              <w:rPr>
                <w:sz w:val="16"/>
              </w:rPr>
              <w:t>TCL 40S305 40-Inch 1080p Roku Smart LED TV</w:t>
            </w:r>
          </w:p>
        </w:tc>
        <w:tc>
          <w:tcPr>
            <w:tcW w:w="6212" w:type="dxa"/>
          </w:tcPr>
          <w:p>
            <w:pPr>
              <w:pStyle w:val="TableParagraph"/>
              <w:spacing w:line="163" w:lineRule="exact" w:before="122"/>
              <w:ind w:left="108"/>
              <w:rPr>
                <w:sz w:val="16"/>
              </w:rPr>
            </w:pPr>
            <w:r>
              <w:rPr>
                <w:sz w:val="16"/>
              </w:rPr>
              <w:t>https://</w:t>
            </w:r>
            <w:hyperlink r:id="rId210">
              <w:r>
                <w:rPr>
                  <w:sz w:val="16"/>
                </w:rPr>
                <w:t>www.amazon.com/TCL-40S305-40-Inch-1080p-Smart/dp/B01N2UQ43P/</w:t>
              </w:r>
            </w:hyperlink>
          </w:p>
        </w:tc>
      </w:tr>
      <w:tr>
        <w:trPr>
          <w:trHeight w:val="304" w:hRule="atLeast"/>
        </w:trPr>
        <w:tc>
          <w:tcPr>
            <w:tcW w:w="689" w:type="dxa"/>
          </w:tcPr>
          <w:p>
            <w:pPr>
              <w:pStyle w:val="TableParagraph"/>
              <w:spacing w:line="163" w:lineRule="exact" w:before="121"/>
              <w:rPr>
                <w:sz w:val="16"/>
              </w:rPr>
            </w:pPr>
            <w:r>
              <w:rPr>
                <w:sz w:val="16"/>
              </w:rPr>
              <w:t>156</w:t>
            </w:r>
          </w:p>
        </w:tc>
        <w:tc>
          <w:tcPr>
            <w:tcW w:w="1610" w:type="dxa"/>
          </w:tcPr>
          <w:p>
            <w:pPr>
              <w:pStyle w:val="TableParagraph"/>
              <w:spacing w:line="163" w:lineRule="exact" w:before="121"/>
              <w:ind w:left="108"/>
              <w:rPr>
                <w:sz w:val="16"/>
              </w:rPr>
            </w:pPr>
            <w:r>
              <w:rPr>
                <w:sz w:val="16"/>
              </w:rPr>
              <w:t>Televizyon</w:t>
            </w:r>
          </w:p>
        </w:tc>
        <w:tc>
          <w:tcPr>
            <w:tcW w:w="5029" w:type="dxa"/>
          </w:tcPr>
          <w:p>
            <w:pPr>
              <w:pStyle w:val="TableParagraph"/>
              <w:spacing w:line="163" w:lineRule="exact" w:before="121"/>
              <w:ind w:left="108"/>
              <w:rPr>
                <w:sz w:val="16"/>
              </w:rPr>
            </w:pPr>
            <w:r>
              <w:rPr>
                <w:sz w:val="16"/>
              </w:rPr>
              <w:t>TCL 49D100 49-Inch 1080p LED TV</w:t>
            </w:r>
          </w:p>
        </w:tc>
        <w:tc>
          <w:tcPr>
            <w:tcW w:w="6212" w:type="dxa"/>
          </w:tcPr>
          <w:p>
            <w:pPr>
              <w:pStyle w:val="TableParagraph"/>
              <w:spacing w:line="163" w:lineRule="exact" w:before="121"/>
              <w:ind w:left="108"/>
              <w:rPr>
                <w:sz w:val="16"/>
              </w:rPr>
            </w:pPr>
            <w:r>
              <w:rPr>
                <w:sz w:val="16"/>
              </w:rPr>
              <w:t>https://</w:t>
            </w:r>
            <w:hyperlink r:id="rId211">
              <w:r>
                <w:rPr>
                  <w:sz w:val="16"/>
                </w:rPr>
                <w:t>www.amazon.com/TCL-49D100-49-Inch-1080-Model/dp/B01LW4G71Y/</w:t>
              </w:r>
            </w:hyperlink>
          </w:p>
        </w:tc>
      </w:tr>
      <w:tr>
        <w:trPr>
          <w:trHeight w:val="304" w:hRule="atLeast"/>
        </w:trPr>
        <w:tc>
          <w:tcPr>
            <w:tcW w:w="689" w:type="dxa"/>
          </w:tcPr>
          <w:p>
            <w:pPr>
              <w:pStyle w:val="TableParagraph"/>
              <w:spacing w:line="163" w:lineRule="exact" w:before="121"/>
              <w:rPr>
                <w:sz w:val="16"/>
              </w:rPr>
            </w:pPr>
            <w:r>
              <w:rPr>
                <w:sz w:val="16"/>
              </w:rPr>
              <w:t>157</w:t>
            </w:r>
          </w:p>
        </w:tc>
        <w:tc>
          <w:tcPr>
            <w:tcW w:w="1610" w:type="dxa"/>
          </w:tcPr>
          <w:p>
            <w:pPr>
              <w:pStyle w:val="TableParagraph"/>
              <w:spacing w:line="163" w:lineRule="exact" w:before="121"/>
              <w:ind w:left="108"/>
              <w:rPr>
                <w:sz w:val="16"/>
              </w:rPr>
            </w:pPr>
            <w:r>
              <w:rPr>
                <w:sz w:val="16"/>
              </w:rPr>
              <w:t>Televizyon</w:t>
            </w:r>
          </w:p>
        </w:tc>
        <w:tc>
          <w:tcPr>
            <w:tcW w:w="5029" w:type="dxa"/>
          </w:tcPr>
          <w:p>
            <w:pPr>
              <w:pStyle w:val="TableParagraph"/>
              <w:spacing w:line="163" w:lineRule="exact" w:before="121"/>
              <w:ind w:left="108"/>
              <w:rPr>
                <w:sz w:val="16"/>
              </w:rPr>
            </w:pPr>
            <w:r>
              <w:rPr>
                <w:sz w:val="16"/>
              </w:rPr>
              <w:t>TCL 49S305 49-Inch 1080p Roku Smart LED TV</w:t>
            </w:r>
          </w:p>
        </w:tc>
        <w:tc>
          <w:tcPr>
            <w:tcW w:w="6212" w:type="dxa"/>
          </w:tcPr>
          <w:p>
            <w:pPr>
              <w:pStyle w:val="TableParagraph"/>
              <w:spacing w:line="163" w:lineRule="exact" w:before="121"/>
              <w:ind w:left="108"/>
              <w:rPr>
                <w:sz w:val="16"/>
              </w:rPr>
            </w:pPr>
            <w:r>
              <w:rPr>
                <w:sz w:val="16"/>
              </w:rPr>
              <w:t>https://</w:t>
            </w:r>
            <w:hyperlink r:id="rId212">
              <w:r>
                <w:rPr>
                  <w:sz w:val="16"/>
                </w:rPr>
                <w:t>www.amazon.com/TCL-49S305-49-Inch-1080p-Smart/dp/B01N6HNA8T/</w:t>
              </w:r>
            </w:hyperlink>
          </w:p>
        </w:tc>
      </w:tr>
    </w:tbl>
    <w:p>
      <w:pPr>
        <w:spacing w:after="0" w:line="163" w:lineRule="exact"/>
        <w:rPr>
          <w:sz w:val="16"/>
        </w:rPr>
        <w:sectPr>
          <w:pgSz w:w="15840" w:h="12240" w:orient="landscape"/>
          <w:pgMar w:header="718" w:footer="0" w:top="1040" w:bottom="280" w:left="1300" w:right="760"/>
        </w:sectPr>
      </w:pPr>
    </w:p>
    <w:p>
      <w:pPr>
        <w:pStyle w:val="BodyText"/>
        <w:spacing w:before="11"/>
        <w:ind w:left="0"/>
        <w:jc w:val="left"/>
        <w:rPr>
          <w:b/>
          <w:sz w:val="6"/>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9"/>
        <w:gridCol w:w="1610"/>
        <w:gridCol w:w="5029"/>
        <w:gridCol w:w="6212"/>
      </w:tblGrid>
      <w:tr>
        <w:trPr>
          <w:trHeight w:val="304" w:hRule="atLeast"/>
        </w:trPr>
        <w:tc>
          <w:tcPr>
            <w:tcW w:w="689" w:type="dxa"/>
          </w:tcPr>
          <w:p>
            <w:pPr>
              <w:pStyle w:val="TableParagraph"/>
              <w:spacing w:line="163" w:lineRule="exact" w:before="122"/>
              <w:rPr>
                <w:sz w:val="16"/>
              </w:rPr>
            </w:pPr>
            <w:r>
              <w:rPr>
                <w:sz w:val="16"/>
              </w:rPr>
              <w:t>158</w:t>
            </w:r>
          </w:p>
        </w:tc>
        <w:tc>
          <w:tcPr>
            <w:tcW w:w="1610" w:type="dxa"/>
          </w:tcPr>
          <w:p>
            <w:pPr>
              <w:pStyle w:val="TableParagraph"/>
              <w:spacing w:line="163" w:lineRule="exact" w:before="122"/>
              <w:ind w:left="108"/>
              <w:rPr>
                <w:sz w:val="16"/>
              </w:rPr>
            </w:pPr>
            <w:r>
              <w:rPr>
                <w:sz w:val="16"/>
              </w:rPr>
              <w:t>Televizyon</w:t>
            </w:r>
          </w:p>
        </w:tc>
        <w:tc>
          <w:tcPr>
            <w:tcW w:w="5029" w:type="dxa"/>
          </w:tcPr>
          <w:p>
            <w:pPr>
              <w:pStyle w:val="TableParagraph"/>
              <w:spacing w:line="163" w:lineRule="exact" w:before="122"/>
              <w:ind w:left="108"/>
              <w:rPr>
                <w:sz w:val="16"/>
              </w:rPr>
            </w:pPr>
            <w:r>
              <w:rPr>
                <w:sz w:val="16"/>
              </w:rPr>
              <w:t>VIZIO D32-D1 D-Series 32quot Class Full Array LED Smart TV</w:t>
            </w:r>
          </w:p>
        </w:tc>
        <w:tc>
          <w:tcPr>
            <w:tcW w:w="6212" w:type="dxa"/>
          </w:tcPr>
          <w:p>
            <w:pPr>
              <w:pStyle w:val="TableParagraph"/>
              <w:spacing w:line="163" w:lineRule="exact" w:before="122"/>
              <w:ind w:left="108"/>
              <w:rPr>
                <w:sz w:val="16"/>
              </w:rPr>
            </w:pPr>
            <w:r>
              <w:rPr>
                <w:sz w:val="16"/>
              </w:rPr>
              <w:t>https://</w:t>
            </w:r>
            <w:hyperlink r:id="rId213">
              <w:r>
                <w:rPr>
                  <w:sz w:val="16"/>
                </w:rPr>
                <w:t>www.amazon.com/VIZIO-D32-D1-Class-Array-Smart/dp/B019PZDJEE/</w:t>
              </w:r>
            </w:hyperlink>
          </w:p>
        </w:tc>
      </w:tr>
      <w:tr>
        <w:trPr>
          <w:trHeight w:val="304" w:hRule="atLeast"/>
        </w:trPr>
        <w:tc>
          <w:tcPr>
            <w:tcW w:w="689" w:type="dxa"/>
          </w:tcPr>
          <w:p>
            <w:pPr>
              <w:pStyle w:val="TableParagraph"/>
              <w:spacing w:line="163" w:lineRule="exact" w:before="121"/>
              <w:rPr>
                <w:sz w:val="16"/>
              </w:rPr>
            </w:pPr>
            <w:r>
              <w:rPr>
                <w:sz w:val="16"/>
              </w:rPr>
              <w:t>159</w:t>
            </w:r>
          </w:p>
        </w:tc>
        <w:tc>
          <w:tcPr>
            <w:tcW w:w="1610" w:type="dxa"/>
          </w:tcPr>
          <w:p>
            <w:pPr>
              <w:pStyle w:val="TableParagraph"/>
              <w:spacing w:line="163" w:lineRule="exact" w:before="121"/>
              <w:ind w:left="108"/>
              <w:rPr>
                <w:sz w:val="16"/>
              </w:rPr>
            </w:pPr>
            <w:r>
              <w:rPr>
                <w:sz w:val="16"/>
              </w:rPr>
              <w:t>Televizyon</w:t>
            </w:r>
          </w:p>
        </w:tc>
        <w:tc>
          <w:tcPr>
            <w:tcW w:w="5029" w:type="dxa"/>
          </w:tcPr>
          <w:p>
            <w:pPr>
              <w:pStyle w:val="TableParagraph"/>
              <w:spacing w:line="163" w:lineRule="exact" w:before="121"/>
              <w:ind w:left="108"/>
              <w:rPr>
                <w:sz w:val="16"/>
              </w:rPr>
            </w:pPr>
            <w:r>
              <w:rPr>
                <w:sz w:val="16"/>
              </w:rPr>
              <w:t>VIZIO D50-D1 50-Inch 1080p Smart LED TV</w:t>
            </w:r>
          </w:p>
        </w:tc>
        <w:tc>
          <w:tcPr>
            <w:tcW w:w="6212" w:type="dxa"/>
          </w:tcPr>
          <w:p>
            <w:pPr>
              <w:pStyle w:val="TableParagraph"/>
              <w:spacing w:line="163" w:lineRule="exact" w:before="121"/>
              <w:ind w:left="108"/>
              <w:rPr>
                <w:sz w:val="16"/>
              </w:rPr>
            </w:pPr>
            <w:r>
              <w:rPr>
                <w:sz w:val="16"/>
              </w:rPr>
              <w:t>https://</w:t>
            </w:r>
            <w:hyperlink r:id="rId214">
              <w:r>
                <w:rPr>
                  <w:sz w:val="16"/>
                </w:rPr>
                <w:t>www.amazon.com/VIZIO-D50-D1-50-Inch-1080p-Smart/dp/B01A0LGUOI/</w:t>
              </w:r>
            </w:hyperlink>
          </w:p>
        </w:tc>
      </w:tr>
      <w:tr>
        <w:trPr>
          <w:trHeight w:val="304" w:hRule="atLeast"/>
        </w:trPr>
        <w:tc>
          <w:tcPr>
            <w:tcW w:w="689" w:type="dxa"/>
          </w:tcPr>
          <w:p>
            <w:pPr>
              <w:pStyle w:val="TableParagraph"/>
              <w:spacing w:line="163" w:lineRule="exact" w:before="121"/>
              <w:rPr>
                <w:sz w:val="16"/>
              </w:rPr>
            </w:pPr>
            <w:r>
              <w:rPr>
                <w:sz w:val="16"/>
              </w:rPr>
              <w:t>160</w:t>
            </w:r>
          </w:p>
        </w:tc>
        <w:tc>
          <w:tcPr>
            <w:tcW w:w="1610" w:type="dxa"/>
          </w:tcPr>
          <w:p>
            <w:pPr>
              <w:pStyle w:val="TableParagraph"/>
              <w:spacing w:line="163" w:lineRule="exact" w:before="121"/>
              <w:ind w:left="108"/>
              <w:rPr>
                <w:sz w:val="16"/>
              </w:rPr>
            </w:pPr>
            <w:r>
              <w:rPr>
                <w:sz w:val="16"/>
              </w:rPr>
              <w:t>Televizyon</w:t>
            </w:r>
          </w:p>
        </w:tc>
        <w:tc>
          <w:tcPr>
            <w:tcW w:w="5029" w:type="dxa"/>
          </w:tcPr>
          <w:p>
            <w:pPr>
              <w:pStyle w:val="TableParagraph"/>
              <w:spacing w:line="163" w:lineRule="exact" w:before="121"/>
              <w:ind w:left="108"/>
              <w:rPr>
                <w:sz w:val="16"/>
              </w:rPr>
            </w:pPr>
            <w:r>
              <w:rPr>
                <w:sz w:val="16"/>
              </w:rPr>
              <w:t>Vizio D24HN-E1 24quot Edge-Lit LED TV</w:t>
            </w:r>
          </w:p>
        </w:tc>
        <w:tc>
          <w:tcPr>
            <w:tcW w:w="6212" w:type="dxa"/>
          </w:tcPr>
          <w:p>
            <w:pPr>
              <w:pStyle w:val="TableParagraph"/>
              <w:spacing w:line="163" w:lineRule="exact" w:before="121"/>
              <w:ind w:left="108"/>
              <w:rPr>
                <w:sz w:val="16"/>
              </w:rPr>
            </w:pPr>
            <w:r>
              <w:rPr>
                <w:sz w:val="16"/>
              </w:rPr>
              <w:t>https://</w:t>
            </w:r>
            <w:hyperlink r:id="rId215">
              <w:r>
                <w:rPr>
                  <w:sz w:val="16"/>
                </w:rPr>
                <w:t>www.amazon.com/Vizio-D24HN-E1-24-Edge-Lit-LED/dp/B01N4ULLGB/</w:t>
              </w:r>
            </w:hyperlink>
          </w:p>
        </w:tc>
      </w:tr>
      <w:tr>
        <w:trPr>
          <w:trHeight w:val="304" w:hRule="atLeast"/>
        </w:trPr>
        <w:tc>
          <w:tcPr>
            <w:tcW w:w="689" w:type="dxa"/>
          </w:tcPr>
          <w:p>
            <w:pPr>
              <w:pStyle w:val="TableParagraph"/>
              <w:spacing w:line="163" w:lineRule="exact" w:before="121"/>
              <w:rPr>
                <w:sz w:val="16"/>
              </w:rPr>
            </w:pPr>
            <w:r>
              <w:rPr>
                <w:sz w:val="16"/>
              </w:rPr>
              <w:t>161</w:t>
            </w:r>
          </w:p>
        </w:tc>
        <w:tc>
          <w:tcPr>
            <w:tcW w:w="1610" w:type="dxa"/>
          </w:tcPr>
          <w:p>
            <w:pPr>
              <w:pStyle w:val="TableParagraph"/>
              <w:spacing w:line="163" w:lineRule="exact" w:before="121"/>
              <w:ind w:left="108"/>
              <w:rPr>
                <w:sz w:val="16"/>
              </w:rPr>
            </w:pPr>
            <w:r>
              <w:rPr>
                <w:sz w:val="16"/>
              </w:rPr>
              <w:t>Televizyon</w:t>
            </w:r>
          </w:p>
        </w:tc>
        <w:tc>
          <w:tcPr>
            <w:tcW w:w="5029" w:type="dxa"/>
          </w:tcPr>
          <w:p>
            <w:pPr>
              <w:pStyle w:val="TableParagraph"/>
              <w:spacing w:line="163" w:lineRule="exact" w:before="121"/>
              <w:ind w:left="108"/>
              <w:rPr>
                <w:sz w:val="16"/>
              </w:rPr>
            </w:pPr>
            <w:r>
              <w:rPr>
                <w:sz w:val="16"/>
              </w:rPr>
              <w:t>Vizio 24IN D-SERIES LED SMART TV 23.54IN DIAG D24H-E1</w:t>
            </w:r>
          </w:p>
        </w:tc>
        <w:tc>
          <w:tcPr>
            <w:tcW w:w="6212" w:type="dxa"/>
          </w:tcPr>
          <w:p>
            <w:pPr>
              <w:pStyle w:val="TableParagraph"/>
              <w:spacing w:line="163" w:lineRule="exact" w:before="121"/>
              <w:ind w:left="108"/>
              <w:rPr>
                <w:sz w:val="16"/>
              </w:rPr>
            </w:pPr>
            <w:r>
              <w:rPr>
                <w:sz w:val="16"/>
              </w:rPr>
              <w:t>https://</w:t>
            </w:r>
            <w:hyperlink r:id="rId216">
              <w:r>
                <w:rPr>
                  <w:sz w:val="16"/>
                </w:rPr>
                <w:t>www.amazon.com/Vizio-SMART-23-54IN-RETURNS-D24H-E1/dp/B06XQW5FJH/</w:t>
              </w:r>
            </w:hyperlink>
          </w:p>
        </w:tc>
      </w:tr>
    </w:tbl>
    <w:p>
      <w:pPr>
        <w:spacing w:after="0" w:line="163" w:lineRule="exact"/>
        <w:rPr>
          <w:sz w:val="16"/>
        </w:rPr>
        <w:sectPr>
          <w:pgSz w:w="15840" w:h="12240" w:orient="landscape"/>
          <w:pgMar w:header="718" w:footer="0" w:top="1040" w:bottom="280" w:left="1300" w:right="760"/>
        </w:sectPr>
      </w:pPr>
    </w:p>
    <w:p>
      <w:pPr>
        <w:pStyle w:val="BodyText"/>
        <w:spacing w:before="6"/>
        <w:ind w:left="0"/>
        <w:jc w:val="left"/>
        <w:rPr>
          <w:b/>
          <w:sz w:val="9"/>
        </w:rPr>
      </w:pPr>
    </w:p>
    <w:p>
      <w:pPr>
        <w:spacing w:before="90"/>
        <w:ind w:left="548" w:right="0" w:firstLine="0"/>
        <w:jc w:val="left"/>
        <w:rPr>
          <w:b/>
          <w:sz w:val="24"/>
        </w:rPr>
      </w:pPr>
      <w:r>
        <w:rPr>
          <w:b/>
          <w:sz w:val="24"/>
        </w:rPr>
        <w:t>Ek-2 Etsy.com Örnekleminde Bulunan Satıcılar</w:t>
      </w:r>
    </w:p>
    <w:tbl>
      <w:tblPr>
        <w:tblW w:w="0" w:type="auto"/>
        <w:jc w:val="lef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2461"/>
        <w:gridCol w:w="5044"/>
      </w:tblGrid>
      <w:tr>
        <w:trPr>
          <w:trHeight w:val="287" w:hRule="atLeast"/>
        </w:trPr>
        <w:tc>
          <w:tcPr>
            <w:tcW w:w="960" w:type="dxa"/>
          </w:tcPr>
          <w:p>
            <w:pPr>
              <w:pStyle w:val="TableParagraph"/>
              <w:rPr>
                <w:b/>
                <w:sz w:val="20"/>
              </w:rPr>
            </w:pPr>
            <w:r>
              <w:rPr>
                <w:b/>
                <w:w w:val="99"/>
                <w:sz w:val="20"/>
              </w:rPr>
              <w:t>#</w:t>
            </w:r>
          </w:p>
        </w:tc>
        <w:tc>
          <w:tcPr>
            <w:tcW w:w="2461" w:type="dxa"/>
          </w:tcPr>
          <w:p>
            <w:pPr>
              <w:pStyle w:val="TableParagraph"/>
              <w:rPr>
                <w:b/>
                <w:sz w:val="20"/>
              </w:rPr>
            </w:pPr>
            <w:r>
              <w:rPr>
                <w:b/>
                <w:sz w:val="20"/>
              </w:rPr>
              <w:t>Satıcı</w:t>
            </w:r>
          </w:p>
        </w:tc>
        <w:tc>
          <w:tcPr>
            <w:tcW w:w="5044" w:type="dxa"/>
          </w:tcPr>
          <w:p>
            <w:pPr>
              <w:pStyle w:val="TableParagraph"/>
              <w:rPr>
                <w:b/>
                <w:sz w:val="20"/>
              </w:rPr>
            </w:pPr>
            <w:r>
              <w:rPr>
                <w:b/>
                <w:sz w:val="20"/>
              </w:rPr>
              <w:t>Etsy.com Linki</w:t>
            </w:r>
          </w:p>
        </w:tc>
      </w:tr>
      <w:tr>
        <w:trPr>
          <w:trHeight w:val="287" w:hRule="atLeast"/>
        </w:trPr>
        <w:tc>
          <w:tcPr>
            <w:tcW w:w="960" w:type="dxa"/>
          </w:tcPr>
          <w:p>
            <w:pPr>
              <w:pStyle w:val="TableParagraph"/>
              <w:rPr>
                <w:sz w:val="20"/>
              </w:rPr>
            </w:pPr>
            <w:r>
              <w:rPr>
                <w:w w:val="99"/>
                <w:sz w:val="20"/>
              </w:rPr>
              <w:t>1</w:t>
            </w:r>
          </w:p>
        </w:tc>
        <w:tc>
          <w:tcPr>
            <w:tcW w:w="2461" w:type="dxa"/>
          </w:tcPr>
          <w:p>
            <w:pPr>
              <w:pStyle w:val="TableParagraph"/>
              <w:rPr>
                <w:sz w:val="20"/>
              </w:rPr>
            </w:pPr>
            <w:r>
              <w:rPr>
                <w:sz w:val="20"/>
              </w:rPr>
              <w:t>1CreativeMastermind</w:t>
            </w:r>
          </w:p>
        </w:tc>
        <w:tc>
          <w:tcPr>
            <w:tcW w:w="5044" w:type="dxa"/>
          </w:tcPr>
          <w:p>
            <w:pPr>
              <w:pStyle w:val="TableParagraph"/>
              <w:rPr>
                <w:sz w:val="20"/>
              </w:rPr>
            </w:pPr>
            <w:r>
              <w:rPr>
                <w:sz w:val="20"/>
              </w:rPr>
              <w:t>https</w:t>
            </w:r>
            <w:hyperlink r:id="rId218">
              <w:r>
                <w:rPr>
                  <w:sz w:val="20"/>
                </w:rPr>
                <w:t>://www.</w:t>
              </w:r>
            </w:hyperlink>
            <w:r>
              <w:rPr>
                <w:sz w:val="20"/>
              </w:rPr>
              <w:t>ets</w:t>
            </w:r>
            <w:hyperlink r:id="rId218">
              <w:r>
                <w:rPr>
                  <w:sz w:val="20"/>
                </w:rPr>
                <w:t>y.com/shop/1CreativeMastermind</w:t>
              </w:r>
            </w:hyperlink>
          </w:p>
        </w:tc>
      </w:tr>
      <w:tr>
        <w:trPr>
          <w:trHeight w:val="287" w:hRule="atLeast"/>
        </w:trPr>
        <w:tc>
          <w:tcPr>
            <w:tcW w:w="960" w:type="dxa"/>
          </w:tcPr>
          <w:p>
            <w:pPr>
              <w:pStyle w:val="TableParagraph"/>
              <w:rPr>
                <w:sz w:val="20"/>
              </w:rPr>
            </w:pPr>
            <w:r>
              <w:rPr>
                <w:w w:val="99"/>
                <w:sz w:val="20"/>
              </w:rPr>
              <w:t>2</w:t>
            </w:r>
          </w:p>
        </w:tc>
        <w:tc>
          <w:tcPr>
            <w:tcW w:w="2461" w:type="dxa"/>
          </w:tcPr>
          <w:p>
            <w:pPr>
              <w:pStyle w:val="TableParagraph"/>
              <w:rPr>
                <w:sz w:val="20"/>
              </w:rPr>
            </w:pPr>
            <w:r>
              <w:rPr>
                <w:sz w:val="20"/>
              </w:rPr>
              <w:t>4KdesignWall</w:t>
            </w:r>
          </w:p>
        </w:tc>
        <w:tc>
          <w:tcPr>
            <w:tcW w:w="5044" w:type="dxa"/>
          </w:tcPr>
          <w:p>
            <w:pPr>
              <w:pStyle w:val="TableParagraph"/>
              <w:rPr>
                <w:sz w:val="20"/>
              </w:rPr>
            </w:pPr>
            <w:r>
              <w:rPr>
                <w:sz w:val="20"/>
              </w:rPr>
              <w:t>https</w:t>
            </w:r>
            <w:hyperlink r:id="rId219">
              <w:r>
                <w:rPr>
                  <w:sz w:val="20"/>
                </w:rPr>
                <w:t>://www.</w:t>
              </w:r>
            </w:hyperlink>
            <w:r>
              <w:rPr>
                <w:sz w:val="20"/>
              </w:rPr>
              <w:t>ets</w:t>
            </w:r>
            <w:hyperlink r:id="rId219">
              <w:r>
                <w:rPr>
                  <w:sz w:val="20"/>
                </w:rPr>
                <w:t>y.com/shop/4KdesignWall</w:t>
              </w:r>
            </w:hyperlink>
          </w:p>
        </w:tc>
      </w:tr>
      <w:tr>
        <w:trPr>
          <w:trHeight w:val="287" w:hRule="atLeast"/>
        </w:trPr>
        <w:tc>
          <w:tcPr>
            <w:tcW w:w="960" w:type="dxa"/>
          </w:tcPr>
          <w:p>
            <w:pPr>
              <w:pStyle w:val="TableParagraph"/>
              <w:rPr>
                <w:sz w:val="20"/>
              </w:rPr>
            </w:pPr>
            <w:r>
              <w:rPr>
                <w:w w:val="99"/>
                <w:sz w:val="20"/>
              </w:rPr>
              <w:t>3</w:t>
            </w:r>
          </w:p>
        </w:tc>
        <w:tc>
          <w:tcPr>
            <w:tcW w:w="2461" w:type="dxa"/>
          </w:tcPr>
          <w:p>
            <w:pPr>
              <w:pStyle w:val="TableParagraph"/>
              <w:rPr>
                <w:sz w:val="20"/>
              </w:rPr>
            </w:pPr>
            <w:r>
              <w:rPr>
                <w:sz w:val="20"/>
              </w:rPr>
              <w:t>AbeloCustomSigns</w:t>
            </w:r>
          </w:p>
        </w:tc>
        <w:tc>
          <w:tcPr>
            <w:tcW w:w="5044" w:type="dxa"/>
          </w:tcPr>
          <w:p>
            <w:pPr>
              <w:pStyle w:val="TableParagraph"/>
              <w:rPr>
                <w:sz w:val="20"/>
              </w:rPr>
            </w:pPr>
            <w:r>
              <w:rPr>
                <w:sz w:val="20"/>
              </w:rPr>
              <w:t>https</w:t>
            </w:r>
            <w:hyperlink r:id="rId220">
              <w:r>
                <w:rPr>
                  <w:sz w:val="20"/>
                </w:rPr>
                <w:t>://www.</w:t>
              </w:r>
            </w:hyperlink>
            <w:r>
              <w:rPr>
                <w:sz w:val="20"/>
              </w:rPr>
              <w:t>ets</w:t>
            </w:r>
            <w:hyperlink r:id="rId220">
              <w:r>
                <w:rPr>
                  <w:sz w:val="20"/>
                </w:rPr>
                <w:t>y.com/shop/AbeloCustomSigns</w:t>
              </w:r>
            </w:hyperlink>
          </w:p>
        </w:tc>
      </w:tr>
      <w:tr>
        <w:trPr>
          <w:trHeight w:val="290" w:hRule="atLeast"/>
        </w:trPr>
        <w:tc>
          <w:tcPr>
            <w:tcW w:w="960" w:type="dxa"/>
          </w:tcPr>
          <w:p>
            <w:pPr>
              <w:pStyle w:val="TableParagraph"/>
              <w:rPr>
                <w:sz w:val="20"/>
              </w:rPr>
            </w:pPr>
            <w:r>
              <w:rPr>
                <w:w w:val="99"/>
                <w:sz w:val="20"/>
              </w:rPr>
              <w:t>4</w:t>
            </w:r>
          </w:p>
        </w:tc>
        <w:tc>
          <w:tcPr>
            <w:tcW w:w="2461" w:type="dxa"/>
          </w:tcPr>
          <w:p>
            <w:pPr>
              <w:pStyle w:val="TableParagraph"/>
              <w:rPr>
                <w:sz w:val="20"/>
              </w:rPr>
            </w:pPr>
            <w:r>
              <w:rPr>
                <w:sz w:val="20"/>
              </w:rPr>
              <w:t>AdornAnewVintage</w:t>
            </w:r>
          </w:p>
        </w:tc>
        <w:tc>
          <w:tcPr>
            <w:tcW w:w="5044" w:type="dxa"/>
          </w:tcPr>
          <w:p>
            <w:pPr>
              <w:pStyle w:val="TableParagraph"/>
              <w:rPr>
                <w:sz w:val="20"/>
              </w:rPr>
            </w:pPr>
            <w:r>
              <w:rPr>
                <w:sz w:val="20"/>
              </w:rPr>
              <w:t>https</w:t>
            </w:r>
            <w:hyperlink r:id="rId221">
              <w:r>
                <w:rPr>
                  <w:sz w:val="20"/>
                </w:rPr>
                <w:t>://www.</w:t>
              </w:r>
            </w:hyperlink>
            <w:r>
              <w:rPr>
                <w:sz w:val="20"/>
              </w:rPr>
              <w:t>ets</w:t>
            </w:r>
            <w:hyperlink r:id="rId221">
              <w:r>
                <w:rPr>
                  <w:sz w:val="20"/>
                </w:rPr>
                <w:t>y.com/shop/AdornAnewVintage</w:t>
              </w:r>
            </w:hyperlink>
          </w:p>
        </w:tc>
      </w:tr>
      <w:tr>
        <w:trPr>
          <w:trHeight w:val="287" w:hRule="atLeast"/>
        </w:trPr>
        <w:tc>
          <w:tcPr>
            <w:tcW w:w="960" w:type="dxa"/>
          </w:tcPr>
          <w:p>
            <w:pPr>
              <w:pStyle w:val="TableParagraph"/>
              <w:rPr>
                <w:sz w:val="20"/>
              </w:rPr>
            </w:pPr>
            <w:r>
              <w:rPr>
                <w:w w:val="99"/>
                <w:sz w:val="20"/>
              </w:rPr>
              <w:t>5</w:t>
            </w:r>
          </w:p>
        </w:tc>
        <w:tc>
          <w:tcPr>
            <w:tcW w:w="2461" w:type="dxa"/>
          </w:tcPr>
          <w:p>
            <w:pPr>
              <w:pStyle w:val="TableParagraph"/>
              <w:rPr>
                <w:sz w:val="20"/>
              </w:rPr>
            </w:pPr>
            <w:r>
              <w:rPr>
                <w:sz w:val="20"/>
              </w:rPr>
              <w:t>akcaturkmen</w:t>
            </w:r>
          </w:p>
        </w:tc>
        <w:tc>
          <w:tcPr>
            <w:tcW w:w="5044" w:type="dxa"/>
          </w:tcPr>
          <w:p>
            <w:pPr>
              <w:pStyle w:val="TableParagraph"/>
              <w:rPr>
                <w:sz w:val="20"/>
              </w:rPr>
            </w:pPr>
            <w:r>
              <w:rPr>
                <w:sz w:val="20"/>
              </w:rPr>
              <w:t>https</w:t>
            </w:r>
            <w:hyperlink r:id="rId222">
              <w:r>
                <w:rPr>
                  <w:sz w:val="20"/>
                </w:rPr>
                <w:t>://www.</w:t>
              </w:r>
            </w:hyperlink>
            <w:r>
              <w:rPr>
                <w:sz w:val="20"/>
              </w:rPr>
              <w:t>ets</w:t>
            </w:r>
            <w:hyperlink r:id="rId222">
              <w:r>
                <w:rPr>
                  <w:sz w:val="20"/>
                </w:rPr>
                <w:t>y.com/shop/akcaturkmen</w:t>
              </w:r>
            </w:hyperlink>
          </w:p>
        </w:tc>
      </w:tr>
      <w:tr>
        <w:trPr>
          <w:trHeight w:val="287" w:hRule="atLeast"/>
        </w:trPr>
        <w:tc>
          <w:tcPr>
            <w:tcW w:w="960" w:type="dxa"/>
          </w:tcPr>
          <w:p>
            <w:pPr>
              <w:pStyle w:val="TableParagraph"/>
              <w:rPr>
                <w:sz w:val="20"/>
              </w:rPr>
            </w:pPr>
            <w:r>
              <w:rPr>
                <w:w w:val="99"/>
                <w:sz w:val="20"/>
              </w:rPr>
              <w:t>6</w:t>
            </w:r>
          </w:p>
        </w:tc>
        <w:tc>
          <w:tcPr>
            <w:tcW w:w="2461" w:type="dxa"/>
          </w:tcPr>
          <w:p>
            <w:pPr>
              <w:pStyle w:val="TableParagraph"/>
              <w:rPr>
                <w:sz w:val="20"/>
              </w:rPr>
            </w:pPr>
            <w:r>
              <w:rPr>
                <w:sz w:val="20"/>
              </w:rPr>
              <w:t>ALIFEINCOLOURS</w:t>
            </w:r>
          </w:p>
        </w:tc>
        <w:tc>
          <w:tcPr>
            <w:tcW w:w="5044" w:type="dxa"/>
          </w:tcPr>
          <w:p>
            <w:pPr>
              <w:pStyle w:val="TableParagraph"/>
              <w:rPr>
                <w:sz w:val="20"/>
              </w:rPr>
            </w:pPr>
            <w:r>
              <w:rPr>
                <w:sz w:val="20"/>
              </w:rPr>
              <w:t>https</w:t>
            </w:r>
            <w:hyperlink r:id="rId223">
              <w:r>
                <w:rPr>
                  <w:sz w:val="20"/>
                </w:rPr>
                <w:t>://www.</w:t>
              </w:r>
            </w:hyperlink>
            <w:r>
              <w:rPr>
                <w:sz w:val="20"/>
              </w:rPr>
              <w:t>ets</w:t>
            </w:r>
            <w:hyperlink r:id="rId223">
              <w:r>
                <w:rPr>
                  <w:sz w:val="20"/>
                </w:rPr>
                <w:t>y.com/shop/ALIFEINCOLOURS</w:t>
              </w:r>
            </w:hyperlink>
          </w:p>
        </w:tc>
      </w:tr>
      <w:tr>
        <w:trPr>
          <w:trHeight w:val="287" w:hRule="atLeast"/>
        </w:trPr>
        <w:tc>
          <w:tcPr>
            <w:tcW w:w="960" w:type="dxa"/>
          </w:tcPr>
          <w:p>
            <w:pPr>
              <w:pStyle w:val="TableParagraph"/>
              <w:rPr>
                <w:sz w:val="20"/>
              </w:rPr>
            </w:pPr>
            <w:r>
              <w:rPr>
                <w:w w:val="99"/>
                <w:sz w:val="20"/>
              </w:rPr>
              <w:t>7</w:t>
            </w:r>
          </w:p>
        </w:tc>
        <w:tc>
          <w:tcPr>
            <w:tcW w:w="2461" w:type="dxa"/>
          </w:tcPr>
          <w:p>
            <w:pPr>
              <w:pStyle w:val="TableParagraph"/>
              <w:rPr>
                <w:sz w:val="20"/>
              </w:rPr>
            </w:pPr>
            <w:r>
              <w:rPr>
                <w:sz w:val="20"/>
              </w:rPr>
              <w:t>ALTboutique</w:t>
            </w:r>
          </w:p>
        </w:tc>
        <w:tc>
          <w:tcPr>
            <w:tcW w:w="5044" w:type="dxa"/>
          </w:tcPr>
          <w:p>
            <w:pPr>
              <w:pStyle w:val="TableParagraph"/>
              <w:rPr>
                <w:sz w:val="20"/>
              </w:rPr>
            </w:pPr>
            <w:r>
              <w:rPr>
                <w:sz w:val="20"/>
              </w:rPr>
              <w:t>https</w:t>
            </w:r>
            <w:hyperlink r:id="rId224">
              <w:r>
                <w:rPr>
                  <w:sz w:val="20"/>
                </w:rPr>
                <w:t>://www.</w:t>
              </w:r>
            </w:hyperlink>
            <w:r>
              <w:rPr>
                <w:sz w:val="20"/>
              </w:rPr>
              <w:t>ets</w:t>
            </w:r>
            <w:hyperlink r:id="rId224">
              <w:r>
                <w:rPr>
                  <w:sz w:val="20"/>
                </w:rPr>
                <w:t>y.com/shop/ALTboutique</w:t>
              </w:r>
            </w:hyperlink>
          </w:p>
        </w:tc>
      </w:tr>
      <w:tr>
        <w:trPr>
          <w:trHeight w:val="287" w:hRule="atLeast"/>
        </w:trPr>
        <w:tc>
          <w:tcPr>
            <w:tcW w:w="960" w:type="dxa"/>
          </w:tcPr>
          <w:p>
            <w:pPr>
              <w:pStyle w:val="TableParagraph"/>
              <w:rPr>
                <w:sz w:val="20"/>
              </w:rPr>
            </w:pPr>
            <w:r>
              <w:rPr>
                <w:w w:val="99"/>
                <w:sz w:val="20"/>
              </w:rPr>
              <w:t>8</w:t>
            </w:r>
          </w:p>
        </w:tc>
        <w:tc>
          <w:tcPr>
            <w:tcW w:w="2461" w:type="dxa"/>
          </w:tcPr>
          <w:p>
            <w:pPr>
              <w:pStyle w:val="TableParagraph"/>
              <w:rPr>
                <w:sz w:val="20"/>
              </w:rPr>
            </w:pPr>
            <w:r>
              <w:rPr>
                <w:sz w:val="20"/>
              </w:rPr>
              <w:t>AlyaPersonalized</w:t>
            </w:r>
          </w:p>
        </w:tc>
        <w:tc>
          <w:tcPr>
            <w:tcW w:w="5044" w:type="dxa"/>
          </w:tcPr>
          <w:p>
            <w:pPr>
              <w:pStyle w:val="TableParagraph"/>
              <w:rPr>
                <w:sz w:val="20"/>
              </w:rPr>
            </w:pPr>
            <w:r>
              <w:rPr>
                <w:sz w:val="20"/>
              </w:rPr>
              <w:t>https</w:t>
            </w:r>
            <w:hyperlink r:id="rId225">
              <w:r>
                <w:rPr>
                  <w:sz w:val="20"/>
                </w:rPr>
                <w:t>://www.</w:t>
              </w:r>
            </w:hyperlink>
            <w:r>
              <w:rPr>
                <w:sz w:val="20"/>
              </w:rPr>
              <w:t>ets</w:t>
            </w:r>
            <w:hyperlink r:id="rId225">
              <w:r>
                <w:rPr>
                  <w:sz w:val="20"/>
                </w:rPr>
                <w:t>y.com/shop/AlyaPersonalized</w:t>
              </w:r>
            </w:hyperlink>
          </w:p>
        </w:tc>
      </w:tr>
      <w:tr>
        <w:trPr>
          <w:trHeight w:val="287" w:hRule="atLeast"/>
        </w:trPr>
        <w:tc>
          <w:tcPr>
            <w:tcW w:w="960" w:type="dxa"/>
          </w:tcPr>
          <w:p>
            <w:pPr>
              <w:pStyle w:val="TableParagraph"/>
              <w:rPr>
                <w:sz w:val="20"/>
              </w:rPr>
            </w:pPr>
            <w:r>
              <w:rPr>
                <w:w w:val="99"/>
                <w:sz w:val="20"/>
              </w:rPr>
              <w:t>9</w:t>
            </w:r>
          </w:p>
        </w:tc>
        <w:tc>
          <w:tcPr>
            <w:tcW w:w="2461" w:type="dxa"/>
          </w:tcPr>
          <w:p>
            <w:pPr>
              <w:pStyle w:val="TableParagraph"/>
              <w:rPr>
                <w:sz w:val="20"/>
              </w:rPr>
            </w:pPr>
            <w:r>
              <w:rPr>
                <w:sz w:val="20"/>
              </w:rPr>
              <w:t>Anglehome</w:t>
            </w:r>
          </w:p>
        </w:tc>
        <w:tc>
          <w:tcPr>
            <w:tcW w:w="5044" w:type="dxa"/>
          </w:tcPr>
          <w:p>
            <w:pPr>
              <w:pStyle w:val="TableParagraph"/>
              <w:rPr>
                <w:sz w:val="20"/>
              </w:rPr>
            </w:pPr>
            <w:r>
              <w:rPr>
                <w:sz w:val="20"/>
              </w:rPr>
              <w:t>https</w:t>
            </w:r>
            <w:hyperlink r:id="rId226">
              <w:r>
                <w:rPr>
                  <w:sz w:val="20"/>
                </w:rPr>
                <w:t>://www.</w:t>
              </w:r>
            </w:hyperlink>
            <w:r>
              <w:rPr>
                <w:sz w:val="20"/>
              </w:rPr>
              <w:t>ets</w:t>
            </w:r>
            <w:hyperlink r:id="rId226">
              <w:r>
                <w:rPr>
                  <w:sz w:val="20"/>
                </w:rPr>
                <w:t>y.com/shop/Anglehome</w:t>
              </w:r>
            </w:hyperlink>
          </w:p>
        </w:tc>
      </w:tr>
      <w:tr>
        <w:trPr>
          <w:trHeight w:val="290" w:hRule="atLeast"/>
        </w:trPr>
        <w:tc>
          <w:tcPr>
            <w:tcW w:w="960" w:type="dxa"/>
          </w:tcPr>
          <w:p>
            <w:pPr>
              <w:pStyle w:val="TableParagraph"/>
              <w:rPr>
                <w:sz w:val="20"/>
              </w:rPr>
            </w:pPr>
            <w:r>
              <w:rPr>
                <w:sz w:val="20"/>
              </w:rPr>
              <w:t>10</w:t>
            </w:r>
          </w:p>
        </w:tc>
        <w:tc>
          <w:tcPr>
            <w:tcW w:w="2461" w:type="dxa"/>
          </w:tcPr>
          <w:p>
            <w:pPr>
              <w:pStyle w:val="TableParagraph"/>
              <w:rPr>
                <w:sz w:val="20"/>
              </w:rPr>
            </w:pPr>
            <w:r>
              <w:rPr>
                <w:sz w:val="20"/>
              </w:rPr>
              <w:t>AniJewelryDesign</w:t>
            </w:r>
          </w:p>
        </w:tc>
        <w:tc>
          <w:tcPr>
            <w:tcW w:w="5044" w:type="dxa"/>
          </w:tcPr>
          <w:p>
            <w:pPr>
              <w:pStyle w:val="TableParagraph"/>
              <w:rPr>
                <w:sz w:val="20"/>
              </w:rPr>
            </w:pPr>
            <w:r>
              <w:rPr>
                <w:sz w:val="20"/>
              </w:rPr>
              <w:t>https</w:t>
            </w:r>
            <w:hyperlink r:id="rId227">
              <w:r>
                <w:rPr>
                  <w:sz w:val="20"/>
                </w:rPr>
                <w:t>://www.</w:t>
              </w:r>
            </w:hyperlink>
            <w:r>
              <w:rPr>
                <w:sz w:val="20"/>
              </w:rPr>
              <w:t>ets</w:t>
            </w:r>
            <w:hyperlink r:id="rId227">
              <w:r>
                <w:rPr>
                  <w:sz w:val="20"/>
                </w:rPr>
                <w:t>y.com/shop/AniJewelryDesign</w:t>
              </w:r>
            </w:hyperlink>
          </w:p>
        </w:tc>
      </w:tr>
      <w:tr>
        <w:trPr>
          <w:trHeight w:val="288" w:hRule="atLeast"/>
        </w:trPr>
        <w:tc>
          <w:tcPr>
            <w:tcW w:w="960" w:type="dxa"/>
          </w:tcPr>
          <w:p>
            <w:pPr>
              <w:pStyle w:val="TableParagraph"/>
              <w:spacing w:before="1"/>
              <w:rPr>
                <w:sz w:val="20"/>
              </w:rPr>
            </w:pPr>
            <w:r>
              <w:rPr>
                <w:sz w:val="20"/>
              </w:rPr>
              <w:t>11</w:t>
            </w:r>
          </w:p>
        </w:tc>
        <w:tc>
          <w:tcPr>
            <w:tcW w:w="2461" w:type="dxa"/>
          </w:tcPr>
          <w:p>
            <w:pPr>
              <w:pStyle w:val="TableParagraph"/>
              <w:spacing w:before="1"/>
              <w:rPr>
                <w:sz w:val="20"/>
              </w:rPr>
            </w:pPr>
            <w:r>
              <w:rPr>
                <w:sz w:val="20"/>
              </w:rPr>
              <w:t>AnnKirillartPlace</w:t>
            </w:r>
          </w:p>
        </w:tc>
        <w:tc>
          <w:tcPr>
            <w:tcW w:w="5044" w:type="dxa"/>
          </w:tcPr>
          <w:p>
            <w:pPr>
              <w:pStyle w:val="TableParagraph"/>
              <w:spacing w:before="1"/>
              <w:rPr>
                <w:sz w:val="20"/>
              </w:rPr>
            </w:pPr>
            <w:r>
              <w:rPr>
                <w:sz w:val="20"/>
              </w:rPr>
              <w:t>https</w:t>
            </w:r>
            <w:hyperlink r:id="rId228">
              <w:r>
                <w:rPr>
                  <w:sz w:val="20"/>
                </w:rPr>
                <w:t>://www.</w:t>
              </w:r>
            </w:hyperlink>
            <w:r>
              <w:rPr>
                <w:sz w:val="20"/>
              </w:rPr>
              <w:t>ets</w:t>
            </w:r>
            <w:hyperlink r:id="rId228">
              <w:r>
                <w:rPr>
                  <w:sz w:val="20"/>
                </w:rPr>
                <w:t>y.com/shop/AnnKirillartPlace</w:t>
              </w:r>
            </w:hyperlink>
          </w:p>
        </w:tc>
      </w:tr>
      <w:tr>
        <w:trPr>
          <w:trHeight w:val="287" w:hRule="atLeast"/>
        </w:trPr>
        <w:tc>
          <w:tcPr>
            <w:tcW w:w="960" w:type="dxa"/>
          </w:tcPr>
          <w:p>
            <w:pPr>
              <w:pStyle w:val="TableParagraph"/>
              <w:rPr>
                <w:sz w:val="20"/>
              </w:rPr>
            </w:pPr>
            <w:r>
              <w:rPr>
                <w:sz w:val="20"/>
              </w:rPr>
              <w:t>12</w:t>
            </w:r>
          </w:p>
        </w:tc>
        <w:tc>
          <w:tcPr>
            <w:tcW w:w="2461" w:type="dxa"/>
          </w:tcPr>
          <w:p>
            <w:pPr>
              <w:pStyle w:val="TableParagraph"/>
              <w:rPr>
                <w:sz w:val="20"/>
              </w:rPr>
            </w:pPr>
            <w:r>
              <w:rPr>
                <w:sz w:val="20"/>
              </w:rPr>
              <w:t>AtelierPofuduk</w:t>
            </w:r>
          </w:p>
        </w:tc>
        <w:tc>
          <w:tcPr>
            <w:tcW w:w="5044" w:type="dxa"/>
          </w:tcPr>
          <w:p>
            <w:pPr>
              <w:pStyle w:val="TableParagraph"/>
              <w:rPr>
                <w:sz w:val="20"/>
              </w:rPr>
            </w:pPr>
            <w:r>
              <w:rPr>
                <w:sz w:val="20"/>
              </w:rPr>
              <w:t>https</w:t>
            </w:r>
            <w:hyperlink r:id="rId229">
              <w:r>
                <w:rPr>
                  <w:sz w:val="20"/>
                </w:rPr>
                <w:t>://www.</w:t>
              </w:r>
            </w:hyperlink>
            <w:r>
              <w:rPr>
                <w:sz w:val="20"/>
              </w:rPr>
              <w:t>ets</w:t>
            </w:r>
            <w:hyperlink r:id="rId229">
              <w:r>
                <w:rPr>
                  <w:sz w:val="20"/>
                </w:rPr>
                <w:t>y.com/shop/AtelierPofuduk</w:t>
              </w:r>
            </w:hyperlink>
          </w:p>
        </w:tc>
      </w:tr>
      <w:tr>
        <w:trPr>
          <w:trHeight w:val="287" w:hRule="atLeast"/>
        </w:trPr>
        <w:tc>
          <w:tcPr>
            <w:tcW w:w="960" w:type="dxa"/>
          </w:tcPr>
          <w:p>
            <w:pPr>
              <w:pStyle w:val="TableParagraph"/>
              <w:rPr>
                <w:sz w:val="20"/>
              </w:rPr>
            </w:pPr>
            <w:r>
              <w:rPr>
                <w:sz w:val="20"/>
              </w:rPr>
              <w:t>13</w:t>
            </w:r>
          </w:p>
        </w:tc>
        <w:tc>
          <w:tcPr>
            <w:tcW w:w="2461" w:type="dxa"/>
          </w:tcPr>
          <w:p>
            <w:pPr>
              <w:pStyle w:val="TableParagraph"/>
              <w:rPr>
                <w:sz w:val="20"/>
              </w:rPr>
            </w:pPr>
            <w:r>
              <w:rPr>
                <w:sz w:val="20"/>
              </w:rPr>
              <w:t>BackToTheToys</w:t>
            </w:r>
          </w:p>
        </w:tc>
        <w:tc>
          <w:tcPr>
            <w:tcW w:w="5044" w:type="dxa"/>
          </w:tcPr>
          <w:p>
            <w:pPr>
              <w:pStyle w:val="TableParagraph"/>
              <w:rPr>
                <w:sz w:val="20"/>
              </w:rPr>
            </w:pPr>
            <w:r>
              <w:rPr>
                <w:sz w:val="20"/>
              </w:rPr>
              <w:t>https</w:t>
            </w:r>
            <w:hyperlink r:id="rId230">
              <w:r>
                <w:rPr>
                  <w:sz w:val="20"/>
                </w:rPr>
                <w:t>://www.</w:t>
              </w:r>
            </w:hyperlink>
            <w:r>
              <w:rPr>
                <w:sz w:val="20"/>
              </w:rPr>
              <w:t>ets</w:t>
            </w:r>
            <w:hyperlink r:id="rId230">
              <w:r>
                <w:rPr>
                  <w:sz w:val="20"/>
                </w:rPr>
                <w:t>y.com/shop/BackToTheToys</w:t>
              </w:r>
            </w:hyperlink>
          </w:p>
        </w:tc>
      </w:tr>
      <w:tr>
        <w:trPr>
          <w:trHeight w:val="287" w:hRule="atLeast"/>
        </w:trPr>
        <w:tc>
          <w:tcPr>
            <w:tcW w:w="960" w:type="dxa"/>
          </w:tcPr>
          <w:p>
            <w:pPr>
              <w:pStyle w:val="TableParagraph"/>
              <w:rPr>
                <w:sz w:val="20"/>
              </w:rPr>
            </w:pPr>
            <w:r>
              <w:rPr>
                <w:sz w:val="20"/>
              </w:rPr>
              <w:t>14</w:t>
            </w:r>
          </w:p>
        </w:tc>
        <w:tc>
          <w:tcPr>
            <w:tcW w:w="2461" w:type="dxa"/>
          </w:tcPr>
          <w:p>
            <w:pPr>
              <w:pStyle w:val="TableParagraph"/>
              <w:rPr>
                <w:sz w:val="20"/>
              </w:rPr>
            </w:pPr>
            <w:r>
              <w:rPr>
                <w:sz w:val="20"/>
              </w:rPr>
              <w:t>BagsofSuziErit</w:t>
            </w:r>
          </w:p>
        </w:tc>
        <w:tc>
          <w:tcPr>
            <w:tcW w:w="5044" w:type="dxa"/>
          </w:tcPr>
          <w:p>
            <w:pPr>
              <w:pStyle w:val="TableParagraph"/>
              <w:rPr>
                <w:sz w:val="20"/>
              </w:rPr>
            </w:pPr>
            <w:r>
              <w:rPr>
                <w:sz w:val="20"/>
              </w:rPr>
              <w:t>https</w:t>
            </w:r>
            <w:hyperlink r:id="rId231">
              <w:r>
                <w:rPr>
                  <w:sz w:val="20"/>
                </w:rPr>
                <w:t>://www.</w:t>
              </w:r>
            </w:hyperlink>
            <w:r>
              <w:rPr>
                <w:sz w:val="20"/>
              </w:rPr>
              <w:t>ets</w:t>
            </w:r>
            <w:hyperlink r:id="rId231">
              <w:r>
                <w:rPr>
                  <w:sz w:val="20"/>
                </w:rPr>
                <w:t>y.com/shop/BagsofSuziErit</w:t>
              </w:r>
            </w:hyperlink>
          </w:p>
        </w:tc>
      </w:tr>
      <w:tr>
        <w:trPr>
          <w:trHeight w:val="287" w:hRule="atLeast"/>
        </w:trPr>
        <w:tc>
          <w:tcPr>
            <w:tcW w:w="960" w:type="dxa"/>
          </w:tcPr>
          <w:p>
            <w:pPr>
              <w:pStyle w:val="TableParagraph"/>
              <w:rPr>
                <w:sz w:val="20"/>
              </w:rPr>
            </w:pPr>
            <w:r>
              <w:rPr>
                <w:sz w:val="20"/>
              </w:rPr>
              <w:t>15</w:t>
            </w:r>
          </w:p>
        </w:tc>
        <w:tc>
          <w:tcPr>
            <w:tcW w:w="2461" w:type="dxa"/>
          </w:tcPr>
          <w:p>
            <w:pPr>
              <w:pStyle w:val="TableParagraph"/>
              <w:rPr>
                <w:sz w:val="20"/>
              </w:rPr>
            </w:pPr>
            <w:r>
              <w:rPr>
                <w:sz w:val="20"/>
              </w:rPr>
              <w:t>Balasagun</w:t>
            </w:r>
          </w:p>
        </w:tc>
        <w:tc>
          <w:tcPr>
            <w:tcW w:w="5044" w:type="dxa"/>
          </w:tcPr>
          <w:p>
            <w:pPr>
              <w:pStyle w:val="TableParagraph"/>
              <w:rPr>
                <w:sz w:val="20"/>
              </w:rPr>
            </w:pPr>
            <w:r>
              <w:rPr>
                <w:sz w:val="20"/>
              </w:rPr>
              <w:t>https</w:t>
            </w:r>
            <w:hyperlink r:id="rId232">
              <w:r>
                <w:rPr>
                  <w:sz w:val="20"/>
                </w:rPr>
                <w:t>://www.</w:t>
              </w:r>
            </w:hyperlink>
            <w:r>
              <w:rPr>
                <w:sz w:val="20"/>
              </w:rPr>
              <w:t>ets</w:t>
            </w:r>
            <w:hyperlink r:id="rId232">
              <w:r>
                <w:rPr>
                  <w:sz w:val="20"/>
                </w:rPr>
                <w:t>y.com/shop/Balasagun</w:t>
              </w:r>
            </w:hyperlink>
          </w:p>
        </w:tc>
      </w:tr>
      <w:tr>
        <w:trPr>
          <w:trHeight w:val="290" w:hRule="atLeast"/>
        </w:trPr>
        <w:tc>
          <w:tcPr>
            <w:tcW w:w="960" w:type="dxa"/>
          </w:tcPr>
          <w:p>
            <w:pPr>
              <w:pStyle w:val="TableParagraph"/>
              <w:rPr>
                <w:sz w:val="20"/>
              </w:rPr>
            </w:pPr>
            <w:r>
              <w:rPr>
                <w:sz w:val="20"/>
              </w:rPr>
              <w:t>16</w:t>
            </w:r>
          </w:p>
        </w:tc>
        <w:tc>
          <w:tcPr>
            <w:tcW w:w="2461" w:type="dxa"/>
          </w:tcPr>
          <w:p>
            <w:pPr>
              <w:pStyle w:val="TableParagraph"/>
              <w:rPr>
                <w:sz w:val="20"/>
              </w:rPr>
            </w:pPr>
            <w:r>
              <w:rPr>
                <w:sz w:val="20"/>
              </w:rPr>
              <w:t>BlackFigDesigns</w:t>
            </w:r>
          </w:p>
        </w:tc>
        <w:tc>
          <w:tcPr>
            <w:tcW w:w="5044" w:type="dxa"/>
          </w:tcPr>
          <w:p>
            <w:pPr>
              <w:pStyle w:val="TableParagraph"/>
              <w:rPr>
                <w:sz w:val="20"/>
              </w:rPr>
            </w:pPr>
            <w:r>
              <w:rPr>
                <w:sz w:val="20"/>
              </w:rPr>
              <w:t>https</w:t>
            </w:r>
            <w:hyperlink r:id="rId233">
              <w:r>
                <w:rPr>
                  <w:sz w:val="20"/>
                </w:rPr>
                <w:t>://www.</w:t>
              </w:r>
            </w:hyperlink>
            <w:r>
              <w:rPr>
                <w:sz w:val="20"/>
              </w:rPr>
              <w:t>ets</w:t>
            </w:r>
            <w:hyperlink r:id="rId233">
              <w:r>
                <w:rPr>
                  <w:sz w:val="20"/>
                </w:rPr>
                <w:t>y.com/shop/BlackFigDesigns</w:t>
              </w:r>
            </w:hyperlink>
          </w:p>
        </w:tc>
      </w:tr>
      <w:tr>
        <w:trPr>
          <w:trHeight w:val="287" w:hRule="atLeast"/>
        </w:trPr>
        <w:tc>
          <w:tcPr>
            <w:tcW w:w="960" w:type="dxa"/>
          </w:tcPr>
          <w:p>
            <w:pPr>
              <w:pStyle w:val="TableParagraph"/>
              <w:rPr>
                <w:sz w:val="20"/>
              </w:rPr>
            </w:pPr>
            <w:r>
              <w:rPr>
                <w:sz w:val="20"/>
              </w:rPr>
              <w:t>17</w:t>
            </w:r>
          </w:p>
        </w:tc>
        <w:tc>
          <w:tcPr>
            <w:tcW w:w="2461" w:type="dxa"/>
          </w:tcPr>
          <w:p>
            <w:pPr>
              <w:pStyle w:val="TableParagraph"/>
              <w:rPr>
                <w:sz w:val="20"/>
              </w:rPr>
            </w:pPr>
            <w:r>
              <w:rPr>
                <w:sz w:val="20"/>
              </w:rPr>
              <w:t>BohoBlissCreations</w:t>
            </w:r>
          </w:p>
        </w:tc>
        <w:tc>
          <w:tcPr>
            <w:tcW w:w="5044" w:type="dxa"/>
          </w:tcPr>
          <w:p>
            <w:pPr>
              <w:pStyle w:val="TableParagraph"/>
              <w:rPr>
                <w:sz w:val="20"/>
              </w:rPr>
            </w:pPr>
            <w:r>
              <w:rPr>
                <w:sz w:val="20"/>
              </w:rPr>
              <w:t>https</w:t>
            </w:r>
            <w:hyperlink r:id="rId234">
              <w:r>
                <w:rPr>
                  <w:sz w:val="20"/>
                </w:rPr>
                <w:t>://www.</w:t>
              </w:r>
            </w:hyperlink>
            <w:r>
              <w:rPr>
                <w:sz w:val="20"/>
              </w:rPr>
              <w:t>ets</w:t>
            </w:r>
            <w:hyperlink r:id="rId234">
              <w:r>
                <w:rPr>
                  <w:sz w:val="20"/>
                </w:rPr>
                <w:t>y.com/shop/BohoBlissCreations</w:t>
              </w:r>
            </w:hyperlink>
          </w:p>
        </w:tc>
      </w:tr>
      <w:tr>
        <w:trPr>
          <w:trHeight w:val="287" w:hRule="atLeast"/>
        </w:trPr>
        <w:tc>
          <w:tcPr>
            <w:tcW w:w="960" w:type="dxa"/>
          </w:tcPr>
          <w:p>
            <w:pPr>
              <w:pStyle w:val="TableParagraph"/>
              <w:rPr>
                <w:sz w:val="20"/>
              </w:rPr>
            </w:pPr>
            <w:r>
              <w:rPr>
                <w:sz w:val="20"/>
              </w:rPr>
              <w:t>18</w:t>
            </w:r>
          </w:p>
        </w:tc>
        <w:tc>
          <w:tcPr>
            <w:tcW w:w="2461" w:type="dxa"/>
          </w:tcPr>
          <w:p>
            <w:pPr>
              <w:pStyle w:val="TableParagraph"/>
              <w:rPr>
                <w:sz w:val="20"/>
              </w:rPr>
            </w:pPr>
            <w:r>
              <w:rPr>
                <w:sz w:val="20"/>
              </w:rPr>
              <w:t>BornInTheSoviet</w:t>
            </w:r>
          </w:p>
        </w:tc>
        <w:tc>
          <w:tcPr>
            <w:tcW w:w="5044" w:type="dxa"/>
          </w:tcPr>
          <w:p>
            <w:pPr>
              <w:pStyle w:val="TableParagraph"/>
              <w:rPr>
                <w:sz w:val="20"/>
              </w:rPr>
            </w:pPr>
            <w:r>
              <w:rPr>
                <w:sz w:val="20"/>
              </w:rPr>
              <w:t>https</w:t>
            </w:r>
            <w:hyperlink r:id="rId235">
              <w:r>
                <w:rPr>
                  <w:sz w:val="20"/>
                </w:rPr>
                <w:t>://www.</w:t>
              </w:r>
            </w:hyperlink>
            <w:r>
              <w:rPr>
                <w:sz w:val="20"/>
              </w:rPr>
              <w:t>ets</w:t>
            </w:r>
            <w:hyperlink r:id="rId235">
              <w:r>
                <w:rPr>
                  <w:sz w:val="20"/>
                </w:rPr>
                <w:t>y.com/shop/BornInTheSoviet</w:t>
              </w:r>
            </w:hyperlink>
          </w:p>
        </w:tc>
      </w:tr>
      <w:tr>
        <w:trPr>
          <w:trHeight w:val="287" w:hRule="atLeast"/>
        </w:trPr>
        <w:tc>
          <w:tcPr>
            <w:tcW w:w="960" w:type="dxa"/>
          </w:tcPr>
          <w:p>
            <w:pPr>
              <w:pStyle w:val="TableParagraph"/>
              <w:rPr>
                <w:sz w:val="20"/>
              </w:rPr>
            </w:pPr>
            <w:r>
              <w:rPr>
                <w:sz w:val="20"/>
              </w:rPr>
              <w:t>19</w:t>
            </w:r>
          </w:p>
        </w:tc>
        <w:tc>
          <w:tcPr>
            <w:tcW w:w="2461" w:type="dxa"/>
          </w:tcPr>
          <w:p>
            <w:pPr>
              <w:pStyle w:val="TableParagraph"/>
              <w:rPr>
                <w:sz w:val="20"/>
              </w:rPr>
            </w:pPr>
            <w:r>
              <w:rPr>
                <w:sz w:val="20"/>
              </w:rPr>
              <w:t>BukharaTreasures</w:t>
            </w:r>
          </w:p>
        </w:tc>
        <w:tc>
          <w:tcPr>
            <w:tcW w:w="5044" w:type="dxa"/>
          </w:tcPr>
          <w:p>
            <w:pPr>
              <w:pStyle w:val="TableParagraph"/>
              <w:rPr>
                <w:sz w:val="20"/>
              </w:rPr>
            </w:pPr>
            <w:r>
              <w:rPr>
                <w:sz w:val="20"/>
              </w:rPr>
              <w:t>https</w:t>
            </w:r>
            <w:hyperlink r:id="rId236">
              <w:r>
                <w:rPr>
                  <w:sz w:val="20"/>
                </w:rPr>
                <w:t>://www.</w:t>
              </w:r>
            </w:hyperlink>
            <w:r>
              <w:rPr>
                <w:sz w:val="20"/>
              </w:rPr>
              <w:t>ets</w:t>
            </w:r>
            <w:hyperlink r:id="rId236">
              <w:r>
                <w:rPr>
                  <w:sz w:val="20"/>
                </w:rPr>
                <w:t>y.com/shop/BukharaTreasures</w:t>
              </w:r>
            </w:hyperlink>
          </w:p>
        </w:tc>
      </w:tr>
      <w:tr>
        <w:trPr>
          <w:trHeight w:val="287" w:hRule="atLeast"/>
        </w:trPr>
        <w:tc>
          <w:tcPr>
            <w:tcW w:w="960" w:type="dxa"/>
          </w:tcPr>
          <w:p>
            <w:pPr>
              <w:pStyle w:val="TableParagraph"/>
              <w:rPr>
                <w:sz w:val="20"/>
              </w:rPr>
            </w:pPr>
            <w:r>
              <w:rPr>
                <w:sz w:val="20"/>
              </w:rPr>
              <w:t>20</w:t>
            </w:r>
          </w:p>
        </w:tc>
        <w:tc>
          <w:tcPr>
            <w:tcW w:w="2461" w:type="dxa"/>
          </w:tcPr>
          <w:p>
            <w:pPr>
              <w:pStyle w:val="TableParagraph"/>
              <w:rPr>
                <w:sz w:val="20"/>
              </w:rPr>
            </w:pPr>
            <w:r>
              <w:rPr>
                <w:sz w:val="20"/>
              </w:rPr>
              <w:t>ByBarva</w:t>
            </w:r>
          </w:p>
        </w:tc>
        <w:tc>
          <w:tcPr>
            <w:tcW w:w="5044" w:type="dxa"/>
          </w:tcPr>
          <w:p>
            <w:pPr>
              <w:pStyle w:val="TableParagraph"/>
              <w:rPr>
                <w:sz w:val="20"/>
              </w:rPr>
            </w:pPr>
            <w:r>
              <w:rPr>
                <w:sz w:val="20"/>
              </w:rPr>
              <w:t>https</w:t>
            </w:r>
            <w:hyperlink r:id="rId237">
              <w:r>
                <w:rPr>
                  <w:sz w:val="20"/>
                </w:rPr>
                <w:t>://www.</w:t>
              </w:r>
            </w:hyperlink>
            <w:r>
              <w:rPr>
                <w:sz w:val="20"/>
              </w:rPr>
              <w:t>ets</w:t>
            </w:r>
            <w:hyperlink r:id="rId237">
              <w:r>
                <w:rPr>
                  <w:sz w:val="20"/>
                </w:rPr>
                <w:t>y.com/shop/ByBarva</w:t>
              </w:r>
            </w:hyperlink>
          </w:p>
        </w:tc>
      </w:tr>
      <w:tr>
        <w:trPr>
          <w:trHeight w:val="287" w:hRule="atLeast"/>
        </w:trPr>
        <w:tc>
          <w:tcPr>
            <w:tcW w:w="960" w:type="dxa"/>
          </w:tcPr>
          <w:p>
            <w:pPr>
              <w:pStyle w:val="TableParagraph"/>
              <w:rPr>
                <w:sz w:val="20"/>
              </w:rPr>
            </w:pPr>
            <w:r>
              <w:rPr>
                <w:sz w:val="20"/>
              </w:rPr>
              <w:t>21</w:t>
            </w:r>
          </w:p>
        </w:tc>
        <w:tc>
          <w:tcPr>
            <w:tcW w:w="2461" w:type="dxa"/>
          </w:tcPr>
          <w:p>
            <w:pPr>
              <w:pStyle w:val="TableParagraph"/>
              <w:rPr>
                <w:sz w:val="20"/>
              </w:rPr>
            </w:pPr>
            <w:r>
              <w:rPr>
                <w:sz w:val="20"/>
              </w:rPr>
              <w:t>CarnavalShop</w:t>
            </w:r>
          </w:p>
        </w:tc>
        <w:tc>
          <w:tcPr>
            <w:tcW w:w="5044" w:type="dxa"/>
          </w:tcPr>
          <w:p>
            <w:pPr>
              <w:pStyle w:val="TableParagraph"/>
              <w:rPr>
                <w:sz w:val="20"/>
              </w:rPr>
            </w:pPr>
            <w:r>
              <w:rPr>
                <w:sz w:val="20"/>
              </w:rPr>
              <w:t>https</w:t>
            </w:r>
            <w:hyperlink r:id="rId238">
              <w:r>
                <w:rPr>
                  <w:sz w:val="20"/>
                </w:rPr>
                <w:t>://www.</w:t>
              </w:r>
            </w:hyperlink>
            <w:r>
              <w:rPr>
                <w:sz w:val="20"/>
              </w:rPr>
              <w:t>ets</w:t>
            </w:r>
            <w:hyperlink r:id="rId238">
              <w:r>
                <w:rPr>
                  <w:sz w:val="20"/>
                </w:rPr>
                <w:t>y.com/shop/CarnavalShop</w:t>
              </w:r>
            </w:hyperlink>
          </w:p>
        </w:tc>
      </w:tr>
      <w:tr>
        <w:trPr>
          <w:trHeight w:val="290" w:hRule="atLeast"/>
        </w:trPr>
        <w:tc>
          <w:tcPr>
            <w:tcW w:w="960" w:type="dxa"/>
          </w:tcPr>
          <w:p>
            <w:pPr>
              <w:pStyle w:val="TableParagraph"/>
              <w:rPr>
                <w:sz w:val="20"/>
              </w:rPr>
            </w:pPr>
            <w:r>
              <w:rPr>
                <w:sz w:val="20"/>
              </w:rPr>
              <w:t>22</w:t>
            </w:r>
          </w:p>
        </w:tc>
        <w:tc>
          <w:tcPr>
            <w:tcW w:w="2461" w:type="dxa"/>
          </w:tcPr>
          <w:p>
            <w:pPr>
              <w:pStyle w:val="TableParagraph"/>
              <w:rPr>
                <w:sz w:val="20"/>
              </w:rPr>
            </w:pPr>
            <w:r>
              <w:rPr>
                <w:sz w:val="20"/>
              </w:rPr>
              <w:t>ChasingSunshineCo</w:t>
            </w:r>
          </w:p>
        </w:tc>
        <w:tc>
          <w:tcPr>
            <w:tcW w:w="5044" w:type="dxa"/>
          </w:tcPr>
          <w:p>
            <w:pPr>
              <w:pStyle w:val="TableParagraph"/>
              <w:rPr>
                <w:sz w:val="20"/>
              </w:rPr>
            </w:pPr>
            <w:r>
              <w:rPr>
                <w:sz w:val="20"/>
              </w:rPr>
              <w:t>https</w:t>
            </w:r>
            <w:hyperlink r:id="rId239">
              <w:r>
                <w:rPr>
                  <w:sz w:val="20"/>
                </w:rPr>
                <w:t>://www.</w:t>
              </w:r>
            </w:hyperlink>
            <w:r>
              <w:rPr>
                <w:sz w:val="20"/>
              </w:rPr>
              <w:t>ets</w:t>
            </w:r>
            <w:hyperlink r:id="rId239">
              <w:r>
                <w:rPr>
                  <w:sz w:val="20"/>
                </w:rPr>
                <w:t>y.com/shop/ChasingSunshineCo</w:t>
              </w:r>
            </w:hyperlink>
          </w:p>
        </w:tc>
      </w:tr>
      <w:tr>
        <w:trPr>
          <w:trHeight w:val="287" w:hRule="atLeast"/>
        </w:trPr>
        <w:tc>
          <w:tcPr>
            <w:tcW w:w="960" w:type="dxa"/>
          </w:tcPr>
          <w:p>
            <w:pPr>
              <w:pStyle w:val="TableParagraph"/>
              <w:rPr>
                <w:sz w:val="20"/>
              </w:rPr>
            </w:pPr>
            <w:r>
              <w:rPr>
                <w:sz w:val="20"/>
              </w:rPr>
              <w:t>23</w:t>
            </w:r>
          </w:p>
        </w:tc>
        <w:tc>
          <w:tcPr>
            <w:tcW w:w="2461" w:type="dxa"/>
          </w:tcPr>
          <w:p>
            <w:pPr>
              <w:pStyle w:val="TableParagraph"/>
              <w:rPr>
                <w:sz w:val="20"/>
              </w:rPr>
            </w:pPr>
            <w:r>
              <w:rPr>
                <w:sz w:val="20"/>
              </w:rPr>
              <w:t>ClassicArtStudio</w:t>
            </w:r>
          </w:p>
        </w:tc>
        <w:tc>
          <w:tcPr>
            <w:tcW w:w="5044" w:type="dxa"/>
          </w:tcPr>
          <w:p>
            <w:pPr>
              <w:pStyle w:val="TableParagraph"/>
              <w:rPr>
                <w:sz w:val="20"/>
              </w:rPr>
            </w:pPr>
            <w:r>
              <w:rPr>
                <w:sz w:val="20"/>
              </w:rPr>
              <w:t>https</w:t>
            </w:r>
            <w:hyperlink r:id="rId240">
              <w:r>
                <w:rPr>
                  <w:sz w:val="20"/>
                </w:rPr>
                <w:t>://www.</w:t>
              </w:r>
            </w:hyperlink>
            <w:r>
              <w:rPr>
                <w:sz w:val="20"/>
              </w:rPr>
              <w:t>ets</w:t>
            </w:r>
            <w:hyperlink r:id="rId240">
              <w:r>
                <w:rPr>
                  <w:sz w:val="20"/>
                </w:rPr>
                <w:t>y.com/shop/ClassicArtStudio</w:t>
              </w:r>
            </w:hyperlink>
          </w:p>
        </w:tc>
      </w:tr>
      <w:tr>
        <w:trPr>
          <w:trHeight w:val="287" w:hRule="atLeast"/>
        </w:trPr>
        <w:tc>
          <w:tcPr>
            <w:tcW w:w="960" w:type="dxa"/>
          </w:tcPr>
          <w:p>
            <w:pPr>
              <w:pStyle w:val="TableParagraph"/>
              <w:rPr>
                <w:sz w:val="20"/>
              </w:rPr>
            </w:pPr>
            <w:r>
              <w:rPr>
                <w:sz w:val="20"/>
              </w:rPr>
              <w:t>24</w:t>
            </w:r>
          </w:p>
        </w:tc>
        <w:tc>
          <w:tcPr>
            <w:tcW w:w="2461" w:type="dxa"/>
          </w:tcPr>
          <w:p>
            <w:pPr>
              <w:pStyle w:val="TableParagraph"/>
              <w:rPr>
                <w:sz w:val="20"/>
              </w:rPr>
            </w:pPr>
            <w:r>
              <w:rPr>
                <w:sz w:val="20"/>
              </w:rPr>
              <w:t>Crafteri</w:t>
            </w:r>
          </w:p>
        </w:tc>
        <w:tc>
          <w:tcPr>
            <w:tcW w:w="5044" w:type="dxa"/>
          </w:tcPr>
          <w:p>
            <w:pPr>
              <w:pStyle w:val="TableParagraph"/>
              <w:rPr>
                <w:sz w:val="20"/>
              </w:rPr>
            </w:pPr>
            <w:r>
              <w:rPr>
                <w:sz w:val="20"/>
              </w:rPr>
              <w:t>https</w:t>
            </w:r>
            <w:hyperlink r:id="rId241">
              <w:r>
                <w:rPr>
                  <w:sz w:val="20"/>
                </w:rPr>
                <w:t>://www.</w:t>
              </w:r>
            </w:hyperlink>
            <w:r>
              <w:rPr>
                <w:sz w:val="20"/>
              </w:rPr>
              <w:t>ets</w:t>
            </w:r>
            <w:hyperlink r:id="rId241">
              <w:r>
                <w:rPr>
                  <w:sz w:val="20"/>
                </w:rPr>
                <w:t>y.com/shop/Crafteri</w:t>
              </w:r>
            </w:hyperlink>
          </w:p>
        </w:tc>
      </w:tr>
      <w:tr>
        <w:trPr>
          <w:trHeight w:val="287" w:hRule="atLeast"/>
        </w:trPr>
        <w:tc>
          <w:tcPr>
            <w:tcW w:w="960" w:type="dxa"/>
          </w:tcPr>
          <w:p>
            <w:pPr>
              <w:pStyle w:val="TableParagraph"/>
              <w:rPr>
                <w:sz w:val="20"/>
              </w:rPr>
            </w:pPr>
            <w:r>
              <w:rPr>
                <w:sz w:val="20"/>
              </w:rPr>
              <w:t>25</w:t>
            </w:r>
          </w:p>
        </w:tc>
        <w:tc>
          <w:tcPr>
            <w:tcW w:w="2461" w:type="dxa"/>
          </w:tcPr>
          <w:p>
            <w:pPr>
              <w:pStyle w:val="TableParagraph"/>
              <w:rPr>
                <w:sz w:val="20"/>
              </w:rPr>
            </w:pPr>
            <w:r>
              <w:rPr>
                <w:sz w:val="20"/>
              </w:rPr>
              <w:t>CraftPaperWoodShop</w:t>
            </w:r>
          </w:p>
        </w:tc>
        <w:tc>
          <w:tcPr>
            <w:tcW w:w="5044" w:type="dxa"/>
          </w:tcPr>
          <w:p>
            <w:pPr>
              <w:pStyle w:val="TableParagraph"/>
              <w:rPr>
                <w:sz w:val="20"/>
              </w:rPr>
            </w:pPr>
            <w:r>
              <w:rPr>
                <w:sz w:val="20"/>
              </w:rPr>
              <w:t>https</w:t>
            </w:r>
            <w:hyperlink r:id="rId242">
              <w:r>
                <w:rPr>
                  <w:sz w:val="20"/>
                </w:rPr>
                <w:t>://www.</w:t>
              </w:r>
            </w:hyperlink>
            <w:r>
              <w:rPr>
                <w:sz w:val="20"/>
              </w:rPr>
              <w:t>ets</w:t>
            </w:r>
            <w:hyperlink r:id="rId242">
              <w:r>
                <w:rPr>
                  <w:sz w:val="20"/>
                </w:rPr>
                <w:t>y.com/shop/CraftPaperWoodShop</w:t>
              </w:r>
            </w:hyperlink>
          </w:p>
        </w:tc>
      </w:tr>
      <w:tr>
        <w:trPr>
          <w:trHeight w:val="287" w:hRule="atLeast"/>
        </w:trPr>
        <w:tc>
          <w:tcPr>
            <w:tcW w:w="960" w:type="dxa"/>
          </w:tcPr>
          <w:p>
            <w:pPr>
              <w:pStyle w:val="TableParagraph"/>
              <w:rPr>
                <w:sz w:val="20"/>
              </w:rPr>
            </w:pPr>
            <w:r>
              <w:rPr>
                <w:sz w:val="20"/>
              </w:rPr>
              <w:t>26</w:t>
            </w:r>
          </w:p>
        </w:tc>
        <w:tc>
          <w:tcPr>
            <w:tcW w:w="2461" w:type="dxa"/>
          </w:tcPr>
          <w:p>
            <w:pPr>
              <w:pStyle w:val="TableParagraph"/>
              <w:rPr>
                <w:sz w:val="20"/>
              </w:rPr>
            </w:pPr>
            <w:r>
              <w:rPr>
                <w:sz w:val="20"/>
              </w:rPr>
              <w:t>CrayCases</w:t>
            </w:r>
          </w:p>
        </w:tc>
        <w:tc>
          <w:tcPr>
            <w:tcW w:w="5044" w:type="dxa"/>
          </w:tcPr>
          <w:p>
            <w:pPr>
              <w:pStyle w:val="TableParagraph"/>
              <w:rPr>
                <w:sz w:val="20"/>
              </w:rPr>
            </w:pPr>
            <w:r>
              <w:rPr>
                <w:sz w:val="20"/>
              </w:rPr>
              <w:t>https</w:t>
            </w:r>
            <w:hyperlink r:id="rId243">
              <w:r>
                <w:rPr>
                  <w:sz w:val="20"/>
                </w:rPr>
                <w:t>://www.</w:t>
              </w:r>
            </w:hyperlink>
            <w:r>
              <w:rPr>
                <w:sz w:val="20"/>
              </w:rPr>
              <w:t>ets</w:t>
            </w:r>
            <w:hyperlink r:id="rId243">
              <w:r>
                <w:rPr>
                  <w:sz w:val="20"/>
                </w:rPr>
                <w:t>y.com/shop/CrayCases</w:t>
              </w:r>
            </w:hyperlink>
          </w:p>
        </w:tc>
      </w:tr>
      <w:tr>
        <w:trPr>
          <w:trHeight w:val="287" w:hRule="atLeast"/>
        </w:trPr>
        <w:tc>
          <w:tcPr>
            <w:tcW w:w="960" w:type="dxa"/>
          </w:tcPr>
          <w:p>
            <w:pPr>
              <w:pStyle w:val="TableParagraph"/>
              <w:rPr>
                <w:sz w:val="20"/>
              </w:rPr>
            </w:pPr>
            <w:r>
              <w:rPr>
                <w:sz w:val="20"/>
              </w:rPr>
              <w:t>27</w:t>
            </w:r>
          </w:p>
        </w:tc>
        <w:tc>
          <w:tcPr>
            <w:tcW w:w="2461" w:type="dxa"/>
          </w:tcPr>
          <w:p>
            <w:pPr>
              <w:pStyle w:val="TableParagraph"/>
              <w:rPr>
                <w:sz w:val="20"/>
              </w:rPr>
            </w:pPr>
            <w:r>
              <w:rPr>
                <w:sz w:val="20"/>
              </w:rPr>
              <w:t>Crowsdream</w:t>
            </w:r>
          </w:p>
        </w:tc>
        <w:tc>
          <w:tcPr>
            <w:tcW w:w="5044" w:type="dxa"/>
          </w:tcPr>
          <w:p>
            <w:pPr>
              <w:pStyle w:val="TableParagraph"/>
              <w:rPr>
                <w:sz w:val="20"/>
              </w:rPr>
            </w:pPr>
            <w:r>
              <w:rPr>
                <w:sz w:val="20"/>
              </w:rPr>
              <w:t>https</w:t>
            </w:r>
            <w:hyperlink r:id="rId244">
              <w:r>
                <w:rPr>
                  <w:sz w:val="20"/>
                </w:rPr>
                <w:t>://www.</w:t>
              </w:r>
            </w:hyperlink>
            <w:r>
              <w:rPr>
                <w:sz w:val="20"/>
              </w:rPr>
              <w:t>ets</w:t>
            </w:r>
            <w:hyperlink r:id="rId244">
              <w:r>
                <w:rPr>
                  <w:sz w:val="20"/>
                </w:rPr>
                <w:t>y.com/shop/Crowsdream</w:t>
              </w:r>
            </w:hyperlink>
          </w:p>
        </w:tc>
      </w:tr>
      <w:tr>
        <w:trPr>
          <w:trHeight w:val="289" w:hRule="atLeast"/>
        </w:trPr>
        <w:tc>
          <w:tcPr>
            <w:tcW w:w="960" w:type="dxa"/>
          </w:tcPr>
          <w:p>
            <w:pPr>
              <w:pStyle w:val="TableParagraph"/>
              <w:rPr>
                <w:sz w:val="20"/>
              </w:rPr>
            </w:pPr>
            <w:r>
              <w:rPr>
                <w:sz w:val="20"/>
              </w:rPr>
              <w:t>28</w:t>
            </w:r>
          </w:p>
        </w:tc>
        <w:tc>
          <w:tcPr>
            <w:tcW w:w="2461" w:type="dxa"/>
          </w:tcPr>
          <w:p>
            <w:pPr>
              <w:pStyle w:val="TableParagraph"/>
              <w:rPr>
                <w:sz w:val="20"/>
              </w:rPr>
            </w:pPr>
            <w:r>
              <w:rPr>
                <w:sz w:val="20"/>
              </w:rPr>
              <w:t>CurlyQsCounter</w:t>
            </w:r>
          </w:p>
        </w:tc>
        <w:tc>
          <w:tcPr>
            <w:tcW w:w="5044" w:type="dxa"/>
          </w:tcPr>
          <w:p>
            <w:pPr>
              <w:pStyle w:val="TableParagraph"/>
              <w:rPr>
                <w:sz w:val="20"/>
              </w:rPr>
            </w:pPr>
            <w:r>
              <w:rPr>
                <w:sz w:val="20"/>
              </w:rPr>
              <w:t>https</w:t>
            </w:r>
            <w:hyperlink r:id="rId245">
              <w:r>
                <w:rPr>
                  <w:sz w:val="20"/>
                </w:rPr>
                <w:t>://www.</w:t>
              </w:r>
            </w:hyperlink>
            <w:r>
              <w:rPr>
                <w:sz w:val="20"/>
              </w:rPr>
              <w:t>ets</w:t>
            </w:r>
            <w:hyperlink r:id="rId245">
              <w:r>
                <w:rPr>
                  <w:sz w:val="20"/>
                </w:rPr>
                <w:t>y.com/shop/CurlyQsCounter</w:t>
              </w:r>
            </w:hyperlink>
          </w:p>
        </w:tc>
      </w:tr>
      <w:tr>
        <w:trPr>
          <w:trHeight w:val="287" w:hRule="atLeast"/>
        </w:trPr>
        <w:tc>
          <w:tcPr>
            <w:tcW w:w="960" w:type="dxa"/>
          </w:tcPr>
          <w:p>
            <w:pPr>
              <w:pStyle w:val="TableParagraph"/>
              <w:rPr>
                <w:sz w:val="20"/>
              </w:rPr>
            </w:pPr>
            <w:r>
              <w:rPr>
                <w:sz w:val="20"/>
              </w:rPr>
              <w:t>29</w:t>
            </w:r>
          </w:p>
        </w:tc>
        <w:tc>
          <w:tcPr>
            <w:tcW w:w="2461" w:type="dxa"/>
          </w:tcPr>
          <w:p>
            <w:pPr>
              <w:pStyle w:val="TableParagraph"/>
              <w:rPr>
                <w:sz w:val="20"/>
              </w:rPr>
            </w:pPr>
            <w:r>
              <w:rPr>
                <w:sz w:val="20"/>
              </w:rPr>
              <w:t>Dariacreative</w:t>
            </w:r>
          </w:p>
        </w:tc>
        <w:tc>
          <w:tcPr>
            <w:tcW w:w="5044" w:type="dxa"/>
          </w:tcPr>
          <w:p>
            <w:pPr>
              <w:pStyle w:val="TableParagraph"/>
              <w:rPr>
                <w:sz w:val="20"/>
              </w:rPr>
            </w:pPr>
            <w:r>
              <w:rPr>
                <w:sz w:val="20"/>
              </w:rPr>
              <w:t>https</w:t>
            </w:r>
            <w:hyperlink r:id="rId246">
              <w:r>
                <w:rPr>
                  <w:sz w:val="20"/>
                </w:rPr>
                <w:t>://www.</w:t>
              </w:r>
            </w:hyperlink>
            <w:r>
              <w:rPr>
                <w:sz w:val="20"/>
              </w:rPr>
              <w:t>ets</w:t>
            </w:r>
            <w:hyperlink r:id="rId246">
              <w:r>
                <w:rPr>
                  <w:sz w:val="20"/>
                </w:rPr>
                <w:t>y.com/shop/Dariacreative</w:t>
              </w:r>
            </w:hyperlink>
          </w:p>
        </w:tc>
      </w:tr>
      <w:tr>
        <w:trPr>
          <w:trHeight w:val="287" w:hRule="atLeast"/>
        </w:trPr>
        <w:tc>
          <w:tcPr>
            <w:tcW w:w="960" w:type="dxa"/>
          </w:tcPr>
          <w:p>
            <w:pPr>
              <w:pStyle w:val="TableParagraph"/>
              <w:rPr>
                <w:sz w:val="20"/>
              </w:rPr>
            </w:pPr>
            <w:r>
              <w:rPr>
                <w:sz w:val="20"/>
              </w:rPr>
              <w:t>30</w:t>
            </w:r>
          </w:p>
        </w:tc>
        <w:tc>
          <w:tcPr>
            <w:tcW w:w="2461" w:type="dxa"/>
          </w:tcPr>
          <w:p>
            <w:pPr>
              <w:pStyle w:val="TableParagraph"/>
              <w:rPr>
                <w:sz w:val="20"/>
              </w:rPr>
            </w:pPr>
            <w:r>
              <w:rPr>
                <w:sz w:val="20"/>
              </w:rPr>
              <w:t>Denizmum</w:t>
            </w:r>
          </w:p>
        </w:tc>
        <w:tc>
          <w:tcPr>
            <w:tcW w:w="5044" w:type="dxa"/>
          </w:tcPr>
          <w:p>
            <w:pPr>
              <w:pStyle w:val="TableParagraph"/>
              <w:rPr>
                <w:sz w:val="20"/>
              </w:rPr>
            </w:pPr>
            <w:r>
              <w:rPr>
                <w:sz w:val="20"/>
              </w:rPr>
              <w:t>https</w:t>
            </w:r>
            <w:hyperlink r:id="rId247">
              <w:r>
                <w:rPr>
                  <w:sz w:val="20"/>
                </w:rPr>
                <w:t>://www.</w:t>
              </w:r>
            </w:hyperlink>
            <w:r>
              <w:rPr>
                <w:sz w:val="20"/>
              </w:rPr>
              <w:t>ets</w:t>
            </w:r>
            <w:hyperlink r:id="rId247">
              <w:r>
                <w:rPr>
                  <w:sz w:val="20"/>
                </w:rPr>
                <w:t>y.com/shop/Denizmum</w:t>
              </w:r>
            </w:hyperlink>
          </w:p>
        </w:tc>
      </w:tr>
      <w:tr>
        <w:trPr>
          <w:trHeight w:val="287" w:hRule="atLeast"/>
        </w:trPr>
        <w:tc>
          <w:tcPr>
            <w:tcW w:w="960" w:type="dxa"/>
          </w:tcPr>
          <w:p>
            <w:pPr>
              <w:pStyle w:val="TableParagraph"/>
              <w:rPr>
                <w:sz w:val="20"/>
              </w:rPr>
            </w:pPr>
            <w:r>
              <w:rPr>
                <w:sz w:val="20"/>
              </w:rPr>
              <w:t>31</w:t>
            </w:r>
          </w:p>
        </w:tc>
        <w:tc>
          <w:tcPr>
            <w:tcW w:w="2461" w:type="dxa"/>
          </w:tcPr>
          <w:p>
            <w:pPr>
              <w:pStyle w:val="TableParagraph"/>
              <w:rPr>
                <w:sz w:val="20"/>
              </w:rPr>
            </w:pPr>
            <w:r>
              <w:rPr>
                <w:sz w:val="20"/>
              </w:rPr>
              <w:t>DesignedbySeda</w:t>
            </w:r>
          </w:p>
        </w:tc>
        <w:tc>
          <w:tcPr>
            <w:tcW w:w="5044" w:type="dxa"/>
          </w:tcPr>
          <w:p>
            <w:pPr>
              <w:pStyle w:val="TableParagraph"/>
              <w:rPr>
                <w:sz w:val="20"/>
              </w:rPr>
            </w:pPr>
            <w:r>
              <w:rPr>
                <w:sz w:val="20"/>
              </w:rPr>
              <w:t>https</w:t>
            </w:r>
            <w:hyperlink r:id="rId248">
              <w:r>
                <w:rPr>
                  <w:sz w:val="20"/>
                </w:rPr>
                <w:t>://www.</w:t>
              </w:r>
            </w:hyperlink>
            <w:r>
              <w:rPr>
                <w:sz w:val="20"/>
              </w:rPr>
              <w:t>ets</w:t>
            </w:r>
            <w:hyperlink r:id="rId248">
              <w:r>
                <w:rPr>
                  <w:sz w:val="20"/>
                </w:rPr>
                <w:t>y.com/shop/DesignedbySeda</w:t>
              </w:r>
            </w:hyperlink>
          </w:p>
        </w:tc>
      </w:tr>
      <w:tr>
        <w:trPr>
          <w:trHeight w:val="287" w:hRule="atLeast"/>
        </w:trPr>
        <w:tc>
          <w:tcPr>
            <w:tcW w:w="960" w:type="dxa"/>
          </w:tcPr>
          <w:p>
            <w:pPr>
              <w:pStyle w:val="TableParagraph"/>
              <w:rPr>
                <w:sz w:val="20"/>
              </w:rPr>
            </w:pPr>
            <w:r>
              <w:rPr>
                <w:sz w:val="20"/>
              </w:rPr>
              <w:t>32</w:t>
            </w:r>
          </w:p>
        </w:tc>
        <w:tc>
          <w:tcPr>
            <w:tcW w:w="2461" w:type="dxa"/>
          </w:tcPr>
          <w:p>
            <w:pPr>
              <w:pStyle w:val="TableParagraph"/>
              <w:rPr>
                <w:sz w:val="20"/>
              </w:rPr>
            </w:pPr>
            <w:r>
              <w:rPr>
                <w:sz w:val="20"/>
              </w:rPr>
              <w:t>DesignWoodenGadget</w:t>
            </w:r>
          </w:p>
        </w:tc>
        <w:tc>
          <w:tcPr>
            <w:tcW w:w="5044" w:type="dxa"/>
          </w:tcPr>
          <w:p>
            <w:pPr>
              <w:pStyle w:val="TableParagraph"/>
              <w:rPr>
                <w:sz w:val="20"/>
              </w:rPr>
            </w:pPr>
            <w:r>
              <w:rPr>
                <w:sz w:val="20"/>
              </w:rPr>
              <w:t>https</w:t>
            </w:r>
            <w:hyperlink r:id="rId249">
              <w:r>
                <w:rPr>
                  <w:sz w:val="20"/>
                </w:rPr>
                <w:t>://www.</w:t>
              </w:r>
            </w:hyperlink>
            <w:r>
              <w:rPr>
                <w:sz w:val="20"/>
              </w:rPr>
              <w:t>ets</w:t>
            </w:r>
            <w:hyperlink r:id="rId249">
              <w:r>
                <w:rPr>
                  <w:sz w:val="20"/>
                </w:rPr>
                <w:t>y.com/shop/DesignWoodenGadget</w:t>
              </w:r>
            </w:hyperlink>
          </w:p>
        </w:tc>
      </w:tr>
      <w:tr>
        <w:trPr>
          <w:trHeight w:val="287" w:hRule="atLeast"/>
        </w:trPr>
        <w:tc>
          <w:tcPr>
            <w:tcW w:w="960" w:type="dxa"/>
          </w:tcPr>
          <w:p>
            <w:pPr>
              <w:pStyle w:val="TableParagraph"/>
              <w:rPr>
                <w:sz w:val="20"/>
              </w:rPr>
            </w:pPr>
            <w:r>
              <w:rPr>
                <w:sz w:val="20"/>
              </w:rPr>
              <w:t>33</w:t>
            </w:r>
          </w:p>
        </w:tc>
        <w:tc>
          <w:tcPr>
            <w:tcW w:w="2461" w:type="dxa"/>
          </w:tcPr>
          <w:p>
            <w:pPr>
              <w:pStyle w:val="TableParagraph"/>
              <w:rPr>
                <w:sz w:val="20"/>
              </w:rPr>
            </w:pPr>
            <w:r>
              <w:rPr>
                <w:sz w:val="20"/>
              </w:rPr>
              <w:t>DoodleDojo</w:t>
            </w:r>
          </w:p>
        </w:tc>
        <w:tc>
          <w:tcPr>
            <w:tcW w:w="5044" w:type="dxa"/>
          </w:tcPr>
          <w:p>
            <w:pPr>
              <w:pStyle w:val="TableParagraph"/>
              <w:rPr>
                <w:sz w:val="20"/>
              </w:rPr>
            </w:pPr>
            <w:r>
              <w:rPr>
                <w:sz w:val="20"/>
              </w:rPr>
              <w:t>https</w:t>
            </w:r>
            <w:hyperlink r:id="rId250">
              <w:r>
                <w:rPr>
                  <w:sz w:val="20"/>
                </w:rPr>
                <w:t>://www.</w:t>
              </w:r>
            </w:hyperlink>
            <w:r>
              <w:rPr>
                <w:sz w:val="20"/>
              </w:rPr>
              <w:t>ets</w:t>
            </w:r>
            <w:hyperlink r:id="rId250">
              <w:r>
                <w:rPr>
                  <w:sz w:val="20"/>
                </w:rPr>
                <w:t>y.com/shop/DoodleDojo</w:t>
              </w:r>
            </w:hyperlink>
          </w:p>
        </w:tc>
      </w:tr>
      <w:tr>
        <w:trPr>
          <w:trHeight w:val="290" w:hRule="atLeast"/>
        </w:trPr>
        <w:tc>
          <w:tcPr>
            <w:tcW w:w="960" w:type="dxa"/>
          </w:tcPr>
          <w:p>
            <w:pPr>
              <w:pStyle w:val="TableParagraph"/>
              <w:spacing w:before="1"/>
              <w:rPr>
                <w:sz w:val="20"/>
              </w:rPr>
            </w:pPr>
            <w:r>
              <w:rPr>
                <w:sz w:val="20"/>
              </w:rPr>
              <w:t>34</w:t>
            </w:r>
          </w:p>
        </w:tc>
        <w:tc>
          <w:tcPr>
            <w:tcW w:w="2461" w:type="dxa"/>
          </w:tcPr>
          <w:p>
            <w:pPr>
              <w:pStyle w:val="TableParagraph"/>
              <w:spacing w:before="1"/>
              <w:rPr>
                <w:sz w:val="20"/>
              </w:rPr>
            </w:pPr>
            <w:r>
              <w:rPr>
                <w:sz w:val="20"/>
              </w:rPr>
              <w:t>EarnCrochet</w:t>
            </w:r>
          </w:p>
        </w:tc>
        <w:tc>
          <w:tcPr>
            <w:tcW w:w="5044" w:type="dxa"/>
          </w:tcPr>
          <w:p>
            <w:pPr>
              <w:pStyle w:val="TableParagraph"/>
              <w:spacing w:before="1"/>
              <w:rPr>
                <w:sz w:val="20"/>
              </w:rPr>
            </w:pPr>
            <w:r>
              <w:rPr>
                <w:sz w:val="20"/>
              </w:rPr>
              <w:t>https</w:t>
            </w:r>
            <w:hyperlink r:id="rId251">
              <w:r>
                <w:rPr>
                  <w:sz w:val="20"/>
                </w:rPr>
                <w:t>://www.</w:t>
              </w:r>
            </w:hyperlink>
            <w:r>
              <w:rPr>
                <w:sz w:val="20"/>
              </w:rPr>
              <w:t>ets</w:t>
            </w:r>
            <w:hyperlink r:id="rId251">
              <w:r>
                <w:rPr>
                  <w:sz w:val="20"/>
                </w:rPr>
                <w:t>y.com/shop/EarnCrochet</w:t>
              </w:r>
            </w:hyperlink>
          </w:p>
        </w:tc>
      </w:tr>
      <w:tr>
        <w:trPr>
          <w:trHeight w:val="287" w:hRule="atLeast"/>
        </w:trPr>
        <w:tc>
          <w:tcPr>
            <w:tcW w:w="960" w:type="dxa"/>
          </w:tcPr>
          <w:p>
            <w:pPr>
              <w:pStyle w:val="TableParagraph"/>
              <w:rPr>
                <w:sz w:val="20"/>
              </w:rPr>
            </w:pPr>
            <w:r>
              <w:rPr>
                <w:sz w:val="20"/>
              </w:rPr>
              <w:t>35</w:t>
            </w:r>
          </w:p>
        </w:tc>
        <w:tc>
          <w:tcPr>
            <w:tcW w:w="2461" w:type="dxa"/>
          </w:tcPr>
          <w:p>
            <w:pPr>
              <w:pStyle w:val="TableParagraph"/>
              <w:rPr>
                <w:sz w:val="20"/>
              </w:rPr>
            </w:pPr>
            <w:r>
              <w:rPr>
                <w:sz w:val="20"/>
              </w:rPr>
              <w:t>ElegantCabinets</w:t>
            </w:r>
          </w:p>
        </w:tc>
        <w:tc>
          <w:tcPr>
            <w:tcW w:w="5044" w:type="dxa"/>
          </w:tcPr>
          <w:p>
            <w:pPr>
              <w:pStyle w:val="TableParagraph"/>
              <w:rPr>
                <w:sz w:val="20"/>
              </w:rPr>
            </w:pPr>
            <w:r>
              <w:rPr>
                <w:sz w:val="20"/>
              </w:rPr>
              <w:t>https</w:t>
            </w:r>
            <w:hyperlink r:id="rId252">
              <w:r>
                <w:rPr>
                  <w:sz w:val="20"/>
                </w:rPr>
                <w:t>://www.</w:t>
              </w:r>
            </w:hyperlink>
            <w:r>
              <w:rPr>
                <w:sz w:val="20"/>
              </w:rPr>
              <w:t>ets</w:t>
            </w:r>
            <w:hyperlink r:id="rId252">
              <w:r>
                <w:rPr>
                  <w:sz w:val="20"/>
                </w:rPr>
                <w:t>y.com/shop/ElegantCabinets</w:t>
              </w:r>
            </w:hyperlink>
          </w:p>
        </w:tc>
      </w:tr>
      <w:tr>
        <w:trPr>
          <w:trHeight w:val="287" w:hRule="atLeast"/>
        </w:trPr>
        <w:tc>
          <w:tcPr>
            <w:tcW w:w="960" w:type="dxa"/>
          </w:tcPr>
          <w:p>
            <w:pPr>
              <w:pStyle w:val="TableParagraph"/>
              <w:rPr>
                <w:sz w:val="20"/>
              </w:rPr>
            </w:pPr>
            <w:r>
              <w:rPr>
                <w:sz w:val="20"/>
              </w:rPr>
              <w:t>36</w:t>
            </w:r>
          </w:p>
        </w:tc>
        <w:tc>
          <w:tcPr>
            <w:tcW w:w="2461" w:type="dxa"/>
          </w:tcPr>
          <w:p>
            <w:pPr>
              <w:pStyle w:val="TableParagraph"/>
              <w:rPr>
                <w:sz w:val="20"/>
              </w:rPr>
            </w:pPr>
            <w:r>
              <w:rPr>
                <w:sz w:val="20"/>
              </w:rPr>
              <w:t>EliteElishi</w:t>
            </w:r>
          </w:p>
        </w:tc>
        <w:tc>
          <w:tcPr>
            <w:tcW w:w="5044" w:type="dxa"/>
          </w:tcPr>
          <w:p>
            <w:pPr>
              <w:pStyle w:val="TableParagraph"/>
              <w:rPr>
                <w:sz w:val="20"/>
              </w:rPr>
            </w:pPr>
            <w:r>
              <w:rPr>
                <w:sz w:val="20"/>
              </w:rPr>
              <w:t>https</w:t>
            </w:r>
            <w:hyperlink r:id="rId253">
              <w:r>
                <w:rPr>
                  <w:sz w:val="20"/>
                </w:rPr>
                <w:t>://www.</w:t>
              </w:r>
            </w:hyperlink>
            <w:r>
              <w:rPr>
                <w:sz w:val="20"/>
              </w:rPr>
              <w:t>ets</w:t>
            </w:r>
            <w:hyperlink r:id="rId253">
              <w:r>
                <w:rPr>
                  <w:sz w:val="20"/>
                </w:rPr>
                <w:t>y.com/shop/EliteElishi</w:t>
              </w:r>
            </w:hyperlink>
          </w:p>
        </w:tc>
      </w:tr>
      <w:tr>
        <w:trPr>
          <w:trHeight w:val="287" w:hRule="atLeast"/>
        </w:trPr>
        <w:tc>
          <w:tcPr>
            <w:tcW w:w="960" w:type="dxa"/>
          </w:tcPr>
          <w:p>
            <w:pPr>
              <w:pStyle w:val="TableParagraph"/>
              <w:rPr>
                <w:sz w:val="20"/>
              </w:rPr>
            </w:pPr>
            <w:r>
              <w:rPr>
                <w:sz w:val="20"/>
              </w:rPr>
              <w:t>37</w:t>
            </w:r>
          </w:p>
        </w:tc>
        <w:tc>
          <w:tcPr>
            <w:tcW w:w="2461" w:type="dxa"/>
          </w:tcPr>
          <w:p>
            <w:pPr>
              <w:pStyle w:val="TableParagraph"/>
              <w:rPr>
                <w:sz w:val="20"/>
              </w:rPr>
            </w:pPr>
            <w:r>
              <w:rPr>
                <w:sz w:val="20"/>
              </w:rPr>
              <w:t>EloraJewelry</w:t>
            </w:r>
          </w:p>
        </w:tc>
        <w:tc>
          <w:tcPr>
            <w:tcW w:w="5044" w:type="dxa"/>
          </w:tcPr>
          <w:p>
            <w:pPr>
              <w:pStyle w:val="TableParagraph"/>
              <w:rPr>
                <w:sz w:val="20"/>
              </w:rPr>
            </w:pPr>
            <w:r>
              <w:rPr>
                <w:sz w:val="20"/>
              </w:rPr>
              <w:t>https</w:t>
            </w:r>
            <w:hyperlink r:id="rId254">
              <w:r>
                <w:rPr>
                  <w:sz w:val="20"/>
                </w:rPr>
                <w:t>://www.</w:t>
              </w:r>
            </w:hyperlink>
            <w:r>
              <w:rPr>
                <w:sz w:val="20"/>
              </w:rPr>
              <w:t>ets</w:t>
            </w:r>
            <w:hyperlink r:id="rId254">
              <w:r>
                <w:rPr>
                  <w:sz w:val="20"/>
                </w:rPr>
                <w:t>y.com/shop/EloraJewelry</w:t>
              </w:r>
            </w:hyperlink>
          </w:p>
        </w:tc>
      </w:tr>
      <w:tr>
        <w:trPr>
          <w:trHeight w:val="287" w:hRule="atLeast"/>
        </w:trPr>
        <w:tc>
          <w:tcPr>
            <w:tcW w:w="960" w:type="dxa"/>
          </w:tcPr>
          <w:p>
            <w:pPr>
              <w:pStyle w:val="TableParagraph"/>
              <w:rPr>
                <w:sz w:val="20"/>
              </w:rPr>
            </w:pPr>
            <w:r>
              <w:rPr>
                <w:sz w:val="20"/>
              </w:rPr>
              <w:t>38</w:t>
            </w:r>
          </w:p>
        </w:tc>
        <w:tc>
          <w:tcPr>
            <w:tcW w:w="2461" w:type="dxa"/>
          </w:tcPr>
          <w:p>
            <w:pPr>
              <w:pStyle w:val="TableParagraph"/>
              <w:rPr>
                <w:sz w:val="20"/>
              </w:rPr>
            </w:pPr>
            <w:r>
              <w:rPr>
                <w:sz w:val="20"/>
              </w:rPr>
              <w:t>EmaxTees</w:t>
            </w:r>
          </w:p>
        </w:tc>
        <w:tc>
          <w:tcPr>
            <w:tcW w:w="5044" w:type="dxa"/>
          </w:tcPr>
          <w:p>
            <w:pPr>
              <w:pStyle w:val="TableParagraph"/>
              <w:rPr>
                <w:sz w:val="20"/>
              </w:rPr>
            </w:pPr>
            <w:r>
              <w:rPr>
                <w:sz w:val="20"/>
              </w:rPr>
              <w:t>https</w:t>
            </w:r>
            <w:hyperlink r:id="rId255">
              <w:r>
                <w:rPr>
                  <w:sz w:val="20"/>
                </w:rPr>
                <w:t>://www.</w:t>
              </w:r>
            </w:hyperlink>
            <w:r>
              <w:rPr>
                <w:sz w:val="20"/>
              </w:rPr>
              <w:t>ets</w:t>
            </w:r>
            <w:hyperlink r:id="rId255">
              <w:r>
                <w:rPr>
                  <w:sz w:val="20"/>
                </w:rPr>
                <w:t>y.com/shop/EmaxTees</w:t>
              </w:r>
            </w:hyperlink>
          </w:p>
        </w:tc>
      </w:tr>
      <w:tr>
        <w:trPr>
          <w:trHeight w:val="287" w:hRule="atLeast"/>
        </w:trPr>
        <w:tc>
          <w:tcPr>
            <w:tcW w:w="960" w:type="dxa"/>
          </w:tcPr>
          <w:p>
            <w:pPr>
              <w:pStyle w:val="TableParagraph"/>
              <w:rPr>
                <w:sz w:val="20"/>
              </w:rPr>
            </w:pPr>
            <w:r>
              <w:rPr>
                <w:sz w:val="20"/>
              </w:rPr>
              <w:t>39</w:t>
            </w:r>
          </w:p>
        </w:tc>
        <w:tc>
          <w:tcPr>
            <w:tcW w:w="2461" w:type="dxa"/>
          </w:tcPr>
          <w:p>
            <w:pPr>
              <w:pStyle w:val="TableParagraph"/>
              <w:rPr>
                <w:sz w:val="20"/>
              </w:rPr>
            </w:pPr>
            <w:r>
              <w:rPr>
                <w:sz w:val="20"/>
              </w:rPr>
              <w:t>EpicTees4You</w:t>
            </w:r>
          </w:p>
        </w:tc>
        <w:tc>
          <w:tcPr>
            <w:tcW w:w="5044" w:type="dxa"/>
          </w:tcPr>
          <w:p>
            <w:pPr>
              <w:pStyle w:val="TableParagraph"/>
              <w:rPr>
                <w:sz w:val="20"/>
              </w:rPr>
            </w:pPr>
            <w:r>
              <w:rPr>
                <w:sz w:val="20"/>
              </w:rPr>
              <w:t>https</w:t>
            </w:r>
            <w:hyperlink r:id="rId256">
              <w:r>
                <w:rPr>
                  <w:sz w:val="20"/>
                </w:rPr>
                <w:t>://www.</w:t>
              </w:r>
            </w:hyperlink>
            <w:r>
              <w:rPr>
                <w:sz w:val="20"/>
              </w:rPr>
              <w:t>ets</w:t>
            </w:r>
            <w:hyperlink r:id="rId256">
              <w:r>
                <w:rPr>
                  <w:sz w:val="20"/>
                </w:rPr>
                <w:t>y.com/shop/EpicTees4You</w:t>
              </w:r>
            </w:hyperlink>
          </w:p>
        </w:tc>
      </w:tr>
      <w:tr>
        <w:trPr>
          <w:trHeight w:val="289" w:hRule="atLeast"/>
        </w:trPr>
        <w:tc>
          <w:tcPr>
            <w:tcW w:w="960" w:type="dxa"/>
          </w:tcPr>
          <w:p>
            <w:pPr>
              <w:pStyle w:val="TableParagraph"/>
              <w:rPr>
                <w:sz w:val="20"/>
              </w:rPr>
            </w:pPr>
            <w:r>
              <w:rPr>
                <w:sz w:val="20"/>
              </w:rPr>
              <w:t>40</w:t>
            </w:r>
          </w:p>
        </w:tc>
        <w:tc>
          <w:tcPr>
            <w:tcW w:w="2461" w:type="dxa"/>
          </w:tcPr>
          <w:p>
            <w:pPr>
              <w:pStyle w:val="TableParagraph"/>
              <w:rPr>
                <w:sz w:val="20"/>
              </w:rPr>
            </w:pPr>
            <w:r>
              <w:rPr>
                <w:sz w:val="20"/>
              </w:rPr>
              <w:t>epiqueepoque</w:t>
            </w:r>
          </w:p>
        </w:tc>
        <w:tc>
          <w:tcPr>
            <w:tcW w:w="5044" w:type="dxa"/>
          </w:tcPr>
          <w:p>
            <w:pPr>
              <w:pStyle w:val="TableParagraph"/>
              <w:rPr>
                <w:sz w:val="20"/>
              </w:rPr>
            </w:pPr>
            <w:r>
              <w:rPr>
                <w:sz w:val="20"/>
              </w:rPr>
              <w:t>https</w:t>
            </w:r>
            <w:hyperlink r:id="rId257">
              <w:r>
                <w:rPr>
                  <w:sz w:val="20"/>
                </w:rPr>
                <w:t>://www.</w:t>
              </w:r>
            </w:hyperlink>
            <w:r>
              <w:rPr>
                <w:sz w:val="20"/>
              </w:rPr>
              <w:t>ets</w:t>
            </w:r>
            <w:hyperlink r:id="rId257">
              <w:r>
                <w:rPr>
                  <w:sz w:val="20"/>
                </w:rPr>
                <w:t>y.com/shop/epiqueepoque</w:t>
              </w:r>
            </w:hyperlink>
          </w:p>
        </w:tc>
      </w:tr>
      <w:tr>
        <w:trPr>
          <w:trHeight w:val="287" w:hRule="atLeast"/>
        </w:trPr>
        <w:tc>
          <w:tcPr>
            <w:tcW w:w="960" w:type="dxa"/>
          </w:tcPr>
          <w:p>
            <w:pPr>
              <w:pStyle w:val="TableParagraph"/>
              <w:rPr>
                <w:sz w:val="20"/>
              </w:rPr>
            </w:pPr>
            <w:r>
              <w:rPr>
                <w:sz w:val="20"/>
              </w:rPr>
              <w:t>41</w:t>
            </w:r>
          </w:p>
        </w:tc>
        <w:tc>
          <w:tcPr>
            <w:tcW w:w="2461" w:type="dxa"/>
          </w:tcPr>
          <w:p>
            <w:pPr>
              <w:pStyle w:val="TableParagraph"/>
              <w:rPr>
                <w:sz w:val="20"/>
              </w:rPr>
            </w:pPr>
            <w:r>
              <w:rPr>
                <w:sz w:val="20"/>
              </w:rPr>
              <w:t>Esnelle</w:t>
            </w:r>
          </w:p>
        </w:tc>
        <w:tc>
          <w:tcPr>
            <w:tcW w:w="5044" w:type="dxa"/>
          </w:tcPr>
          <w:p>
            <w:pPr>
              <w:pStyle w:val="TableParagraph"/>
              <w:rPr>
                <w:sz w:val="20"/>
              </w:rPr>
            </w:pPr>
            <w:r>
              <w:rPr>
                <w:sz w:val="20"/>
              </w:rPr>
              <w:t>https</w:t>
            </w:r>
            <w:hyperlink r:id="rId258">
              <w:r>
                <w:rPr>
                  <w:sz w:val="20"/>
                </w:rPr>
                <w:t>://www.</w:t>
              </w:r>
            </w:hyperlink>
            <w:r>
              <w:rPr>
                <w:sz w:val="20"/>
              </w:rPr>
              <w:t>ets</w:t>
            </w:r>
            <w:hyperlink r:id="rId258">
              <w:r>
                <w:rPr>
                  <w:sz w:val="20"/>
                </w:rPr>
                <w:t>y.com/shop/Esnelle</w:t>
              </w:r>
            </w:hyperlink>
          </w:p>
        </w:tc>
      </w:tr>
    </w:tbl>
    <w:p>
      <w:pPr>
        <w:spacing w:after="0"/>
        <w:rPr>
          <w:sz w:val="20"/>
        </w:rPr>
        <w:sectPr>
          <w:headerReference w:type="default" r:id="rId217"/>
          <w:pgSz w:w="12240" w:h="15840"/>
          <w:pgMar w:header="718" w:footer="0" w:top="1320" w:bottom="280" w:left="1720" w:right="1020"/>
          <w:pgNumType w:start="153"/>
        </w:sectPr>
      </w:pPr>
    </w:p>
    <w:p>
      <w:pPr>
        <w:pStyle w:val="BodyText"/>
        <w:ind w:left="0"/>
        <w:jc w:val="left"/>
        <w:rPr>
          <w:b/>
          <w:sz w:val="7"/>
        </w:rPr>
      </w:pPr>
    </w:p>
    <w:tbl>
      <w:tblPr>
        <w:tblW w:w="0" w:type="auto"/>
        <w:jc w:val="lef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2461"/>
        <w:gridCol w:w="5044"/>
      </w:tblGrid>
      <w:tr>
        <w:trPr>
          <w:trHeight w:val="287" w:hRule="atLeast"/>
        </w:trPr>
        <w:tc>
          <w:tcPr>
            <w:tcW w:w="960" w:type="dxa"/>
          </w:tcPr>
          <w:p>
            <w:pPr>
              <w:pStyle w:val="TableParagraph"/>
              <w:rPr>
                <w:sz w:val="20"/>
              </w:rPr>
            </w:pPr>
            <w:r>
              <w:rPr>
                <w:sz w:val="20"/>
              </w:rPr>
              <w:t>42</w:t>
            </w:r>
          </w:p>
        </w:tc>
        <w:tc>
          <w:tcPr>
            <w:tcW w:w="2461" w:type="dxa"/>
          </w:tcPr>
          <w:p>
            <w:pPr>
              <w:pStyle w:val="TableParagraph"/>
              <w:rPr>
                <w:sz w:val="20"/>
              </w:rPr>
            </w:pPr>
            <w:r>
              <w:rPr>
                <w:sz w:val="20"/>
              </w:rPr>
              <w:t>EtteTete</w:t>
            </w:r>
          </w:p>
        </w:tc>
        <w:tc>
          <w:tcPr>
            <w:tcW w:w="5044" w:type="dxa"/>
          </w:tcPr>
          <w:p>
            <w:pPr>
              <w:pStyle w:val="TableParagraph"/>
              <w:rPr>
                <w:sz w:val="20"/>
              </w:rPr>
            </w:pPr>
            <w:r>
              <w:rPr>
                <w:sz w:val="20"/>
              </w:rPr>
              <w:t>https</w:t>
            </w:r>
            <w:hyperlink r:id="rId259">
              <w:r>
                <w:rPr>
                  <w:sz w:val="20"/>
                </w:rPr>
                <w:t>://www.</w:t>
              </w:r>
            </w:hyperlink>
            <w:r>
              <w:rPr>
                <w:sz w:val="20"/>
              </w:rPr>
              <w:t>ets</w:t>
            </w:r>
            <w:hyperlink r:id="rId259">
              <w:r>
                <w:rPr>
                  <w:sz w:val="20"/>
                </w:rPr>
                <w:t>y.com/shop/EtteTete</w:t>
              </w:r>
            </w:hyperlink>
          </w:p>
        </w:tc>
      </w:tr>
      <w:tr>
        <w:trPr>
          <w:trHeight w:val="287" w:hRule="atLeast"/>
        </w:trPr>
        <w:tc>
          <w:tcPr>
            <w:tcW w:w="960" w:type="dxa"/>
          </w:tcPr>
          <w:p>
            <w:pPr>
              <w:pStyle w:val="TableParagraph"/>
              <w:rPr>
                <w:sz w:val="20"/>
              </w:rPr>
            </w:pPr>
            <w:r>
              <w:rPr>
                <w:sz w:val="20"/>
              </w:rPr>
              <w:t>43</w:t>
            </w:r>
          </w:p>
        </w:tc>
        <w:tc>
          <w:tcPr>
            <w:tcW w:w="2461" w:type="dxa"/>
          </w:tcPr>
          <w:p>
            <w:pPr>
              <w:pStyle w:val="TableParagraph"/>
              <w:rPr>
                <w:sz w:val="20"/>
              </w:rPr>
            </w:pPr>
            <w:r>
              <w:rPr>
                <w:sz w:val="20"/>
              </w:rPr>
              <w:t>FeltMkr</w:t>
            </w:r>
          </w:p>
        </w:tc>
        <w:tc>
          <w:tcPr>
            <w:tcW w:w="5044" w:type="dxa"/>
          </w:tcPr>
          <w:p>
            <w:pPr>
              <w:pStyle w:val="TableParagraph"/>
              <w:rPr>
                <w:sz w:val="20"/>
              </w:rPr>
            </w:pPr>
            <w:r>
              <w:rPr>
                <w:sz w:val="20"/>
              </w:rPr>
              <w:t>https</w:t>
            </w:r>
            <w:hyperlink r:id="rId260">
              <w:r>
                <w:rPr>
                  <w:sz w:val="20"/>
                </w:rPr>
                <w:t>://www.</w:t>
              </w:r>
            </w:hyperlink>
            <w:r>
              <w:rPr>
                <w:sz w:val="20"/>
              </w:rPr>
              <w:t>ets</w:t>
            </w:r>
            <w:hyperlink r:id="rId260">
              <w:r>
                <w:rPr>
                  <w:sz w:val="20"/>
                </w:rPr>
                <w:t>y.com/shop/FeltMkr</w:t>
              </w:r>
            </w:hyperlink>
          </w:p>
        </w:tc>
      </w:tr>
      <w:tr>
        <w:trPr>
          <w:trHeight w:val="287" w:hRule="atLeast"/>
        </w:trPr>
        <w:tc>
          <w:tcPr>
            <w:tcW w:w="960" w:type="dxa"/>
          </w:tcPr>
          <w:p>
            <w:pPr>
              <w:pStyle w:val="TableParagraph"/>
              <w:rPr>
                <w:sz w:val="20"/>
              </w:rPr>
            </w:pPr>
            <w:r>
              <w:rPr>
                <w:sz w:val="20"/>
              </w:rPr>
              <w:t>44</w:t>
            </w:r>
          </w:p>
        </w:tc>
        <w:tc>
          <w:tcPr>
            <w:tcW w:w="2461" w:type="dxa"/>
          </w:tcPr>
          <w:p>
            <w:pPr>
              <w:pStyle w:val="TableParagraph"/>
              <w:rPr>
                <w:sz w:val="20"/>
              </w:rPr>
            </w:pPr>
            <w:r>
              <w:rPr>
                <w:sz w:val="20"/>
              </w:rPr>
              <w:t>FlipflopBottlecaps</w:t>
            </w:r>
          </w:p>
        </w:tc>
        <w:tc>
          <w:tcPr>
            <w:tcW w:w="5044" w:type="dxa"/>
          </w:tcPr>
          <w:p>
            <w:pPr>
              <w:pStyle w:val="TableParagraph"/>
              <w:rPr>
                <w:sz w:val="20"/>
              </w:rPr>
            </w:pPr>
            <w:r>
              <w:rPr>
                <w:sz w:val="20"/>
              </w:rPr>
              <w:t>https</w:t>
            </w:r>
            <w:hyperlink r:id="rId261">
              <w:r>
                <w:rPr>
                  <w:sz w:val="20"/>
                </w:rPr>
                <w:t>://www.</w:t>
              </w:r>
            </w:hyperlink>
            <w:r>
              <w:rPr>
                <w:sz w:val="20"/>
              </w:rPr>
              <w:t>ets</w:t>
            </w:r>
            <w:hyperlink r:id="rId261">
              <w:r>
                <w:rPr>
                  <w:sz w:val="20"/>
                </w:rPr>
                <w:t>y.com/shop/FlipflopBottlecaps</w:t>
              </w:r>
            </w:hyperlink>
          </w:p>
        </w:tc>
      </w:tr>
      <w:tr>
        <w:trPr>
          <w:trHeight w:val="287" w:hRule="atLeast"/>
        </w:trPr>
        <w:tc>
          <w:tcPr>
            <w:tcW w:w="960" w:type="dxa"/>
          </w:tcPr>
          <w:p>
            <w:pPr>
              <w:pStyle w:val="TableParagraph"/>
              <w:rPr>
                <w:sz w:val="20"/>
              </w:rPr>
            </w:pPr>
            <w:r>
              <w:rPr>
                <w:sz w:val="20"/>
              </w:rPr>
              <w:t>45</w:t>
            </w:r>
          </w:p>
        </w:tc>
        <w:tc>
          <w:tcPr>
            <w:tcW w:w="2461" w:type="dxa"/>
          </w:tcPr>
          <w:p>
            <w:pPr>
              <w:pStyle w:val="TableParagraph"/>
              <w:rPr>
                <w:sz w:val="20"/>
              </w:rPr>
            </w:pPr>
            <w:r>
              <w:rPr>
                <w:sz w:val="20"/>
              </w:rPr>
              <w:t>frills4you</w:t>
            </w:r>
          </w:p>
        </w:tc>
        <w:tc>
          <w:tcPr>
            <w:tcW w:w="5044" w:type="dxa"/>
          </w:tcPr>
          <w:p>
            <w:pPr>
              <w:pStyle w:val="TableParagraph"/>
              <w:rPr>
                <w:sz w:val="20"/>
              </w:rPr>
            </w:pPr>
            <w:r>
              <w:rPr>
                <w:sz w:val="20"/>
              </w:rPr>
              <w:t>https</w:t>
            </w:r>
            <w:hyperlink r:id="rId262">
              <w:r>
                <w:rPr>
                  <w:sz w:val="20"/>
                </w:rPr>
                <w:t>://www.</w:t>
              </w:r>
            </w:hyperlink>
            <w:r>
              <w:rPr>
                <w:sz w:val="20"/>
              </w:rPr>
              <w:t>ets</w:t>
            </w:r>
            <w:hyperlink r:id="rId262">
              <w:r>
                <w:rPr>
                  <w:sz w:val="20"/>
                </w:rPr>
                <w:t>y.com/shop/frills4you</w:t>
              </w:r>
            </w:hyperlink>
          </w:p>
        </w:tc>
      </w:tr>
      <w:tr>
        <w:trPr>
          <w:trHeight w:val="290" w:hRule="atLeast"/>
        </w:trPr>
        <w:tc>
          <w:tcPr>
            <w:tcW w:w="960" w:type="dxa"/>
          </w:tcPr>
          <w:p>
            <w:pPr>
              <w:pStyle w:val="TableParagraph"/>
              <w:rPr>
                <w:sz w:val="20"/>
              </w:rPr>
            </w:pPr>
            <w:r>
              <w:rPr>
                <w:sz w:val="20"/>
              </w:rPr>
              <w:t>46</w:t>
            </w:r>
          </w:p>
        </w:tc>
        <w:tc>
          <w:tcPr>
            <w:tcW w:w="2461" w:type="dxa"/>
          </w:tcPr>
          <w:p>
            <w:pPr>
              <w:pStyle w:val="TableParagraph"/>
              <w:rPr>
                <w:sz w:val="20"/>
              </w:rPr>
            </w:pPr>
            <w:r>
              <w:rPr>
                <w:sz w:val="20"/>
              </w:rPr>
              <w:t>FULYAK</w:t>
            </w:r>
          </w:p>
        </w:tc>
        <w:tc>
          <w:tcPr>
            <w:tcW w:w="5044" w:type="dxa"/>
          </w:tcPr>
          <w:p>
            <w:pPr>
              <w:pStyle w:val="TableParagraph"/>
              <w:rPr>
                <w:sz w:val="20"/>
              </w:rPr>
            </w:pPr>
            <w:r>
              <w:rPr>
                <w:sz w:val="20"/>
              </w:rPr>
              <w:t>https</w:t>
            </w:r>
            <w:hyperlink r:id="rId263">
              <w:r>
                <w:rPr>
                  <w:sz w:val="20"/>
                </w:rPr>
                <w:t>://www.</w:t>
              </w:r>
            </w:hyperlink>
            <w:r>
              <w:rPr>
                <w:sz w:val="20"/>
              </w:rPr>
              <w:t>ets</w:t>
            </w:r>
            <w:hyperlink r:id="rId263">
              <w:r>
                <w:rPr>
                  <w:sz w:val="20"/>
                </w:rPr>
                <w:t>y.com/shop/FULYAK</w:t>
              </w:r>
            </w:hyperlink>
          </w:p>
        </w:tc>
      </w:tr>
      <w:tr>
        <w:trPr>
          <w:trHeight w:val="287" w:hRule="atLeast"/>
        </w:trPr>
        <w:tc>
          <w:tcPr>
            <w:tcW w:w="960" w:type="dxa"/>
          </w:tcPr>
          <w:p>
            <w:pPr>
              <w:pStyle w:val="TableParagraph"/>
              <w:rPr>
                <w:sz w:val="20"/>
              </w:rPr>
            </w:pPr>
            <w:r>
              <w:rPr>
                <w:sz w:val="20"/>
              </w:rPr>
              <w:t>47</w:t>
            </w:r>
          </w:p>
        </w:tc>
        <w:tc>
          <w:tcPr>
            <w:tcW w:w="2461" w:type="dxa"/>
          </w:tcPr>
          <w:p>
            <w:pPr>
              <w:pStyle w:val="TableParagraph"/>
              <w:rPr>
                <w:sz w:val="20"/>
              </w:rPr>
            </w:pPr>
            <w:r>
              <w:rPr>
                <w:sz w:val="20"/>
              </w:rPr>
              <w:t>funky3Dfaces</w:t>
            </w:r>
          </w:p>
        </w:tc>
        <w:tc>
          <w:tcPr>
            <w:tcW w:w="5044" w:type="dxa"/>
          </w:tcPr>
          <w:p>
            <w:pPr>
              <w:pStyle w:val="TableParagraph"/>
              <w:rPr>
                <w:sz w:val="20"/>
              </w:rPr>
            </w:pPr>
            <w:r>
              <w:rPr>
                <w:sz w:val="20"/>
              </w:rPr>
              <w:t>https</w:t>
            </w:r>
            <w:hyperlink r:id="rId264">
              <w:r>
                <w:rPr>
                  <w:sz w:val="20"/>
                </w:rPr>
                <w:t>://www.</w:t>
              </w:r>
            </w:hyperlink>
            <w:r>
              <w:rPr>
                <w:sz w:val="20"/>
              </w:rPr>
              <w:t>ets</w:t>
            </w:r>
            <w:hyperlink r:id="rId264">
              <w:r>
                <w:rPr>
                  <w:sz w:val="20"/>
                </w:rPr>
                <w:t>y.com/shop/funky3Dfaces</w:t>
              </w:r>
            </w:hyperlink>
          </w:p>
        </w:tc>
      </w:tr>
      <w:tr>
        <w:trPr>
          <w:trHeight w:val="287" w:hRule="atLeast"/>
        </w:trPr>
        <w:tc>
          <w:tcPr>
            <w:tcW w:w="960" w:type="dxa"/>
          </w:tcPr>
          <w:p>
            <w:pPr>
              <w:pStyle w:val="TableParagraph"/>
              <w:rPr>
                <w:sz w:val="20"/>
              </w:rPr>
            </w:pPr>
            <w:r>
              <w:rPr>
                <w:sz w:val="20"/>
              </w:rPr>
              <w:t>48</w:t>
            </w:r>
          </w:p>
        </w:tc>
        <w:tc>
          <w:tcPr>
            <w:tcW w:w="2461" w:type="dxa"/>
          </w:tcPr>
          <w:p>
            <w:pPr>
              <w:pStyle w:val="TableParagraph"/>
              <w:rPr>
                <w:sz w:val="20"/>
              </w:rPr>
            </w:pPr>
            <w:r>
              <w:rPr>
                <w:sz w:val="20"/>
              </w:rPr>
              <w:t>GagaKidz</w:t>
            </w:r>
          </w:p>
        </w:tc>
        <w:tc>
          <w:tcPr>
            <w:tcW w:w="5044" w:type="dxa"/>
          </w:tcPr>
          <w:p>
            <w:pPr>
              <w:pStyle w:val="TableParagraph"/>
              <w:rPr>
                <w:sz w:val="20"/>
              </w:rPr>
            </w:pPr>
            <w:r>
              <w:rPr>
                <w:sz w:val="20"/>
              </w:rPr>
              <w:t>https</w:t>
            </w:r>
            <w:hyperlink r:id="rId265">
              <w:r>
                <w:rPr>
                  <w:sz w:val="20"/>
                </w:rPr>
                <w:t>://www.</w:t>
              </w:r>
            </w:hyperlink>
            <w:r>
              <w:rPr>
                <w:sz w:val="20"/>
              </w:rPr>
              <w:t>ets</w:t>
            </w:r>
            <w:hyperlink r:id="rId265">
              <w:r>
                <w:rPr>
                  <w:sz w:val="20"/>
                </w:rPr>
                <w:t>y.com/shop/GagaKidz</w:t>
              </w:r>
            </w:hyperlink>
          </w:p>
        </w:tc>
      </w:tr>
      <w:tr>
        <w:trPr>
          <w:trHeight w:val="287" w:hRule="atLeast"/>
        </w:trPr>
        <w:tc>
          <w:tcPr>
            <w:tcW w:w="960" w:type="dxa"/>
          </w:tcPr>
          <w:p>
            <w:pPr>
              <w:pStyle w:val="TableParagraph"/>
              <w:rPr>
                <w:sz w:val="20"/>
              </w:rPr>
            </w:pPr>
            <w:r>
              <w:rPr>
                <w:sz w:val="20"/>
              </w:rPr>
              <w:t>49</w:t>
            </w:r>
          </w:p>
        </w:tc>
        <w:tc>
          <w:tcPr>
            <w:tcW w:w="2461" w:type="dxa"/>
          </w:tcPr>
          <w:p>
            <w:pPr>
              <w:pStyle w:val="TableParagraph"/>
              <w:rPr>
                <w:sz w:val="20"/>
              </w:rPr>
            </w:pPr>
            <w:r>
              <w:rPr>
                <w:sz w:val="20"/>
              </w:rPr>
              <w:t>GCbazaar</w:t>
            </w:r>
          </w:p>
        </w:tc>
        <w:tc>
          <w:tcPr>
            <w:tcW w:w="5044" w:type="dxa"/>
          </w:tcPr>
          <w:p>
            <w:pPr>
              <w:pStyle w:val="TableParagraph"/>
              <w:rPr>
                <w:sz w:val="20"/>
              </w:rPr>
            </w:pPr>
            <w:r>
              <w:rPr>
                <w:sz w:val="20"/>
              </w:rPr>
              <w:t>https</w:t>
            </w:r>
            <w:hyperlink r:id="rId266">
              <w:r>
                <w:rPr>
                  <w:sz w:val="20"/>
                </w:rPr>
                <w:t>://www.</w:t>
              </w:r>
            </w:hyperlink>
            <w:r>
              <w:rPr>
                <w:sz w:val="20"/>
              </w:rPr>
              <w:t>ets</w:t>
            </w:r>
            <w:hyperlink r:id="rId266">
              <w:r>
                <w:rPr>
                  <w:sz w:val="20"/>
                </w:rPr>
                <w:t>y.com/shop/GCbazaar</w:t>
              </w:r>
            </w:hyperlink>
          </w:p>
        </w:tc>
      </w:tr>
      <w:tr>
        <w:trPr>
          <w:trHeight w:val="287" w:hRule="atLeast"/>
        </w:trPr>
        <w:tc>
          <w:tcPr>
            <w:tcW w:w="960" w:type="dxa"/>
          </w:tcPr>
          <w:p>
            <w:pPr>
              <w:pStyle w:val="TableParagraph"/>
              <w:rPr>
                <w:sz w:val="20"/>
              </w:rPr>
            </w:pPr>
            <w:r>
              <w:rPr>
                <w:sz w:val="20"/>
              </w:rPr>
              <w:t>50</w:t>
            </w:r>
          </w:p>
        </w:tc>
        <w:tc>
          <w:tcPr>
            <w:tcW w:w="2461" w:type="dxa"/>
          </w:tcPr>
          <w:p>
            <w:pPr>
              <w:pStyle w:val="TableParagraph"/>
              <w:rPr>
                <w:sz w:val="20"/>
              </w:rPr>
            </w:pPr>
            <w:r>
              <w:rPr>
                <w:sz w:val="20"/>
              </w:rPr>
              <w:t>GFMODE</w:t>
            </w:r>
          </w:p>
        </w:tc>
        <w:tc>
          <w:tcPr>
            <w:tcW w:w="5044" w:type="dxa"/>
          </w:tcPr>
          <w:p>
            <w:pPr>
              <w:pStyle w:val="TableParagraph"/>
              <w:rPr>
                <w:sz w:val="20"/>
              </w:rPr>
            </w:pPr>
            <w:r>
              <w:rPr>
                <w:sz w:val="20"/>
              </w:rPr>
              <w:t>https</w:t>
            </w:r>
            <w:hyperlink r:id="rId267">
              <w:r>
                <w:rPr>
                  <w:sz w:val="20"/>
                </w:rPr>
                <w:t>://www.</w:t>
              </w:r>
            </w:hyperlink>
            <w:r>
              <w:rPr>
                <w:sz w:val="20"/>
              </w:rPr>
              <w:t>ets</w:t>
            </w:r>
            <w:hyperlink r:id="rId267">
              <w:r>
                <w:rPr>
                  <w:sz w:val="20"/>
                </w:rPr>
                <w:t>y.com/shop/GFMODE</w:t>
              </w:r>
            </w:hyperlink>
          </w:p>
        </w:tc>
      </w:tr>
      <w:tr>
        <w:trPr>
          <w:trHeight w:val="287" w:hRule="atLeast"/>
        </w:trPr>
        <w:tc>
          <w:tcPr>
            <w:tcW w:w="960" w:type="dxa"/>
          </w:tcPr>
          <w:p>
            <w:pPr>
              <w:pStyle w:val="TableParagraph"/>
              <w:rPr>
                <w:sz w:val="20"/>
              </w:rPr>
            </w:pPr>
            <w:r>
              <w:rPr>
                <w:sz w:val="20"/>
              </w:rPr>
              <w:t>51</w:t>
            </w:r>
          </w:p>
        </w:tc>
        <w:tc>
          <w:tcPr>
            <w:tcW w:w="2461" w:type="dxa"/>
          </w:tcPr>
          <w:p>
            <w:pPr>
              <w:pStyle w:val="TableParagraph"/>
              <w:rPr>
                <w:sz w:val="20"/>
              </w:rPr>
            </w:pPr>
            <w:r>
              <w:rPr>
                <w:sz w:val="20"/>
              </w:rPr>
              <w:t>GiftShopVintage</w:t>
            </w:r>
          </w:p>
        </w:tc>
        <w:tc>
          <w:tcPr>
            <w:tcW w:w="5044" w:type="dxa"/>
          </w:tcPr>
          <w:p>
            <w:pPr>
              <w:pStyle w:val="TableParagraph"/>
              <w:rPr>
                <w:sz w:val="20"/>
              </w:rPr>
            </w:pPr>
            <w:r>
              <w:rPr>
                <w:sz w:val="20"/>
              </w:rPr>
              <w:t>https</w:t>
            </w:r>
            <w:hyperlink r:id="rId268">
              <w:r>
                <w:rPr>
                  <w:sz w:val="20"/>
                </w:rPr>
                <w:t>://www.</w:t>
              </w:r>
            </w:hyperlink>
            <w:r>
              <w:rPr>
                <w:sz w:val="20"/>
              </w:rPr>
              <w:t>ets</w:t>
            </w:r>
            <w:hyperlink r:id="rId268">
              <w:r>
                <w:rPr>
                  <w:sz w:val="20"/>
                </w:rPr>
                <w:t>y.com/shop/GiftShopVintage</w:t>
              </w:r>
            </w:hyperlink>
          </w:p>
        </w:tc>
      </w:tr>
      <w:tr>
        <w:trPr>
          <w:trHeight w:val="290" w:hRule="atLeast"/>
        </w:trPr>
        <w:tc>
          <w:tcPr>
            <w:tcW w:w="960" w:type="dxa"/>
          </w:tcPr>
          <w:p>
            <w:pPr>
              <w:pStyle w:val="TableParagraph"/>
              <w:rPr>
                <w:sz w:val="20"/>
              </w:rPr>
            </w:pPr>
            <w:r>
              <w:rPr>
                <w:sz w:val="20"/>
              </w:rPr>
              <w:t>52</w:t>
            </w:r>
          </w:p>
        </w:tc>
        <w:tc>
          <w:tcPr>
            <w:tcW w:w="2461" w:type="dxa"/>
          </w:tcPr>
          <w:p>
            <w:pPr>
              <w:pStyle w:val="TableParagraph"/>
              <w:rPr>
                <w:sz w:val="20"/>
              </w:rPr>
            </w:pPr>
            <w:r>
              <w:rPr>
                <w:sz w:val="20"/>
              </w:rPr>
              <w:t>GreatLifeTees</w:t>
            </w:r>
          </w:p>
        </w:tc>
        <w:tc>
          <w:tcPr>
            <w:tcW w:w="5044" w:type="dxa"/>
          </w:tcPr>
          <w:p>
            <w:pPr>
              <w:pStyle w:val="TableParagraph"/>
              <w:rPr>
                <w:sz w:val="20"/>
              </w:rPr>
            </w:pPr>
            <w:r>
              <w:rPr>
                <w:sz w:val="20"/>
              </w:rPr>
              <w:t>https</w:t>
            </w:r>
            <w:hyperlink r:id="rId269">
              <w:r>
                <w:rPr>
                  <w:sz w:val="20"/>
                </w:rPr>
                <w:t>://www.</w:t>
              </w:r>
            </w:hyperlink>
            <w:r>
              <w:rPr>
                <w:sz w:val="20"/>
              </w:rPr>
              <w:t>ets</w:t>
            </w:r>
            <w:hyperlink r:id="rId269">
              <w:r>
                <w:rPr>
                  <w:sz w:val="20"/>
                </w:rPr>
                <w:t>y.com/shop/GreatLifeTees</w:t>
              </w:r>
            </w:hyperlink>
          </w:p>
        </w:tc>
      </w:tr>
      <w:tr>
        <w:trPr>
          <w:trHeight w:val="287" w:hRule="atLeast"/>
        </w:trPr>
        <w:tc>
          <w:tcPr>
            <w:tcW w:w="960" w:type="dxa"/>
          </w:tcPr>
          <w:p>
            <w:pPr>
              <w:pStyle w:val="TableParagraph"/>
              <w:rPr>
                <w:sz w:val="20"/>
              </w:rPr>
            </w:pPr>
            <w:r>
              <w:rPr>
                <w:sz w:val="20"/>
              </w:rPr>
              <w:t>53</w:t>
            </w:r>
          </w:p>
        </w:tc>
        <w:tc>
          <w:tcPr>
            <w:tcW w:w="2461" w:type="dxa"/>
          </w:tcPr>
          <w:p>
            <w:pPr>
              <w:pStyle w:val="TableParagraph"/>
              <w:rPr>
                <w:sz w:val="20"/>
              </w:rPr>
            </w:pPr>
            <w:r>
              <w:rPr>
                <w:sz w:val="20"/>
              </w:rPr>
              <w:t>habitationBoheme</w:t>
            </w:r>
          </w:p>
        </w:tc>
        <w:tc>
          <w:tcPr>
            <w:tcW w:w="5044" w:type="dxa"/>
          </w:tcPr>
          <w:p>
            <w:pPr>
              <w:pStyle w:val="TableParagraph"/>
              <w:rPr>
                <w:sz w:val="20"/>
              </w:rPr>
            </w:pPr>
            <w:r>
              <w:rPr>
                <w:sz w:val="20"/>
              </w:rPr>
              <w:t>https</w:t>
            </w:r>
            <w:hyperlink r:id="rId270">
              <w:r>
                <w:rPr>
                  <w:sz w:val="20"/>
                </w:rPr>
                <w:t>://www.</w:t>
              </w:r>
            </w:hyperlink>
            <w:r>
              <w:rPr>
                <w:sz w:val="20"/>
              </w:rPr>
              <w:t>ets</w:t>
            </w:r>
            <w:hyperlink r:id="rId270">
              <w:r>
                <w:rPr>
                  <w:sz w:val="20"/>
                </w:rPr>
                <w:t>y.com/shop/habitationBoheme</w:t>
              </w:r>
            </w:hyperlink>
          </w:p>
        </w:tc>
      </w:tr>
      <w:tr>
        <w:trPr>
          <w:trHeight w:val="288" w:hRule="atLeast"/>
        </w:trPr>
        <w:tc>
          <w:tcPr>
            <w:tcW w:w="960" w:type="dxa"/>
          </w:tcPr>
          <w:p>
            <w:pPr>
              <w:pStyle w:val="TableParagraph"/>
              <w:spacing w:before="1"/>
              <w:rPr>
                <w:sz w:val="20"/>
              </w:rPr>
            </w:pPr>
            <w:r>
              <w:rPr>
                <w:sz w:val="20"/>
              </w:rPr>
              <w:t>54</w:t>
            </w:r>
          </w:p>
        </w:tc>
        <w:tc>
          <w:tcPr>
            <w:tcW w:w="2461" w:type="dxa"/>
          </w:tcPr>
          <w:p>
            <w:pPr>
              <w:pStyle w:val="TableParagraph"/>
              <w:spacing w:before="1"/>
              <w:rPr>
                <w:sz w:val="20"/>
              </w:rPr>
            </w:pPr>
            <w:r>
              <w:rPr>
                <w:sz w:val="20"/>
              </w:rPr>
              <w:t>HairpinLegCo</w:t>
            </w:r>
          </w:p>
        </w:tc>
        <w:tc>
          <w:tcPr>
            <w:tcW w:w="5044" w:type="dxa"/>
          </w:tcPr>
          <w:p>
            <w:pPr>
              <w:pStyle w:val="TableParagraph"/>
              <w:spacing w:before="1"/>
              <w:rPr>
                <w:sz w:val="20"/>
              </w:rPr>
            </w:pPr>
            <w:r>
              <w:rPr>
                <w:sz w:val="20"/>
              </w:rPr>
              <w:t>https</w:t>
            </w:r>
            <w:hyperlink r:id="rId271">
              <w:r>
                <w:rPr>
                  <w:sz w:val="20"/>
                </w:rPr>
                <w:t>://www.</w:t>
              </w:r>
            </w:hyperlink>
            <w:r>
              <w:rPr>
                <w:sz w:val="20"/>
              </w:rPr>
              <w:t>ets</w:t>
            </w:r>
            <w:hyperlink r:id="rId271">
              <w:r>
                <w:rPr>
                  <w:sz w:val="20"/>
                </w:rPr>
                <w:t>y.com/shop/HairpinLegCo</w:t>
              </w:r>
            </w:hyperlink>
          </w:p>
        </w:tc>
      </w:tr>
      <w:tr>
        <w:trPr>
          <w:trHeight w:val="287" w:hRule="atLeast"/>
        </w:trPr>
        <w:tc>
          <w:tcPr>
            <w:tcW w:w="960" w:type="dxa"/>
          </w:tcPr>
          <w:p>
            <w:pPr>
              <w:pStyle w:val="TableParagraph"/>
              <w:rPr>
                <w:sz w:val="20"/>
              </w:rPr>
            </w:pPr>
            <w:r>
              <w:rPr>
                <w:sz w:val="20"/>
              </w:rPr>
              <w:t>55</w:t>
            </w:r>
          </w:p>
        </w:tc>
        <w:tc>
          <w:tcPr>
            <w:tcW w:w="2461" w:type="dxa"/>
          </w:tcPr>
          <w:p>
            <w:pPr>
              <w:pStyle w:val="TableParagraph"/>
              <w:rPr>
                <w:sz w:val="20"/>
              </w:rPr>
            </w:pPr>
            <w:r>
              <w:rPr>
                <w:sz w:val="20"/>
              </w:rPr>
              <w:t>HanabuKidsDecor</w:t>
            </w:r>
          </w:p>
        </w:tc>
        <w:tc>
          <w:tcPr>
            <w:tcW w:w="5044" w:type="dxa"/>
          </w:tcPr>
          <w:p>
            <w:pPr>
              <w:pStyle w:val="TableParagraph"/>
              <w:rPr>
                <w:sz w:val="20"/>
              </w:rPr>
            </w:pPr>
            <w:r>
              <w:rPr>
                <w:sz w:val="20"/>
              </w:rPr>
              <w:t>https</w:t>
            </w:r>
            <w:hyperlink r:id="rId272">
              <w:r>
                <w:rPr>
                  <w:sz w:val="20"/>
                </w:rPr>
                <w:t>://www.</w:t>
              </w:r>
            </w:hyperlink>
            <w:r>
              <w:rPr>
                <w:sz w:val="20"/>
              </w:rPr>
              <w:t>ets</w:t>
            </w:r>
            <w:hyperlink r:id="rId272">
              <w:r>
                <w:rPr>
                  <w:sz w:val="20"/>
                </w:rPr>
                <w:t>y.com/shop/HanabuKidsDecor</w:t>
              </w:r>
            </w:hyperlink>
          </w:p>
        </w:tc>
      </w:tr>
      <w:tr>
        <w:trPr>
          <w:trHeight w:val="287" w:hRule="atLeast"/>
        </w:trPr>
        <w:tc>
          <w:tcPr>
            <w:tcW w:w="960" w:type="dxa"/>
          </w:tcPr>
          <w:p>
            <w:pPr>
              <w:pStyle w:val="TableParagraph"/>
              <w:rPr>
                <w:sz w:val="20"/>
              </w:rPr>
            </w:pPr>
            <w:r>
              <w:rPr>
                <w:sz w:val="20"/>
              </w:rPr>
              <w:t>56</w:t>
            </w:r>
          </w:p>
        </w:tc>
        <w:tc>
          <w:tcPr>
            <w:tcW w:w="2461" w:type="dxa"/>
          </w:tcPr>
          <w:p>
            <w:pPr>
              <w:pStyle w:val="TableParagraph"/>
              <w:rPr>
                <w:sz w:val="20"/>
              </w:rPr>
            </w:pPr>
            <w:r>
              <w:rPr>
                <w:sz w:val="20"/>
              </w:rPr>
              <w:t>HandMadeByMMartynova</w:t>
            </w:r>
          </w:p>
        </w:tc>
        <w:tc>
          <w:tcPr>
            <w:tcW w:w="5044" w:type="dxa"/>
          </w:tcPr>
          <w:p>
            <w:pPr>
              <w:pStyle w:val="TableParagraph"/>
              <w:rPr>
                <w:sz w:val="20"/>
              </w:rPr>
            </w:pPr>
            <w:r>
              <w:rPr>
                <w:sz w:val="20"/>
              </w:rPr>
              <w:t>https</w:t>
            </w:r>
            <w:hyperlink r:id="rId273">
              <w:r>
                <w:rPr>
                  <w:sz w:val="20"/>
                </w:rPr>
                <w:t>://www.</w:t>
              </w:r>
            </w:hyperlink>
            <w:r>
              <w:rPr>
                <w:sz w:val="20"/>
              </w:rPr>
              <w:t>ets</w:t>
            </w:r>
            <w:hyperlink r:id="rId273">
              <w:r>
                <w:rPr>
                  <w:sz w:val="20"/>
                </w:rPr>
                <w:t>y.com/shop/HandMadeByMMartynova</w:t>
              </w:r>
            </w:hyperlink>
          </w:p>
        </w:tc>
      </w:tr>
      <w:tr>
        <w:trPr>
          <w:trHeight w:val="287" w:hRule="atLeast"/>
        </w:trPr>
        <w:tc>
          <w:tcPr>
            <w:tcW w:w="960" w:type="dxa"/>
          </w:tcPr>
          <w:p>
            <w:pPr>
              <w:pStyle w:val="TableParagraph"/>
              <w:rPr>
                <w:sz w:val="20"/>
              </w:rPr>
            </w:pPr>
            <w:r>
              <w:rPr>
                <w:sz w:val="20"/>
              </w:rPr>
              <w:t>57</w:t>
            </w:r>
          </w:p>
        </w:tc>
        <w:tc>
          <w:tcPr>
            <w:tcW w:w="2461" w:type="dxa"/>
          </w:tcPr>
          <w:p>
            <w:pPr>
              <w:pStyle w:val="TableParagraph"/>
              <w:rPr>
                <w:sz w:val="20"/>
              </w:rPr>
            </w:pPr>
            <w:r>
              <w:rPr>
                <w:sz w:val="20"/>
              </w:rPr>
              <w:t>HANDSONHIPS</w:t>
            </w:r>
          </w:p>
        </w:tc>
        <w:tc>
          <w:tcPr>
            <w:tcW w:w="5044" w:type="dxa"/>
          </w:tcPr>
          <w:p>
            <w:pPr>
              <w:pStyle w:val="TableParagraph"/>
              <w:rPr>
                <w:sz w:val="20"/>
              </w:rPr>
            </w:pPr>
            <w:r>
              <w:rPr>
                <w:sz w:val="20"/>
              </w:rPr>
              <w:t>https</w:t>
            </w:r>
            <w:hyperlink r:id="rId274">
              <w:r>
                <w:rPr>
                  <w:sz w:val="20"/>
                </w:rPr>
                <w:t>://www.</w:t>
              </w:r>
            </w:hyperlink>
            <w:r>
              <w:rPr>
                <w:sz w:val="20"/>
              </w:rPr>
              <w:t>ets</w:t>
            </w:r>
            <w:hyperlink r:id="rId274">
              <w:r>
                <w:rPr>
                  <w:sz w:val="20"/>
                </w:rPr>
                <w:t>y.com/shop/HANDSONHIPS</w:t>
              </w:r>
            </w:hyperlink>
          </w:p>
        </w:tc>
      </w:tr>
      <w:tr>
        <w:trPr>
          <w:trHeight w:val="290" w:hRule="atLeast"/>
        </w:trPr>
        <w:tc>
          <w:tcPr>
            <w:tcW w:w="960" w:type="dxa"/>
          </w:tcPr>
          <w:p>
            <w:pPr>
              <w:pStyle w:val="TableParagraph"/>
              <w:rPr>
                <w:sz w:val="20"/>
              </w:rPr>
            </w:pPr>
            <w:r>
              <w:rPr>
                <w:sz w:val="20"/>
              </w:rPr>
              <w:t>58</w:t>
            </w:r>
          </w:p>
        </w:tc>
        <w:tc>
          <w:tcPr>
            <w:tcW w:w="2461" w:type="dxa"/>
          </w:tcPr>
          <w:p>
            <w:pPr>
              <w:pStyle w:val="TableParagraph"/>
              <w:rPr>
                <w:sz w:val="20"/>
              </w:rPr>
            </w:pPr>
            <w:r>
              <w:rPr>
                <w:sz w:val="20"/>
              </w:rPr>
              <w:t>HoskinsLaserMade</w:t>
            </w:r>
          </w:p>
        </w:tc>
        <w:tc>
          <w:tcPr>
            <w:tcW w:w="5044" w:type="dxa"/>
          </w:tcPr>
          <w:p>
            <w:pPr>
              <w:pStyle w:val="TableParagraph"/>
              <w:rPr>
                <w:sz w:val="20"/>
              </w:rPr>
            </w:pPr>
            <w:r>
              <w:rPr>
                <w:sz w:val="20"/>
              </w:rPr>
              <w:t>https</w:t>
            </w:r>
            <w:hyperlink r:id="rId275">
              <w:r>
                <w:rPr>
                  <w:sz w:val="20"/>
                </w:rPr>
                <w:t>://www.</w:t>
              </w:r>
            </w:hyperlink>
            <w:r>
              <w:rPr>
                <w:sz w:val="20"/>
              </w:rPr>
              <w:t>ets</w:t>
            </w:r>
            <w:hyperlink r:id="rId275">
              <w:r>
                <w:rPr>
                  <w:sz w:val="20"/>
                </w:rPr>
                <w:t>y.com/shop/HoskinsLaserMade</w:t>
              </w:r>
            </w:hyperlink>
          </w:p>
        </w:tc>
      </w:tr>
      <w:tr>
        <w:trPr>
          <w:trHeight w:val="287" w:hRule="atLeast"/>
        </w:trPr>
        <w:tc>
          <w:tcPr>
            <w:tcW w:w="960" w:type="dxa"/>
          </w:tcPr>
          <w:p>
            <w:pPr>
              <w:pStyle w:val="TableParagraph"/>
              <w:rPr>
                <w:sz w:val="20"/>
              </w:rPr>
            </w:pPr>
            <w:r>
              <w:rPr>
                <w:sz w:val="20"/>
              </w:rPr>
              <w:t>59</w:t>
            </w:r>
          </w:p>
        </w:tc>
        <w:tc>
          <w:tcPr>
            <w:tcW w:w="2461" w:type="dxa"/>
          </w:tcPr>
          <w:p>
            <w:pPr>
              <w:pStyle w:val="TableParagraph"/>
              <w:rPr>
                <w:sz w:val="20"/>
              </w:rPr>
            </w:pPr>
            <w:r>
              <w:rPr>
                <w:sz w:val="20"/>
              </w:rPr>
              <w:t>IDAMETAL</w:t>
            </w:r>
          </w:p>
        </w:tc>
        <w:tc>
          <w:tcPr>
            <w:tcW w:w="5044" w:type="dxa"/>
          </w:tcPr>
          <w:p>
            <w:pPr>
              <w:pStyle w:val="TableParagraph"/>
              <w:rPr>
                <w:sz w:val="20"/>
              </w:rPr>
            </w:pPr>
            <w:r>
              <w:rPr>
                <w:sz w:val="20"/>
              </w:rPr>
              <w:t>https</w:t>
            </w:r>
            <w:hyperlink r:id="rId276">
              <w:r>
                <w:rPr>
                  <w:sz w:val="20"/>
                </w:rPr>
                <w:t>://www.</w:t>
              </w:r>
            </w:hyperlink>
            <w:r>
              <w:rPr>
                <w:sz w:val="20"/>
              </w:rPr>
              <w:t>ets</w:t>
            </w:r>
            <w:hyperlink r:id="rId276">
              <w:r>
                <w:rPr>
                  <w:sz w:val="20"/>
                </w:rPr>
                <w:t>y.com/shop/IDAMETAL</w:t>
              </w:r>
            </w:hyperlink>
          </w:p>
        </w:tc>
      </w:tr>
      <w:tr>
        <w:trPr>
          <w:trHeight w:val="287" w:hRule="atLeast"/>
        </w:trPr>
        <w:tc>
          <w:tcPr>
            <w:tcW w:w="960" w:type="dxa"/>
          </w:tcPr>
          <w:p>
            <w:pPr>
              <w:pStyle w:val="TableParagraph"/>
              <w:rPr>
                <w:sz w:val="20"/>
              </w:rPr>
            </w:pPr>
            <w:r>
              <w:rPr>
                <w:sz w:val="20"/>
              </w:rPr>
              <w:t>60</w:t>
            </w:r>
          </w:p>
        </w:tc>
        <w:tc>
          <w:tcPr>
            <w:tcW w:w="2461" w:type="dxa"/>
          </w:tcPr>
          <w:p>
            <w:pPr>
              <w:pStyle w:val="TableParagraph"/>
              <w:rPr>
                <w:sz w:val="20"/>
              </w:rPr>
            </w:pPr>
            <w:r>
              <w:rPr>
                <w:sz w:val="20"/>
              </w:rPr>
              <w:t>IfDollsCouldDream</w:t>
            </w:r>
          </w:p>
        </w:tc>
        <w:tc>
          <w:tcPr>
            <w:tcW w:w="5044" w:type="dxa"/>
          </w:tcPr>
          <w:p>
            <w:pPr>
              <w:pStyle w:val="TableParagraph"/>
              <w:rPr>
                <w:sz w:val="20"/>
              </w:rPr>
            </w:pPr>
            <w:r>
              <w:rPr>
                <w:sz w:val="20"/>
              </w:rPr>
              <w:t>https</w:t>
            </w:r>
            <w:hyperlink r:id="rId277">
              <w:r>
                <w:rPr>
                  <w:sz w:val="20"/>
                </w:rPr>
                <w:t>://www.</w:t>
              </w:r>
            </w:hyperlink>
            <w:r>
              <w:rPr>
                <w:sz w:val="20"/>
              </w:rPr>
              <w:t>ets</w:t>
            </w:r>
            <w:hyperlink r:id="rId277">
              <w:r>
                <w:rPr>
                  <w:sz w:val="20"/>
                </w:rPr>
                <w:t>y.com/shop/IfDollsCouldDream</w:t>
              </w:r>
            </w:hyperlink>
          </w:p>
        </w:tc>
      </w:tr>
      <w:tr>
        <w:trPr>
          <w:trHeight w:val="287" w:hRule="atLeast"/>
        </w:trPr>
        <w:tc>
          <w:tcPr>
            <w:tcW w:w="960" w:type="dxa"/>
          </w:tcPr>
          <w:p>
            <w:pPr>
              <w:pStyle w:val="TableParagraph"/>
              <w:rPr>
                <w:sz w:val="20"/>
              </w:rPr>
            </w:pPr>
            <w:r>
              <w:rPr>
                <w:sz w:val="20"/>
              </w:rPr>
              <w:t>61</w:t>
            </w:r>
          </w:p>
        </w:tc>
        <w:tc>
          <w:tcPr>
            <w:tcW w:w="2461" w:type="dxa"/>
          </w:tcPr>
          <w:p>
            <w:pPr>
              <w:pStyle w:val="TableParagraph"/>
              <w:rPr>
                <w:sz w:val="20"/>
              </w:rPr>
            </w:pPr>
            <w:r>
              <w:rPr>
                <w:sz w:val="20"/>
              </w:rPr>
              <w:t>InTePro</w:t>
            </w:r>
          </w:p>
        </w:tc>
        <w:tc>
          <w:tcPr>
            <w:tcW w:w="5044" w:type="dxa"/>
          </w:tcPr>
          <w:p>
            <w:pPr>
              <w:pStyle w:val="TableParagraph"/>
              <w:rPr>
                <w:sz w:val="20"/>
              </w:rPr>
            </w:pPr>
            <w:r>
              <w:rPr>
                <w:sz w:val="20"/>
              </w:rPr>
              <w:t>https</w:t>
            </w:r>
            <w:hyperlink r:id="rId278">
              <w:r>
                <w:rPr>
                  <w:sz w:val="20"/>
                </w:rPr>
                <w:t>://www.</w:t>
              </w:r>
            </w:hyperlink>
            <w:r>
              <w:rPr>
                <w:sz w:val="20"/>
              </w:rPr>
              <w:t>ets</w:t>
            </w:r>
            <w:hyperlink r:id="rId278">
              <w:r>
                <w:rPr>
                  <w:sz w:val="20"/>
                </w:rPr>
                <w:t>y.com/shop/InTePro</w:t>
              </w:r>
            </w:hyperlink>
          </w:p>
        </w:tc>
      </w:tr>
      <w:tr>
        <w:trPr>
          <w:trHeight w:val="287" w:hRule="atLeast"/>
        </w:trPr>
        <w:tc>
          <w:tcPr>
            <w:tcW w:w="960" w:type="dxa"/>
          </w:tcPr>
          <w:p>
            <w:pPr>
              <w:pStyle w:val="TableParagraph"/>
              <w:rPr>
                <w:sz w:val="20"/>
              </w:rPr>
            </w:pPr>
            <w:r>
              <w:rPr>
                <w:sz w:val="20"/>
              </w:rPr>
              <w:t>62</w:t>
            </w:r>
          </w:p>
        </w:tc>
        <w:tc>
          <w:tcPr>
            <w:tcW w:w="2461" w:type="dxa"/>
          </w:tcPr>
          <w:p>
            <w:pPr>
              <w:pStyle w:val="TableParagraph"/>
              <w:rPr>
                <w:sz w:val="20"/>
              </w:rPr>
            </w:pPr>
            <w:r>
              <w:rPr>
                <w:sz w:val="20"/>
              </w:rPr>
              <w:t>IslamicBazaar</w:t>
            </w:r>
          </w:p>
        </w:tc>
        <w:tc>
          <w:tcPr>
            <w:tcW w:w="5044" w:type="dxa"/>
          </w:tcPr>
          <w:p>
            <w:pPr>
              <w:pStyle w:val="TableParagraph"/>
              <w:rPr>
                <w:sz w:val="20"/>
              </w:rPr>
            </w:pPr>
            <w:r>
              <w:rPr>
                <w:sz w:val="20"/>
              </w:rPr>
              <w:t>https</w:t>
            </w:r>
            <w:hyperlink r:id="rId279">
              <w:r>
                <w:rPr>
                  <w:sz w:val="20"/>
                </w:rPr>
                <w:t>://www.</w:t>
              </w:r>
            </w:hyperlink>
            <w:r>
              <w:rPr>
                <w:sz w:val="20"/>
              </w:rPr>
              <w:t>ets</w:t>
            </w:r>
            <w:hyperlink r:id="rId279">
              <w:r>
                <w:rPr>
                  <w:sz w:val="20"/>
                </w:rPr>
                <w:t>y.com/shop/IslamicBazaar</w:t>
              </w:r>
            </w:hyperlink>
          </w:p>
        </w:tc>
      </w:tr>
      <w:tr>
        <w:trPr>
          <w:trHeight w:val="287" w:hRule="atLeast"/>
        </w:trPr>
        <w:tc>
          <w:tcPr>
            <w:tcW w:w="960" w:type="dxa"/>
          </w:tcPr>
          <w:p>
            <w:pPr>
              <w:pStyle w:val="TableParagraph"/>
              <w:rPr>
                <w:sz w:val="20"/>
              </w:rPr>
            </w:pPr>
            <w:r>
              <w:rPr>
                <w:sz w:val="20"/>
              </w:rPr>
              <w:t>63</w:t>
            </w:r>
          </w:p>
        </w:tc>
        <w:tc>
          <w:tcPr>
            <w:tcW w:w="2461" w:type="dxa"/>
          </w:tcPr>
          <w:p>
            <w:pPr>
              <w:pStyle w:val="TableParagraph"/>
              <w:rPr>
                <w:sz w:val="20"/>
              </w:rPr>
            </w:pPr>
            <w:r>
              <w:rPr>
                <w:sz w:val="20"/>
              </w:rPr>
              <w:t>IstanbulSouvenirShop</w:t>
            </w:r>
          </w:p>
        </w:tc>
        <w:tc>
          <w:tcPr>
            <w:tcW w:w="5044" w:type="dxa"/>
          </w:tcPr>
          <w:p>
            <w:pPr>
              <w:pStyle w:val="TableParagraph"/>
              <w:rPr>
                <w:sz w:val="20"/>
              </w:rPr>
            </w:pPr>
            <w:r>
              <w:rPr>
                <w:sz w:val="20"/>
              </w:rPr>
              <w:t>https</w:t>
            </w:r>
            <w:hyperlink r:id="rId280">
              <w:r>
                <w:rPr>
                  <w:sz w:val="20"/>
                </w:rPr>
                <w:t>://www.</w:t>
              </w:r>
            </w:hyperlink>
            <w:r>
              <w:rPr>
                <w:sz w:val="20"/>
              </w:rPr>
              <w:t>ets</w:t>
            </w:r>
            <w:hyperlink r:id="rId280">
              <w:r>
                <w:rPr>
                  <w:sz w:val="20"/>
                </w:rPr>
                <w:t>y.com/shop/IstanbulSouvenirShop</w:t>
              </w:r>
            </w:hyperlink>
          </w:p>
        </w:tc>
      </w:tr>
      <w:tr>
        <w:trPr>
          <w:trHeight w:val="290" w:hRule="atLeast"/>
        </w:trPr>
        <w:tc>
          <w:tcPr>
            <w:tcW w:w="960" w:type="dxa"/>
          </w:tcPr>
          <w:p>
            <w:pPr>
              <w:pStyle w:val="TableParagraph"/>
              <w:rPr>
                <w:sz w:val="20"/>
              </w:rPr>
            </w:pPr>
            <w:r>
              <w:rPr>
                <w:sz w:val="20"/>
              </w:rPr>
              <w:t>64</w:t>
            </w:r>
          </w:p>
        </w:tc>
        <w:tc>
          <w:tcPr>
            <w:tcW w:w="2461" w:type="dxa"/>
          </w:tcPr>
          <w:p>
            <w:pPr>
              <w:pStyle w:val="TableParagraph"/>
              <w:rPr>
                <w:sz w:val="20"/>
              </w:rPr>
            </w:pPr>
            <w:r>
              <w:rPr>
                <w:sz w:val="20"/>
              </w:rPr>
              <w:t>infigohome</w:t>
            </w:r>
          </w:p>
        </w:tc>
        <w:tc>
          <w:tcPr>
            <w:tcW w:w="5044" w:type="dxa"/>
          </w:tcPr>
          <w:p>
            <w:pPr>
              <w:pStyle w:val="TableParagraph"/>
              <w:rPr>
                <w:sz w:val="20"/>
              </w:rPr>
            </w:pPr>
            <w:r>
              <w:rPr>
                <w:sz w:val="20"/>
              </w:rPr>
              <w:t>https</w:t>
            </w:r>
            <w:hyperlink r:id="rId281">
              <w:r>
                <w:rPr>
                  <w:sz w:val="20"/>
                </w:rPr>
                <w:t>://www.</w:t>
              </w:r>
            </w:hyperlink>
            <w:r>
              <w:rPr>
                <w:sz w:val="20"/>
              </w:rPr>
              <w:t>ets</w:t>
            </w:r>
            <w:hyperlink r:id="rId281">
              <w:r>
                <w:rPr>
                  <w:sz w:val="20"/>
                </w:rPr>
                <w:t>y.com/shop/infigohome</w:t>
              </w:r>
            </w:hyperlink>
          </w:p>
        </w:tc>
      </w:tr>
      <w:tr>
        <w:trPr>
          <w:trHeight w:val="287" w:hRule="atLeast"/>
        </w:trPr>
        <w:tc>
          <w:tcPr>
            <w:tcW w:w="960" w:type="dxa"/>
          </w:tcPr>
          <w:p>
            <w:pPr>
              <w:pStyle w:val="TableParagraph"/>
              <w:rPr>
                <w:sz w:val="20"/>
              </w:rPr>
            </w:pPr>
            <w:r>
              <w:rPr>
                <w:sz w:val="20"/>
              </w:rPr>
              <w:t>65</w:t>
            </w:r>
          </w:p>
        </w:tc>
        <w:tc>
          <w:tcPr>
            <w:tcW w:w="2461" w:type="dxa"/>
          </w:tcPr>
          <w:p>
            <w:pPr>
              <w:pStyle w:val="TableParagraph"/>
              <w:rPr>
                <w:sz w:val="20"/>
              </w:rPr>
            </w:pPr>
            <w:r>
              <w:rPr>
                <w:sz w:val="20"/>
              </w:rPr>
              <w:t>JewelryByKimBoutique</w:t>
            </w:r>
          </w:p>
        </w:tc>
        <w:tc>
          <w:tcPr>
            <w:tcW w:w="5044" w:type="dxa"/>
          </w:tcPr>
          <w:p>
            <w:pPr>
              <w:pStyle w:val="TableParagraph"/>
              <w:rPr>
                <w:sz w:val="20"/>
              </w:rPr>
            </w:pPr>
            <w:r>
              <w:rPr>
                <w:sz w:val="20"/>
              </w:rPr>
              <w:t>https</w:t>
            </w:r>
            <w:hyperlink r:id="rId282">
              <w:r>
                <w:rPr>
                  <w:sz w:val="20"/>
                </w:rPr>
                <w:t>://www.</w:t>
              </w:r>
            </w:hyperlink>
            <w:r>
              <w:rPr>
                <w:sz w:val="20"/>
              </w:rPr>
              <w:t>ets</w:t>
            </w:r>
            <w:hyperlink r:id="rId282">
              <w:r>
                <w:rPr>
                  <w:sz w:val="20"/>
                </w:rPr>
                <w:t>y.com/shop/JewelryByKimBoutique</w:t>
              </w:r>
            </w:hyperlink>
          </w:p>
        </w:tc>
      </w:tr>
      <w:tr>
        <w:trPr>
          <w:trHeight w:val="288" w:hRule="atLeast"/>
        </w:trPr>
        <w:tc>
          <w:tcPr>
            <w:tcW w:w="960" w:type="dxa"/>
          </w:tcPr>
          <w:p>
            <w:pPr>
              <w:pStyle w:val="TableParagraph"/>
              <w:rPr>
                <w:sz w:val="20"/>
              </w:rPr>
            </w:pPr>
            <w:r>
              <w:rPr>
                <w:sz w:val="20"/>
              </w:rPr>
              <w:t>66</w:t>
            </w:r>
          </w:p>
        </w:tc>
        <w:tc>
          <w:tcPr>
            <w:tcW w:w="2461" w:type="dxa"/>
          </w:tcPr>
          <w:p>
            <w:pPr>
              <w:pStyle w:val="TableParagraph"/>
              <w:rPr>
                <w:sz w:val="20"/>
              </w:rPr>
            </w:pPr>
            <w:r>
              <w:rPr>
                <w:sz w:val="20"/>
              </w:rPr>
              <w:t>JujuAndJake</w:t>
            </w:r>
          </w:p>
        </w:tc>
        <w:tc>
          <w:tcPr>
            <w:tcW w:w="5044" w:type="dxa"/>
          </w:tcPr>
          <w:p>
            <w:pPr>
              <w:pStyle w:val="TableParagraph"/>
              <w:rPr>
                <w:sz w:val="20"/>
              </w:rPr>
            </w:pPr>
            <w:r>
              <w:rPr>
                <w:sz w:val="20"/>
              </w:rPr>
              <w:t>https</w:t>
            </w:r>
            <w:hyperlink r:id="rId283">
              <w:r>
                <w:rPr>
                  <w:sz w:val="20"/>
                </w:rPr>
                <w:t>://www.</w:t>
              </w:r>
            </w:hyperlink>
            <w:r>
              <w:rPr>
                <w:sz w:val="20"/>
              </w:rPr>
              <w:t>ets</w:t>
            </w:r>
            <w:hyperlink r:id="rId283">
              <w:r>
                <w:rPr>
                  <w:sz w:val="20"/>
                </w:rPr>
                <w:t>y.com/shop/JujuAndJake</w:t>
              </w:r>
            </w:hyperlink>
          </w:p>
        </w:tc>
      </w:tr>
      <w:tr>
        <w:trPr>
          <w:trHeight w:val="287" w:hRule="atLeast"/>
        </w:trPr>
        <w:tc>
          <w:tcPr>
            <w:tcW w:w="960" w:type="dxa"/>
          </w:tcPr>
          <w:p>
            <w:pPr>
              <w:pStyle w:val="TableParagraph"/>
              <w:rPr>
                <w:sz w:val="20"/>
              </w:rPr>
            </w:pPr>
            <w:r>
              <w:rPr>
                <w:sz w:val="20"/>
              </w:rPr>
              <w:t>67</w:t>
            </w:r>
          </w:p>
        </w:tc>
        <w:tc>
          <w:tcPr>
            <w:tcW w:w="2461" w:type="dxa"/>
          </w:tcPr>
          <w:p>
            <w:pPr>
              <w:pStyle w:val="TableParagraph"/>
              <w:rPr>
                <w:sz w:val="20"/>
              </w:rPr>
            </w:pPr>
            <w:r>
              <w:rPr>
                <w:sz w:val="20"/>
              </w:rPr>
              <w:t>Kilimikea</w:t>
            </w:r>
          </w:p>
        </w:tc>
        <w:tc>
          <w:tcPr>
            <w:tcW w:w="5044" w:type="dxa"/>
          </w:tcPr>
          <w:p>
            <w:pPr>
              <w:pStyle w:val="TableParagraph"/>
              <w:rPr>
                <w:sz w:val="20"/>
              </w:rPr>
            </w:pPr>
            <w:r>
              <w:rPr>
                <w:sz w:val="20"/>
              </w:rPr>
              <w:t>https</w:t>
            </w:r>
            <w:hyperlink r:id="rId284">
              <w:r>
                <w:rPr>
                  <w:sz w:val="20"/>
                </w:rPr>
                <w:t>://www.</w:t>
              </w:r>
            </w:hyperlink>
            <w:r>
              <w:rPr>
                <w:sz w:val="20"/>
              </w:rPr>
              <w:t>ets</w:t>
            </w:r>
            <w:hyperlink r:id="rId284">
              <w:r>
                <w:rPr>
                  <w:sz w:val="20"/>
                </w:rPr>
                <w:t>y.com/shop/Kilimikea</w:t>
              </w:r>
            </w:hyperlink>
          </w:p>
        </w:tc>
      </w:tr>
      <w:tr>
        <w:trPr>
          <w:trHeight w:val="287" w:hRule="atLeast"/>
        </w:trPr>
        <w:tc>
          <w:tcPr>
            <w:tcW w:w="960" w:type="dxa"/>
          </w:tcPr>
          <w:p>
            <w:pPr>
              <w:pStyle w:val="TableParagraph"/>
              <w:rPr>
                <w:sz w:val="20"/>
              </w:rPr>
            </w:pPr>
            <w:r>
              <w:rPr>
                <w:sz w:val="20"/>
              </w:rPr>
              <w:t>68</w:t>
            </w:r>
          </w:p>
        </w:tc>
        <w:tc>
          <w:tcPr>
            <w:tcW w:w="2461" w:type="dxa"/>
          </w:tcPr>
          <w:p>
            <w:pPr>
              <w:pStyle w:val="TableParagraph"/>
              <w:rPr>
                <w:sz w:val="20"/>
              </w:rPr>
            </w:pPr>
            <w:r>
              <w:rPr>
                <w:sz w:val="20"/>
              </w:rPr>
              <w:t>KnitDjin</w:t>
            </w:r>
          </w:p>
        </w:tc>
        <w:tc>
          <w:tcPr>
            <w:tcW w:w="5044" w:type="dxa"/>
          </w:tcPr>
          <w:p>
            <w:pPr>
              <w:pStyle w:val="TableParagraph"/>
              <w:rPr>
                <w:sz w:val="20"/>
              </w:rPr>
            </w:pPr>
            <w:r>
              <w:rPr>
                <w:sz w:val="20"/>
              </w:rPr>
              <w:t>https</w:t>
            </w:r>
            <w:hyperlink r:id="rId285">
              <w:r>
                <w:rPr>
                  <w:sz w:val="20"/>
                </w:rPr>
                <w:t>://www.</w:t>
              </w:r>
            </w:hyperlink>
            <w:r>
              <w:rPr>
                <w:sz w:val="20"/>
              </w:rPr>
              <w:t>ets</w:t>
            </w:r>
            <w:hyperlink r:id="rId285">
              <w:r>
                <w:rPr>
                  <w:sz w:val="20"/>
                </w:rPr>
                <w:t>y.com/shop/KnitDjin</w:t>
              </w:r>
            </w:hyperlink>
          </w:p>
        </w:tc>
      </w:tr>
      <w:tr>
        <w:trPr>
          <w:trHeight w:val="287" w:hRule="atLeast"/>
        </w:trPr>
        <w:tc>
          <w:tcPr>
            <w:tcW w:w="960" w:type="dxa"/>
          </w:tcPr>
          <w:p>
            <w:pPr>
              <w:pStyle w:val="TableParagraph"/>
              <w:rPr>
                <w:sz w:val="20"/>
              </w:rPr>
            </w:pPr>
            <w:r>
              <w:rPr>
                <w:sz w:val="20"/>
              </w:rPr>
              <w:t>69</w:t>
            </w:r>
          </w:p>
        </w:tc>
        <w:tc>
          <w:tcPr>
            <w:tcW w:w="2461" w:type="dxa"/>
          </w:tcPr>
          <w:p>
            <w:pPr>
              <w:pStyle w:val="TableParagraph"/>
              <w:rPr>
                <w:sz w:val="20"/>
              </w:rPr>
            </w:pPr>
            <w:r>
              <w:rPr>
                <w:sz w:val="20"/>
              </w:rPr>
              <w:t>kordelyacostume</w:t>
            </w:r>
          </w:p>
        </w:tc>
        <w:tc>
          <w:tcPr>
            <w:tcW w:w="5044" w:type="dxa"/>
          </w:tcPr>
          <w:p>
            <w:pPr>
              <w:pStyle w:val="TableParagraph"/>
              <w:rPr>
                <w:sz w:val="20"/>
              </w:rPr>
            </w:pPr>
            <w:r>
              <w:rPr>
                <w:sz w:val="20"/>
              </w:rPr>
              <w:t>https</w:t>
            </w:r>
            <w:hyperlink r:id="rId286">
              <w:r>
                <w:rPr>
                  <w:sz w:val="20"/>
                </w:rPr>
                <w:t>://www.</w:t>
              </w:r>
            </w:hyperlink>
            <w:r>
              <w:rPr>
                <w:sz w:val="20"/>
              </w:rPr>
              <w:t>ets</w:t>
            </w:r>
            <w:hyperlink r:id="rId286">
              <w:r>
                <w:rPr>
                  <w:sz w:val="20"/>
                </w:rPr>
                <w:t>y.com/shop/kordelyacostume</w:t>
              </w:r>
            </w:hyperlink>
          </w:p>
        </w:tc>
      </w:tr>
      <w:tr>
        <w:trPr>
          <w:trHeight w:val="290" w:hRule="atLeast"/>
        </w:trPr>
        <w:tc>
          <w:tcPr>
            <w:tcW w:w="960" w:type="dxa"/>
          </w:tcPr>
          <w:p>
            <w:pPr>
              <w:pStyle w:val="TableParagraph"/>
              <w:rPr>
                <w:sz w:val="20"/>
              </w:rPr>
            </w:pPr>
            <w:r>
              <w:rPr>
                <w:sz w:val="20"/>
              </w:rPr>
              <w:t>70</w:t>
            </w:r>
          </w:p>
        </w:tc>
        <w:tc>
          <w:tcPr>
            <w:tcW w:w="2461" w:type="dxa"/>
          </w:tcPr>
          <w:p>
            <w:pPr>
              <w:pStyle w:val="TableParagraph"/>
              <w:rPr>
                <w:sz w:val="20"/>
              </w:rPr>
            </w:pPr>
            <w:r>
              <w:rPr>
                <w:sz w:val="20"/>
              </w:rPr>
              <w:t>LAHFabrics</w:t>
            </w:r>
          </w:p>
        </w:tc>
        <w:tc>
          <w:tcPr>
            <w:tcW w:w="5044" w:type="dxa"/>
          </w:tcPr>
          <w:p>
            <w:pPr>
              <w:pStyle w:val="TableParagraph"/>
              <w:rPr>
                <w:sz w:val="20"/>
              </w:rPr>
            </w:pPr>
            <w:r>
              <w:rPr>
                <w:sz w:val="20"/>
              </w:rPr>
              <w:t>https</w:t>
            </w:r>
            <w:hyperlink r:id="rId287">
              <w:r>
                <w:rPr>
                  <w:sz w:val="20"/>
                </w:rPr>
                <w:t>://www.</w:t>
              </w:r>
            </w:hyperlink>
            <w:r>
              <w:rPr>
                <w:sz w:val="20"/>
              </w:rPr>
              <w:t>ets</w:t>
            </w:r>
            <w:hyperlink r:id="rId287">
              <w:r>
                <w:rPr>
                  <w:sz w:val="20"/>
                </w:rPr>
                <w:t>y.com/shop/LAHFabrics</w:t>
              </w:r>
            </w:hyperlink>
          </w:p>
        </w:tc>
      </w:tr>
      <w:tr>
        <w:trPr>
          <w:trHeight w:val="287" w:hRule="atLeast"/>
        </w:trPr>
        <w:tc>
          <w:tcPr>
            <w:tcW w:w="960" w:type="dxa"/>
          </w:tcPr>
          <w:p>
            <w:pPr>
              <w:pStyle w:val="TableParagraph"/>
              <w:rPr>
                <w:sz w:val="20"/>
              </w:rPr>
            </w:pPr>
            <w:r>
              <w:rPr>
                <w:sz w:val="20"/>
              </w:rPr>
              <w:t>71</w:t>
            </w:r>
          </w:p>
        </w:tc>
        <w:tc>
          <w:tcPr>
            <w:tcW w:w="2461" w:type="dxa"/>
          </w:tcPr>
          <w:p>
            <w:pPr>
              <w:pStyle w:val="TableParagraph"/>
              <w:rPr>
                <w:sz w:val="20"/>
              </w:rPr>
            </w:pPr>
            <w:r>
              <w:rPr>
                <w:sz w:val="20"/>
              </w:rPr>
              <w:t>LaletDesign</w:t>
            </w:r>
          </w:p>
        </w:tc>
        <w:tc>
          <w:tcPr>
            <w:tcW w:w="5044" w:type="dxa"/>
          </w:tcPr>
          <w:p>
            <w:pPr>
              <w:pStyle w:val="TableParagraph"/>
              <w:rPr>
                <w:sz w:val="20"/>
              </w:rPr>
            </w:pPr>
            <w:r>
              <w:rPr>
                <w:sz w:val="20"/>
              </w:rPr>
              <w:t>https</w:t>
            </w:r>
            <w:hyperlink r:id="rId288">
              <w:r>
                <w:rPr>
                  <w:sz w:val="20"/>
                </w:rPr>
                <w:t>://www.</w:t>
              </w:r>
            </w:hyperlink>
            <w:r>
              <w:rPr>
                <w:sz w:val="20"/>
              </w:rPr>
              <w:t>ets</w:t>
            </w:r>
            <w:hyperlink r:id="rId288">
              <w:r>
                <w:rPr>
                  <w:sz w:val="20"/>
                </w:rPr>
                <w:t>y.com/shop/LaletDesign</w:t>
              </w:r>
            </w:hyperlink>
          </w:p>
        </w:tc>
      </w:tr>
      <w:tr>
        <w:trPr>
          <w:trHeight w:val="287" w:hRule="atLeast"/>
        </w:trPr>
        <w:tc>
          <w:tcPr>
            <w:tcW w:w="960" w:type="dxa"/>
          </w:tcPr>
          <w:p>
            <w:pPr>
              <w:pStyle w:val="TableParagraph"/>
              <w:rPr>
                <w:sz w:val="20"/>
              </w:rPr>
            </w:pPr>
            <w:r>
              <w:rPr>
                <w:sz w:val="20"/>
              </w:rPr>
              <w:t>72</w:t>
            </w:r>
          </w:p>
        </w:tc>
        <w:tc>
          <w:tcPr>
            <w:tcW w:w="2461" w:type="dxa"/>
          </w:tcPr>
          <w:p>
            <w:pPr>
              <w:pStyle w:val="TableParagraph"/>
              <w:rPr>
                <w:sz w:val="20"/>
              </w:rPr>
            </w:pPr>
            <w:r>
              <w:rPr>
                <w:sz w:val="20"/>
              </w:rPr>
              <w:t>LilNells</w:t>
            </w:r>
          </w:p>
        </w:tc>
        <w:tc>
          <w:tcPr>
            <w:tcW w:w="5044" w:type="dxa"/>
          </w:tcPr>
          <w:p>
            <w:pPr>
              <w:pStyle w:val="TableParagraph"/>
              <w:rPr>
                <w:sz w:val="20"/>
              </w:rPr>
            </w:pPr>
            <w:r>
              <w:rPr>
                <w:sz w:val="20"/>
              </w:rPr>
              <w:t>https</w:t>
            </w:r>
            <w:hyperlink r:id="rId289">
              <w:r>
                <w:rPr>
                  <w:sz w:val="20"/>
                </w:rPr>
                <w:t>://www.</w:t>
              </w:r>
            </w:hyperlink>
            <w:r>
              <w:rPr>
                <w:sz w:val="20"/>
              </w:rPr>
              <w:t>ets</w:t>
            </w:r>
            <w:hyperlink r:id="rId289">
              <w:r>
                <w:rPr>
                  <w:sz w:val="20"/>
                </w:rPr>
                <w:t>y.com/shop/LilNells</w:t>
              </w:r>
            </w:hyperlink>
          </w:p>
        </w:tc>
      </w:tr>
      <w:tr>
        <w:trPr>
          <w:trHeight w:val="287" w:hRule="atLeast"/>
        </w:trPr>
        <w:tc>
          <w:tcPr>
            <w:tcW w:w="960" w:type="dxa"/>
          </w:tcPr>
          <w:p>
            <w:pPr>
              <w:pStyle w:val="TableParagraph"/>
              <w:rPr>
                <w:sz w:val="20"/>
              </w:rPr>
            </w:pPr>
            <w:r>
              <w:rPr>
                <w:sz w:val="20"/>
              </w:rPr>
              <w:t>73</w:t>
            </w:r>
          </w:p>
        </w:tc>
        <w:tc>
          <w:tcPr>
            <w:tcW w:w="2461" w:type="dxa"/>
          </w:tcPr>
          <w:p>
            <w:pPr>
              <w:pStyle w:val="TableParagraph"/>
              <w:rPr>
                <w:sz w:val="20"/>
              </w:rPr>
            </w:pPr>
            <w:r>
              <w:rPr>
                <w:sz w:val="20"/>
              </w:rPr>
              <w:t>LoveBuiltShop</w:t>
            </w:r>
          </w:p>
        </w:tc>
        <w:tc>
          <w:tcPr>
            <w:tcW w:w="5044" w:type="dxa"/>
          </w:tcPr>
          <w:p>
            <w:pPr>
              <w:pStyle w:val="TableParagraph"/>
              <w:rPr>
                <w:sz w:val="20"/>
              </w:rPr>
            </w:pPr>
            <w:r>
              <w:rPr>
                <w:sz w:val="20"/>
              </w:rPr>
              <w:t>https</w:t>
            </w:r>
            <w:hyperlink r:id="rId290">
              <w:r>
                <w:rPr>
                  <w:sz w:val="20"/>
                </w:rPr>
                <w:t>://www.</w:t>
              </w:r>
            </w:hyperlink>
            <w:r>
              <w:rPr>
                <w:sz w:val="20"/>
              </w:rPr>
              <w:t>ets</w:t>
            </w:r>
            <w:hyperlink r:id="rId290">
              <w:r>
                <w:rPr>
                  <w:sz w:val="20"/>
                </w:rPr>
                <w:t>y.com/shop/LoveBuiltShop</w:t>
              </w:r>
            </w:hyperlink>
          </w:p>
        </w:tc>
      </w:tr>
      <w:tr>
        <w:trPr>
          <w:trHeight w:val="287" w:hRule="atLeast"/>
        </w:trPr>
        <w:tc>
          <w:tcPr>
            <w:tcW w:w="960" w:type="dxa"/>
          </w:tcPr>
          <w:p>
            <w:pPr>
              <w:pStyle w:val="TableParagraph"/>
              <w:rPr>
                <w:sz w:val="20"/>
              </w:rPr>
            </w:pPr>
            <w:r>
              <w:rPr>
                <w:sz w:val="20"/>
              </w:rPr>
              <w:t>74</w:t>
            </w:r>
          </w:p>
        </w:tc>
        <w:tc>
          <w:tcPr>
            <w:tcW w:w="2461" w:type="dxa"/>
          </w:tcPr>
          <w:p>
            <w:pPr>
              <w:pStyle w:val="TableParagraph"/>
              <w:rPr>
                <w:sz w:val="20"/>
              </w:rPr>
            </w:pPr>
            <w:r>
              <w:rPr>
                <w:sz w:val="20"/>
              </w:rPr>
              <w:t>LoveJoyCreate</w:t>
            </w:r>
          </w:p>
        </w:tc>
        <w:tc>
          <w:tcPr>
            <w:tcW w:w="5044" w:type="dxa"/>
          </w:tcPr>
          <w:p>
            <w:pPr>
              <w:pStyle w:val="TableParagraph"/>
              <w:rPr>
                <w:sz w:val="20"/>
              </w:rPr>
            </w:pPr>
            <w:r>
              <w:rPr>
                <w:sz w:val="20"/>
              </w:rPr>
              <w:t>https</w:t>
            </w:r>
            <w:hyperlink r:id="rId291">
              <w:r>
                <w:rPr>
                  <w:sz w:val="20"/>
                </w:rPr>
                <w:t>://www.</w:t>
              </w:r>
            </w:hyperlink>
            <w:r>
              <w:rPr>
                <w:sz w:val="20"/>
              </w:rPr>
              <w:t>ets</w:t>
            </w:r>
            <w:hyperlink r:id="rId291">
              <w:r>
                <w:rPr>
                  <w:sz w:val="20"/>
                </w:rPr>
                <w:t>y.com/shop/LoveJoyCreate</w:t>
              </w:r>
            </w:hyperlink>
          </w:p>
        </w:tc>
      </w:tr>
      <w:tr>
        <w:trPr>
          <w:trHeight w:val="287" w:hRule="atLeast"/>
        </w:trPr>
        <w:tc>
          <w:tcPr>
            <w:tcW w:w="960" w:type="dxa"/>
          </w:tcPr>
          <w:p>
            <w:pPr>
              <w:pStyle w:val="TableParagraph"/>
              <w:rPr>
                <w:sz w:val="20"/>
              </w:rPr>
            </w:pPr>
            <w:r>
              <w:rPr>
                <w:sz w:val="20"/>
              </w:rPr>
              <w:t>75</w:t>
            </w:r>
          </w:p>
        </w:tc>
        <w:tc>
          <w:tcPr>
            <w:tcW w:w="2461" w:type="dxa"/>
          </w:tcPr>
          <w:p>
            <w:pPr>
              <w:pStyle w:val="TableParagraph"/>
              <w:rPr>
                <w:sz w:val="20"/>
              </w:rPr>
            </w:pPr>
            <w:r>
              <w:rPr>
                <w:sz w:val="20"/>
              </w:rPr>
              <w:t>LOVEKNITCROCHET</w:t>
            </w:r>
          </w:p>
        </w:tc>
        <w:tc>
          <w:tcPr>
            <w:tcW w:w="5044" w:type="dxa"/>
          </w:tcPr>
          <w:p>
            <w:pPr>
              <w:pStyle w:val="TableParagraph"/>
              <w:rPr>
                <w:sz w:val="20"/>
              </w:rPr>
            </w:pPr>
            <w:r>
              <w:rPr>
                <w:sz w:val="20"/>
              </w:rPr>
              <w:t>https</w:t>
            </w:r>
            <w:hyperlink r:id="rId292">
              <w:r>
                <w:rPr>
                  <w:sz w:val="20"/>
                </w:rPr>
                <w:t>://www.</w:t>
              </w:r>
            </w:hyperlink>
            <w:r>
              <w:rPr>
                <w:sz w:val="20"/>
              </w:rPr>
              <w:t>ets</w:t>
            </w:r>
            <w:hyperlink r:id="rId292">
              <w:r>
                <w:rPr>
                  <w:sz w:val="20"/>
                </w:rPr>
                <w:t>y.com/shop/LOVEKNITCROCHET</w:t>
              </w:r>
            </w:hyperlink>
          </w:p>
        </w:tc>
      </w:tr>
      <w:tr>
        <w:trPr>
          <w:trHeight w:val="290" w:hRule="atLeast"/>
        </w:trPr>
        <w:tc>
          <w:tcPr>
            <w:tcW w:w="960" w:type="dxa"/>
          </w:tcPr>
          <w:p>
            <w:pPr>
              <w:pStyle w:val="TableParagraph"/>
              <w:rPr>
                <w:sz w:val="20"/>
              </w:rPr>
            </w:pPr>
            <w:r>
              <w:rPr>
                <w:sz w:val="20"/>
              </w:rPr>
              <w:t>76</w:t>
            </w:r>
          </w:p>
        </w:tc>
        <w:tc>
          <w:tcPr>
            <w:tcW w:w="2461" w:type="dxa"/>
          </w:tcPr>
          <w:p>
            <w:pPr>
              <w:pStyle w:val="TableParagraph"/>
              <w:rPr>
                <w:sz w:val="20"/>
              </w:rPr>
            </w:pPr>
            <w:r>
              <w:rPr>
                <w:sz w:val="20"/>
              </w:rPr>
              <w:t>LunaSavita</w:t>
            </w:r>
          </w:p>
        </w:tc>
        <w:tc>
          <w:tcPr>
            <w:tcW w:w="5044" w:type="dxa"/>
          </w:tcPr>
          <w:p>
            <w:pPr>
              <w:pStyle w:val="TableParagraph"/>
              <w:rPr>
                <w:sz w:val="20"/>
              </w:rPr>
            </w:pPr>
            <w:r>
              <w:rPr>
                <w:sz w:val="20"/>
              </w:rPr>
              <w:t>https</w:t>
            </w:r>
            <w:hyperlink r:id="rId293">
              <w:r>
                <w:rPr>
                  <w:sz w:val="20"/>
                </w:rPr>
                <w:t>://www.</w:t>
              </w:r>
            </w:hyperlink>
            <w:r>
              <w:rPr>
                <w:sz w:val="20"/>
              </w:rPr>
              <w:t>ets</w:t>
            </w:r>
            <w:hyperlink r:id="rId293">
              <w:r>
                <w:rPr>
                  <w:sz w:val="20"/>
                </w:rPr>
                <w:t>y.com/shop/LunaSavita</w:t>
              </w:r>
            </w:hyperlink>
          </w:p>
        </w:tc>
      </w:tr>
      <w:tr>
        <w:trPr>
          <w:trHeight w:val="288" w:hRule="atLeast"/>
        </w:trPr>
        <w:tc>
          <w:tcPr>
            <w:tcW w:w="960" w:type="dxa"/>
          </w:tcPr>
          <w:p>
            <w:pPr>
              <w:pStyle w:val="TableParagraph"/>
              <w:rPr>
                <w:sz w:val="20"/>
              </w:rPr>
            </w:pPr>
            <w:r>
              <w:rPr>
                <w:sz w:val="20"/>
              </w:rPr>
              <w:t>77</w:t>
            </w:r>
          </w:p>
        </w:tc>
        <w:tc>
          <w:tcPr>
            <w:tcW w:w="2461" w:type="dxa"/>
          </w:tcPr>
          <w:p>
            <w:pPr>
              <w:pStyle w:val="TableParagraph"/>
              <w:rPr>
                <w:sz w:val="20"/>
              </w:rPr>
            </w:pPr>
            <w:r>
              <w:rPr>
                <w:sz w:val="20"/>
              </w:rPr>
              <w:t>MagicalBeansHome</w:t>
            </w:r>
          </w:p>
        </w:tc>
        <w:tc>
          <w:tcPr>
            <w:tcW w:w="5044" w:type="dxa"/>
          </w:tcPr>
          <w:p>
            <w:pPr>
              <w:pStyle w:val="TableParagraph"/>
              <w:rPr>
                <w:sz w:val="20"/>
              </w:rPr>
            </w:pPr>
            <w:r>
              <w:rPr>
                <w:sz w:val="20"/>
              </w:rPr>
              <w:t>https</w:t>
            </w:r>
            <w:hyperlink r:id="rId294">
              <w:r>
                <w:rPr>
                  <w:sz w:val="20"/>
                </w:rPr>
                <w:t>://www.</w:t>
              </w:r>
            </w:hyperlink>
            <w:r>
              <w:rPr>
                <w:sz w:val="20"/>
              </w:rPr>
              <w:t>ets</w:t>
            </w:r>
            <w:hyperlink r:id="rId294">
              <w:r>
                <w:rPr>
                  <w:sz w:val="20"/>
                </w:rPr>
                <w:t>y.com/shop/MagicalBeansHome</w:t>
              </w:r>
            </w:hyperlink>
          </w:p>
        </w:tc>
      </w:tr>
      <w:tr>
        <w:trPr>
          <w:trHeight w:val="287" w:hRule="atLeast"/>
        </w:trPr>
        <w:tc>
          <w:tcPr>
            <w:tcW w:w="960" w:type="dxa"/>
          </w:tcPr>
          <w:p>
            <w:pPr>
              <w:pStyle w:val="TableParagraph"/>
              <w:rPr>
                <w:sz w:val="20"/>
              </w:rPr>
            </w:pPr>
            <w:r>
              <w:rPr>
                <w:sz w:val="20"/>
              </w:rPr>
              <w:t>78</w:t>
            </w:r>
          </w:p>
        </w:tc>
        <w:tc>
          <w:tcPr>
            <w:tcW w:w="2461" w:type="dxa"/>
          </w:tcPr>
          <w:p>
            <w:pPr>
              <w:pStyle w:val="TableParagraph"/>
              <w:rPr>
                <w:sz w:val="20"/>
              </w:rPr>
            </w:pPr>
            <w:r>
              <w:rPr>
                <w:sz w:val="20"/>
              </w:rPr>
              <w:t>MareWeddingJewelry</w:t>
            </w:r>
          </w:p>
        </w:tc>
        <w:tc>
          <w:tcPr>
            <w:tcW w:w="5044" w:type="dxa"/>
          </w:tcPr>
          <w:p>
            <w:pPr>
              <w:pStyle w:val="TableParagraph"/>
              <w:rPr>
                <w:sz w:val="20"/>
              </w:rPr>
            </w:pPr>
            <w:r>
              <w:rPr>
                <w:sz w:val="20"/>
              </w:rPr>
              <w:t>https</w:t>
            </w:r>
            <w:hyperlink r:id="rId295">
              <w:r>
                <w:rPr>
                  <w:sz w:val="20"/>
                </w:rPr>
                <w:t>://www.</w:t>
              </w:r>
            </w:hyperlink>
            <w:r>
              <w:rPr>
                <w:sz w:val="20"/>
              </w:rPr>
              <w:t>ets</w:t>
            </w:r>
            <w:hyperlink r:id="rId295">
              <w:r>
                <w:rPr>
                  <w:sz w:val="20"/>
                </w:rPr>
                <w:t>y.com/shop/MareWeddingJewelry</w:t>
              </w:r>
            </w:hyperlink>
          </w:p>
        </w:tc>
      </w:tr>
      <w:tr>
        <w:trPr>
          <w:trHeight w:val="287" w:hRule="atLeast"/>
        </w:trPr>
        <w:tc>
          <w:tcPr>
            <w:tcW w:w="960" w:type="dxa"/>
          </w:tcPr>
          <w:p>
            <w:pPr>
              <w:pStyle w:val="TableParagraph"/>
              <w:rPr>
                <w:sz w:val="20"/>
              </w:rPr>
            </w:pPr>
            <w:r>
              <w:rPr>
                <w:sz w:val="20"/>
              </w:rPr>
              <w:t>79</w:t>
            </w:r>
          </w:p>
        </w:tc>
        <w:tc>
          <w:tcPr>
            <w:tcW w:w="2461" w:type="dxa"/>
          </w:tcPr>
          <w:p>
            <w:pPr>
              <w:pStyle w:val="TableParagraph"/>
              <w:rPr>
                <w:sz w:val="20"/>
              </w:rPr>
            </w:pPr>
            <w:r>
              <w:rPr>
                <w:sz w:val="20"/>
              </w:rPr>
              <w:t>Marumakids</w:t>
            </w:r>
          </w:p>
        </w:tc>
        <w:tc>
          <w:tcPr>
            <w:tcW w:w="5044" w:type="dxa"/>
          </w:tcPr>
          <w:p>
            <w:pPr>
              <w:pStyle w:val="TableParagraph"/>
              <w:rPr>
                <w:sz w:val="20"/>
              </w:rPr>
            </w:pPr>
            <w:r>
              <w:rPr>
                <w:sz w:val="20"/>
              </w:rPr>
              <w:t>https</w:t>
            </w:r>
            <w:hyperlink r:id="rId296">
              <w:r>
                <w:rPr>
                  <w:sz w:val="20"/>
                </w:rPr>
                <w:t>://www.</w:t>
              </w:r>
            </w:hyperlink>
            <w:r>
              <w:rPr>
                <w:sz w:val="20"/>
              </w:rPr>
              <w:t>ets</w:t>
            </w:r>
            <w:hyperlink r:id="rId296">
              <w:r>
                <w:rPr>
                  <w:sz w:val="20"/>
                </w:rPr>
                <w:t>y.com/shop/Marumakids</w:t>
              </w:r>
            </w:hyperlink>
          </w:p>
        </w:tc>
      </w:tr>
      <w:tr>
        <w:trPr>
          <w:trHeight w:val="287" w:hRule="atLeast"/>
        </w:trPr>
        <w:tc>
          <w:tcPr>
            <w:tcW w:w="960" w:type="dxa"/>
          </w:tcPr>
          <w:p>
            <w:pPr>
              <w:pStyle w:val="TableParagraph"/>
              <w:rPr>
                <w:sz w:val="20"/>
              </w:rPr>
            </w:pPr>
            <w:r>
              <w:rPr>
                <w:sz w:val="20"/>
              </w:rPr>
              <w:t>80</w:t>
            </w:r>
          </w:p>
        </w:tc>
        <w:tc>
          <w:tcPr>
            <w:tcW w:w="2461" w:type="dxa"/>
          </w:tcPr>
          <w:p>
            <w:pPr>
              <w:pStyle w:val="TableParagraph"/>
              <w:rPr>
                <w:sz w:val="20"/>
              </w:rPr>
            </w:pPr>
            <w:r>
              <w:rPr>
                <w:sz w:val="20"/>
              </w:rPr>
              <w:t>mertakkul</w:t>
            </w:r>
          </w:p>
        </w:tc>
        <w:tc>
          <w:tcPr>
            <w:tcW w:w="5044" w:type="dxa"/>
          </w:tcPr>
          <w:p>
            <w:pPr>
              <w:pStyle w:val="TableParagraph"/>
              <w:rPr>
                <w:sz w:val="20"/>
              </w:rPr>
            </w:pPr>
            <w:r>
              <w:rPr>
                <w:sz w:val="20"/>
              </w:rPr>
              <w:t>https</w:t>
            </w:r>
            <w:hyperlink r:id="rId297">
              <w:r>
                <w:rPr>
                  <w:sz w:val="20"/>
                </w:rPr>
                <w:t>://www.</w:t>
              </w:r>
            </w:hyperlink>
            <w:r>
              <w:rPr>
                <w:sz w:val="20"/>
              </w:rPr>
              <w:t>ets</w:t>
            </w:r>
            <w:hyperlink r:id="rId297">
              <w:r>
                <w:rPr>
                  <w:sz w:val="20"/>
                </w:rPr>
                <w:t>y.com/shop/mertakkul</w:t>
              </w:r>
            </w:hyperlink>
          </w:p>
        </w:tc>
      </w:tr>
      <w:tr>
        <w:trPr>
          <w:trHeight w:val="287" w:hRule="atLeast"/>
        </w:trPr>
        <w:tc>
          <w:tcPr>
            <w:tcW w:w="960" w:type="dxa"/>
          </w:tcPr>
          <w:p>
            <w:pPr>
              <w:pStyle w:val="TableParagraph"/>
              <w:rPr>
                <w:sz w:val="20"/>
              </w:rPr>
            </w:pPr>
            <w:r>
              <w:rPr>
                <w:sz w:val="20"/>
              </w:rPr>
              <w:t>81</w:t>
            </w:r>
          </w:p>
        </w:tc>
        <w:tc>
          <w:tcPr>
            <w:tcW w:w="2461" w:type="dxa"/>
          </w:tcPr>
          <w:p>
            <w:pPr>
              <w:pStyle w:val="TableParagraph"/>
              <w:rPr>
                <w:sz w:val="20"/>
              </w:rPr>
            </w:pPr>
            <w:r>
              <w:rPr>
                <w:sz w:val="20"/>
              </w:rPr>
              <w:t>Miaudesignco</w:t>
            </w:r>
          </w:p>
        </w:tc>
        <w:tc>
          <w:tcPr>
            <w:tcW w:w="5044" w:type="dxa"/>
          </w:tcPr>
          <w:p>
            <w:pPr>
              <w:pStyle w:val="TableParagraph"/>
              <w:rPr>
                <w:sz w:val="20"/>
              </w:rPr>
            </w:pPr>
            <w:r>
              <w:rPr>
                <w:sz w:val="20"/>
              </w:rPr>
              <w:t>https</w:t>
            </w:r>
            <w:hyperlink r:id="rId298">
              <w:r>
                <w:rPr>
                  <w:sz w:val="20"/>
                </w:rPr>
                <w:t>://www.</w:t>
              </w:r>
            </w:hyperlink>
            <w:r>
              <w:rPr>
                <w:sz w:val="20"/>
              </w:rPr>
              <w:t>ets</w:t>
            </w:r>
            <w:hyperlink r:id="rId298">
              <w:r>
                <w:rPr>
                  <w:sz w:val="20"/>
                </w:rPr>
                <w:t>y.com/shop/Miaudesignco</w:t>
              </w:r>
            </w:hyperlink>
          </w:p>
        </w:tc>
      </w:tr>
      <w:tr>
        <w:trPr>
          <w:trHeight w:val="290" w:hRule="atLeast"/>
        </w:trPr>
        <w:tc>
          <w:tcPr>
            <w:tcW w:w="960" w:type="dxa"/>
          </w:tcPr>
          <w:p>
            <w:pPr>
              <w:pStyle w:val="TableParagraph"/>
              <w:rPr>
                <w:sz w:val="20"/>
              </w:rPr>
            </w:pPr>
            <w:r>
              <w:rPr>
                <w:sz w:val="20"/>
              </w:rPr>
              <w:t>82</w:t>
            </w:r>
          </w:p>
        </w:tc>
        <w:tc>
          <w:tcPr>
            <w:tcW w:w="2461" w:type="dxa"/>
          </w:tcPr>
          <w:p>
            <w:pPr>
              <w:pStyle w:val="TableParagraph"/>
              <w:rPr>
                <w:sz w:val="20"/>
              </w:rPr>
            </w:pPr>
            <w:r>
              <w:rPr>
                <w:sz w:val="20"/>
              </w:rPr>
              <w:t>MimiandGigiGifts</w:t>
            </w:r>
          </w:p>
        </w:tc>
        <w:tc>
          <w:tcPr>
            <w:tcW w:w="5044" w:type="dxa"/>
          </w:tcPr>
          <w:p>
            <w:pPr>
              <w:pStyle w:val="TableParagraph"/>
              <w:rPr>
                <w:sz w:val="20"/>
              </w:rPr>
            </w:pPr>
            <w:r>
              <w:rPr>
                <w:sz w:val="20"/>
              </w:rPr>
              <w:t>https</w:t>
            </w:r>
            <w:hyperlink r:id="rId299">
              <w:r>
                <w:rPr>
                  <w:sz w:val="20"/>
                </w:rPr>
                <w:t>://www.</w:t>
              </w:r>
            </w:hyperlink>
            <w:r>
              <w:rPr>
                <w:sz w:val="20"/>
              </w:rPr>
              <w:t>ets</w:t>
            </w:r>
            <w:hyperlink r:id="rId299">
              <w:r>
                <w:rPr>
                  <w:sz w:val="20"/>
                </w:rPr>
                <w:t>y.com/shop/MimiandGigiGifts</w:t>
              </w:r>
            </w:hyperlink>
          </w:p>
        </w:tc>
      </w:tr>
      <w:tr>
        <w:trPr>
          <w:trHeight w:val="287" w:hRule="atLeast"/>
        </w:trPr>
        <w:tc>
          <w:tcPr>
            <w:tcW w:w="960" w:type="dxa"/>
          </w:tcPr>
          <w:p>
            <w:pPr>
              <w:pStyle w:val="TableParagraph"/>
              <w:rPr>
                <w:sz w:val="20"/>
              </w:rPr>
            </w:pPr>
            <w:r>
              <w:rPr>
                <w:sz w:val="20"/>
              </w:rPr>
              <w:t>83</w:t>
            </w:r>
          </w:p>
        </w:tc>
        <w:tc>
          <w:tcPr>
            <w:tcW w:w="2461" w:type="dxa"/>
          </w:tcPr>
          <w:p>
            <w:pPr>
              <w:pStyle w:val="TableParagraph"/>
              <w:rPr>
                <w:sz w:val="20"/>
              </w:rPr>
            </w:pPr>
            <w:r>
              <w:rPr>
                <w:sz w:val="20"/>
              </w:rPr>
              <w:t>Minicamplt</w:t>
            </w:r>
          </w:p>
        </w:tc>
        <w:tc>
          <w:tcPr>
            <w:tcW w:w="5044" w:type="dxa"/>
          </w:tcPr>
          <w:p>
            <w:pPr>
              <w:pStyle w:val="TableParagraph"/>
              <w:rPr>
                <w:sz w:val="20"/>
              </w:rPr>
            </w:pPr>
            <w:r>
              <w:rPr>
                <w:sz w:val="20"/>
              </w:rPr>
              <w:t>https</w:t>
            </w:r>
            <w:hyperlink r:id="rId300">
              <w:r>
                <w:rPr>
                  <w:sz w:val="20"/>
                </w:rPr>
                <w:t>://www.</w:t>
              </w:r>
            </w:hyperlink>
            <w:r>
              <w:rPr>
                <w:sz w:val="20"/>
              </w:rPr>
              <w:t>ets</w:t>
            </w:r>
            <w:hyperlink r:id="rId300">
              <w:r>
                <w:rPr>
                  <w:sz w:val="20"/>
                </w:rPr>
                <w:t>y.com/shop/Minicamplt</w:t>
              </w:r>
            </w:hyperlink>
          </w:p>
        </w:tc>
      </w:tr>
      <w:tr>
        <w:trPr>
          <w:trHeight w:val="287" w:hRule="atLeast"/>
        </w:trPr>
        <w:tc>
          <w:tcPr>
            <w:tcW w:w="960" w:type="dxa"/>
          </w:tcPr>
          <w:p>
            <w:pPr>
              <w:pStyle w:val="TableParagraph"/>
              <w:rPr>
                <w:sz w:val="20"/>
              </w:rPr>
            </w:pPr>
            <w:r>
              <w:rPr>
                <w:sz w:val="20"/>
              </w:rPr>
              <w:t>84</w:t>
            </w:r>
          </w:p>
        </w:tc>
        <w:tc>
          <w:tcPr>
            <w:tcW w:w="2461" w:type="dxa"/>
          </w:tcPr>
          <w:p>
            <w:pPr>
              <w:pStyle w:val="TableParagraph"/>
              <w:rPr>
                <w:sz w:val="20"/>
              </w:rPr>
            </w:pPr>
            <w:r>
              <w:rPr>
                <w:sz w:val="20"/>
              </w:rPr>
              <w:t>missJoyka</w:t>
            </w:r>
          </w:p>
        </w:tc>
        <w:tc>
          <w:tcPr>
            <w:tcW w:w="5044" w:type="dxa"/>
          </w:tcPr>
          <w:p>
            <w:pPr>
              <w:pStyle w:val="TableParagraph"/>
              <w:rPr>
                <w:sz w:val="20"/>
              </w:rPr>
            </w:pPr>
            <w:r>
              <w:rPr>
                <w:sz w:val="20"/>
              </w:rPr>
              <w:t>https</w:t>
            </w:r>
            <w:hyperlink r:id="rId301">
              <w:r>
                <w:rPr>
                  <w:sz w:val="20"/>
                </w:rPr>
                <w:t>://www.</w:t>
              </w:r>
            </w:hyperlink>
            <w:r>
              <w:rPr>
                <w:sz w:val="20"/>
              </w:rPr>
              <w:t>ets</w:t>
            </w:r>
            <w:hyperlink r:id="rId301">
              <w:r>
                <w:rPr>
                  <w:sz w:val="20"/>
                </w:rPr>
                <w:t>y.com/shop/missJoyka</w:t>
              </w:r>
            </w:hyperlink>
          </w:p>
        </w:tc>
      </w:tr>
    </w:tbl>
    <w:p>
      <w:pPr>
        <w:spacing w:after="0"/>
        <w:rPr>
          <w:sz w:val="20"/>
        </w:rPr>
        <w:sectPr>
          <w:pgSz w:w="12240" w:h="15840"/>
          <w:pgMar w:header="718" w:footer="0" w:top="1320" w:bottom="280" w:left="1720" w:right="1020"/>
        </w:sectPr>
      </w:pPr>
    </w:p>
    <w:p>
      <w:pPr>
        <w:pStyle w:val="BodyText"/>
        <w:ind w:left="0"/>
        <w:jc w:val="left"/>
        <w:rPr>
          <w:b/>
          <w:sz w:val="7"/>
        </w:rPr>
      </w:pPr>
    </w:p>
    <w:tbl>
      <w:tblPr>
        <w:tblW w:w="0" w:type="auto"/>
        <w:jc w:val="lef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2461"/>
        <w:gridCol w:w="5044"/>
      </w:tblGrid>
      <w:tr>
        <w:trPr>
          <w:trHeight w:val="287" w:hRule="atLeast"/>
        </w:trPr>
        <w:tc>
          <w:tcPr>
            <w:tcW w:w="960" w:type="dxa"/>
          </w:tcPr>
          <w:p>
            <w:pPr>
              <w:pStyle w:val="TableParagraph"/>
              <w:rPr>
                <w:sz w:val="20"/>
              </w:rPr>
            </w:pPr>
            <w:r>
              <w:rPr>
                <w:sz w:val="20"/>
              </w:rPr>
              <w:t>85</w:t>
            </w:r>
          </w:p>
        </w:tc>
        <w:tc>
          <w:tcPr>
            <w:tcW w:w="2461" w:type="dxa"/>
          </w:tcPr>
          <w:p>
            <w:pPr>
              <w:pStyle w:val="TableParagraph"/>
              <w:rPr>
                <w:sz w:val="20"/>
              </w:rPr>
            </w:pPr>
            <w:r>
              <w:rPr>
                <w:sz w:val="20"/>
              </w:rPr>
              <w:t>mkclassyprints</w:t>
            </w:r>
          </w:p>
        </w:tc>
        <w:tc>
          <w:tcPr>
            <w:tcW w:w="5044" w:type="dxa"/>
          </w:tcPr>
          <w:p>
            <w:pPr>
              <w:pStyle w:val="TableParagraph"/>
              <w:rPr>
                <w:sz w:val="20"/>
              </w:rPr>
            </w:pPr>
            <w:r>
              <w:rPr>
                <w:sz w:val="20"/>
              </w:rPr>
              <w:t>https</w:t>
            </w:r>
            <w:hyperlink r:id="rId302">
              <w:r>
                <w:rPr>
                  <w:sz w:val="20"/>
                </w:rPr>
                <w:t>://www.</w:t>
              </w:r>
            </w:hyperlink>
            <w:r>
              <w:rPr>
                <w:sz w:val="20"/>
              </w:rPr>
              <w:t>ets</w:t>
            </w:r>
            <w:hyperlink r:id="rId302">
              <w:r>
                <w:rPr>
                  <w:sz w:val="20"/>
                </w:rPr>
                <w:t>y.com/shop/mkclassyprints</w:t>
              </w:r>
            </w:hyperlink>
          </w:p>
        </w:tc>
      </w:tr>
      <w:tr>
        <w:trPr>
          <w:trHeight w:val="287" w:hRule="atLeast"/>
        </w:trPr>
        <w:tc>
          <w:tcPr>
            <w:tcW w:w="960" w:type="dxa"/>
          </w:tcPr>
          <w:p>
            <w:pPr>
              <w:pStyle w:val="TableParagraph"/>
              <w:rPr>
                <w:sz w:val="20"/>
              </w:rPr>
            </w:pPr>
            <w:r>
              <w:rPr>
                <w:sz w:val="20"/>
              </w:rPr>
              <w:t>86</w:t>
            </w:r>
          </w:p>
        </w:tc>
        <w:tc>
          <w:tcPr>
            <w:tcW w:w="2461" w:type="dxa"/>
          </w:tcPr>
          <w:p>
            <w:pPr>
              <w:pStyle w:val="TableParagraph"/>
              <w:rPr>
                <w:sz w:val="20"/>
              </w:rPr>
            </w:pPr>
            <w:r>
              <w:rPr>
                <w:sz w:val="20"/>
              </w:rPr>
              <w:t>MKNapparel</w:t>
            </w:r>
          </w:p>
        </w:tc>
        <w:tc>
          <w:tcPr>
            <w:tcW w:w="5044" w:type="dxa"/>
          </w:tcPr>
          <w:p>
            <w:pPr>
              <w:pStyle w:val="TableParagraph"/>
              <w:rPr>
                <w:sz w:val="20"/>
              </w:rPr>
            </w:pPr>
            <w:r>
              <w:rPr>
                <w:sz w:val="20"/>
              </w:rPr>
              <w:t>https</w:t>
            </w:r>
            <w:hyperlink r:id="rId303">
              <w:r>
                <w:rPr>
                  <w:sz w:val="20"/>
                </w:rPr>
                <w:t>://www.</w:t>
              </w:r>
            </w:hyperlink>
            <w:r>
              <w:rPr>
                <w:sz w:val="20"/>
              </w:rPr>
              <w:t>ets</w:t>
            </w:r>
            <w:hyperlink r:id="rId303">
              <w:r>
                <w:rPr>
                  <w:sz w:val="20"/>
                </w:rPr>
                <w:t>y.com/shop/MKNapparel</w:t>
              </w:r>
            </w:hyperlink>
          </w:p>
        </w:tc>
      </w:tr>
      <w:tr>
        <w:trPr>
          <w:trHeight w:val="287" w:hRule="atLeast"/>
        </w:trPr>
        <w:tc>
          <w:tcPr>
            <w:tcW w:w="960" w:type="dxa"/>
          </w:tcPr>
          <w:p>
            <w:pPr>
              <w:pStyle w:val="TableParagraph"/>
              <w:rPr>
                <w:sz w:val="20"/>
              </w:rPr>
            </w:pPr>
            <w:r>
              <w:rPr>
                <w:sz w:val="20"/>
              </w:rPr>
              <w:t>87</w:t>
            </w:r>
          </w:p>
        </w:tc>
        <w:tc>
          <w:tcPr>
            <w:tcW w:w="2461" w:type="dxa"/>
          </w:tcPr>
          <w:p>
            <w:pPr>
              <w:pStyle w:val="TableParagraph"/>
              <w:rPr>
                <w:sz w:val="20"/>
              </w:rPr>
            </w:pPr>
            <w:r>
              <w:rPr>
                <w:sz w:val="20"/>
              </w:rPr>
              <w:t>MolaxChopa</w:t>
            </w:r>
          </w:p>
        </w:tc>
        <w:tc>
          <w:tcPr>
            <w:tcW w:w="5044" w:type="dxa"/>
          </w:tcPr>
          <w:p>
            <w:pPr>
              <w:pStyle w:val="TableParagraph"/>
              <w:rPr>
                <w:sz w:val="20"/>
              </w:rPr>
            </w:pPr>
            <w:r>
              <w:rPr>
                <w:sz w:val="20"/>
              </w:rPr>
              <w:t>https</w:t>
            </w:r>
            <w:hyperlink r:id="rId304">
              <w:r>
                <w:rPr>
                  <w:sz w:val="20"/>
                </w:rPr>
                <w:t>://www.</w:t>
              </w:r>
            </w:hyperlink>
            <w:r>
              <w:rPr>
                <w:sz w:val="20"/>
              </w:rPr>
              <w:t>ets</w:t>
            </w:r>
            <w:hyperlink r:id="rId304">
              <w:r>
                <w:rPr>
                  <w:sz w:val="20"/>
                </w:rPr>
                <w:t>y.com/shop/MolaxChopa</w:t>
              </w:r>
            </w:hyperlink>
          </w:p>
        </w:tc>
      </w:tr>
      <w:tr>
        <w:trPr>
          <w:trHeight w:val="287" w:hRule="atLeast"/>
        </w:trPr>
        <w:tc>
          <w:tcPr>
            <w:tcW w:w="960" w:type="dxa"/>
          </w:tcPr>
          <w:p>
            <w:pPr>
              <w:pStyle w:val="TableParagraph"/>
              <w:rPr>
                <w:sz w:val="20"/>
              </w:rPr>
            </w:pPr>
            <w:r>
              <w:rPr>
                <w:sz w:val="20"/>
              </w:rPr>
              <w:t>88</w:t>
            </w:r>
          </w:p>
        </w:tc>
        <w:tc>
          <w:tcPr>
            <w:tcW w:w="2461" w:type="dxa"/>
          </w:tcPr>
          <w:p>
            <w:pPr>
              <w:pStyle w:val="TableParagraph"/>
              <w:rPr>
                <w:sz w:val="20"/>
              </w:rPr>
            </w:pPr>
            <w:r>
              <w:rPr>
                <w:sz w:val="20"/>
              </w:rPr>
              <w:t>MoreUnusualTheBetter</w:t>
            </w:r>
          </w:p>
        </w:tc>
        <w:tc>
          <w:tcPr>
            <w:tcW w:w="5044" w:type="dxa"/>
          </w:tcPr>
          <w:p>
            <w:pPr>
              <w:pStyle w:val="TableParagraph"/>
              <w:rPr>
                <w:sz w:val="20"/>
              </w:rPr>
            </w:pPr>
            <w:r>
              <w:rPr>
                <w:sz w:val="20"/>
              </w:rPr>
              <w:t>https</w:t>
            </w:r>
            <w:hyperlink r:id="rId305">
              <w:r>
                <w:rPr>
                  <w:sz w:val="20"/>
                </w:rPr>
                <w:t>://www.</w:t>
              </w:r>
            </w:hyperlink>
            <w:r>
              <w:rPr>
                <w:sz w:val="20"/>
              </w:rPr>
              <w:t>ets</w:t>
            </w:r>
            <w:hyperlink r:id="rId305">
              <w:r>
                <w:rPr>
                  <w:sz w:val="20"/>
                </w:rPr>
                <w:t>y.com/shop/MoreUnusualTheBetter</w:t>
              </w:r>
            </w:hyperlink>
          </w:p>
        </w:tc>
      </w:tr>
      <w:tr>
        <w:trPr>
          <w:trHeight w:val="290" w:hRule="atLeast"/>
        </w:trPr>
        <w:tc>
          <w:tcPr>
            <w:tcW w:w="960" w:type="dxa"/>
          </w:tcPr>
          <w:p>
            <w:pPr>
              <w:pStyle w:val="TableParagraph"/>
              <w:rPr>
                <w:sz w:val="20"/>
              </w:rPr>
            </w:pPr>
            <w:r>
              <w:rPr>
                <w:sz w:val="20"/>
              </w:rPr>
              <w:t>89</w:t>
            </w:r>
          </w:p>
        </w:tc>
        <w:tc>
          <w:tcPr>
            <w:tcW w:w="2461" w:type="dxa"/>
          </w:tcPr>
          <w:p>
            <w:pPr>
              <w:pStyle w:val="TableParagraph"/>
              <w:rPr>
                <w:sz w:val="20"/>
              </w:rPr>
            </w:pPr>
            <w:r>
              <w:rPr>
                <w:sz w:val="20"/>
              </w:rPr>
              <w:t>MyFamilyDesign</w:t>
            </w:r>
          </w:p>
        </w:tc>
        <w:tc>
          <w:tcPr>
            <w:tcW w:w="5044" w:type="dxa"/>
          </w:tcPr>
          <w:p>
            <w:pPr>
              <w:pStyle w:val="TableParagraph"/>
              <w:rPr>
                <w:sz w:val="20"/>
              </w:rPr>
            </w:pPr>
            <w:r>
              <w:rPr>
                <w:sz w:val="20"/>
              </w:rPr>
              <w:t>https</w:t>
            </w:r>
            <w:hyperlink r:id="rId306">
              <w:r>
                <w:rPr>
                  <w:sz w:val="20"/>
                </w:rPr>
                <w:t>://www.</w:t>
              </w:r>
            </w:hyperlink>
            <w:r>
              <w:rPr>
                <w:sz w:val="20"/>
              </w:rPr>
              <w:t>ets</w:t>
            </w:r>
            <w:hyperlink r:id="rId306">
              <w:r>
                <w:rPr>
                  <w:sz w:val="20"/>
                </w:rPr>
                <w:t>y.com/shop/MyFamilyDesign</w:t>
              </w:r>
            </w:hyperlink>
          </w:p>
        </w:tc>
      </w:tr>
      <w:tr>
        <w:trPr>
          <w:trHeight w:val="287" w:hRule="atLeast"/>
        </w:trPr>
        <w:tc>
          <w:tcPr>
            <w:tcW w:w="960" w:type="dxa"/>
          </w:tcPr>
          <w:p>
            <w:pPr>
              <w:pStyle w:val="TableParagraph"/>
              <w:rPr>
                <w:sz w:val="20"/>
              </w:rPr>
            </w:pPr>
            <w:r>
              <w:rPr>
                <w:sz w:val="20"/>
              </w:rPr>
              <w:t>90</w:t>
            </w:r>
          </w:p>
        </w:tc>
        <w:tc>
          <w:tcPr>
            <w:tcW w:w="2461" w:type="dxa"/>
          </w:tcPr>
          <w:p>
            <w:pPr>
              <w:pStyle w:val="TableParagraph"/>
              <w:rPr>
                <w:sz w:val="20"/>
              </w:rPr>
            </w:pPr>
            <w:r>
              <w:rPr>
                <w:sz w:val="20"/>
              </w:rPr>
              <w:t>namedesignstudio</w:t>
            </w:r>
          </w:p>
        </w:tc>
        <w:tc>
          <w:tcPr>
            <w:tcW w:w="5044" w:type="dxa"/>
          </w:tcPr>
          <w:p>
            <w:pPr>
              <w:pStyle w:val="TableParagraph"/>
              <w:rPr>
                <w:sz w:val="20"/>
              </w:rPr>
            </w:pPr>
            <w:r>
              <w:rPr>
                <w:sz w:val="20"/>
              </w:rPr>
              <w:t>https</w:t>
            </w:r>
            <w:hyperlink r:id="rId307">
              <w:r>
                <w:rPr>
                  <w:sz w:val="20"/>
                </w:rPr>
                <w:t>://www.</w:t>
              </w:r>
            </w:hyperlink>
            <w:r>
              <w:rPr>
                <w:sz w:val="20"/>
              </w:rPr>
              <w:t>ets</w:t>
            </w:r>
            <w:hyperlink r:id="rId307">
              <w:r>
                <w:rPr>
                  <w:sz w:val="20"/>
                </w:rPr>
                <w:t>y.com/shop/namedesignstudio</w:t>
              </w:r>
            </w:hyperlink>
          </w:p>
        </w:tc>
      </w:tr>
      <w:tr>
        <w:trPr>
          <w:trHeight w:val="287" w:hRule="atLeast"/>
        </w:trPr>
        <w:tc>
          <w:tcPr>
            <w:tcW w:w="960" w:type="dxa"/>
          </w:tcPr>
          <w:p>
            <w:pPr>
              <w:pStyle w:val="TableParagraph"/>
              <w:rPr>
                <w:sz w:val="20"/>
              </w:rPr>
            </w:pPr>
            <w:r>
              <w:rPr>
                <w:sz w:val="20"/>
              </w:rPr>
              <w:t>91</w:t>
            </w:r>
          </w:p>
        </w:tc>
        <w:tc>
          <w:tcPr>
            <w:tcW w:w="2461" w:type="dxa"/>
          </w:tcPr>
          <w:p>
            <w:pPr>
              <w:pStyle w:val="TableParagraph"/>
              <w:rPr>
                <w:sz w:val="20"/>
              </w:rPr>
            </w:pPr>
            <w:r>
              <w:rPr>
                <w:sz w:val="20"/>
              </w:rPr>
              <w:t>neduk</w:t>
            </w:r>
          </w:p>
        </w:tc>
        <w:tc>
          <w:tcPr>
            <w:tcW w:w="5044" w:type="dxa"/>
          </w:tcPr>
          <w:p>
            <w:pPr>
              <w:pStyle w:val="TableParagraph"/>
              <w:rPr>
                <w:sz w:val="20"/>
              </w:rPr>
            </w:pPr>
            <w:r>
              <w:rPr>
                <w:sz w:val="20"/>
              </w:rPr>
              <w:t>https</w:t>
            </w:r>
            <w:hyperlink r:id="rId308">
              <w:r>
                <w:rPr>
                  <w:sz w:val="20"/>
                </w:rPr>
                <w:t>://www.</w:t>
              </w:r>
            </w:hyperlink>
            <w:r>
              <w:rPr>
                <w:sz w:val="20"/>
              </w:rPr>
              <w:t>ets</w:t>
            </w:r>
            <w:hyperlink r:id="rId308">
              <w:r>
                <w:rPr>
                  <w:sz w:val="20"/>
                </w:rPr>
                <w:t>y.com/shop/neduk</w:t>
              </w:r>
            </w:hyperlink>
          </w:p>
        </w:tc>
      </w:tr>
      <w:tr>
        <w:trPr>
          <w:trHeight w:val="287" w:hRule="atLeast"/>
        </w:trPr>
        <w:tc>
          <w:tcPr>
            <w:tcW w:w="960" w:type="dxa"/>
          </w:tcPr>
          <w:p>
            <w:pPr>
              <w:pStyle w:val="TableParagraph"/>
              <w:rPr>
                <w:sz w:val="20"/>
              </w:rPr>
            </w:pPr>
            <w:r>
              <w:rPr>
                <w:sz w:val="20"/>
              </w:rPr>
              <w:t>92</w:t>
            </w:r>
          </w:p>
        </w:tc>
        <w:tc>
          <w:tcPr>
            <w:tcW w:w="2461" w:type="dxa"/>
          </w:tcPr>
          <w:p>
            <w:pPr>
              <w:pStyle w:val="TableParagraph"/>
              <w:rPr>
                <w:sz w:val="20"/>
              </w:rPr>
            </w:pPr>
            <w:r>
              <w:rPr>
                <w:sz w:val="20"/>
              </w:rPr>
              <w:t>NeslisHandcrafts</w:t>
            </w:r>
          </w:p>
        </w:tc>
        <w:tc>
          <w:tcPr>
            <w:tcW w:w="5044" w:type="dxa"/>
          </w:tcPr>
          <w:p>
            <w:pPr>
              <w:pStyle w:val="TableParagraph"/>
              <w:rPr>
                <w:sz w:val="20"/>
              </w:rPr>
            </w:pPr>
            <w:r>
              <w:rPr>
                <w:sz w:val="20"/>
              </w:rPr>
              <w:t>https</w:t>
            </w:r>
            <w:hyperlink r:id="rId309">
              <w:r>
                <w:rPr>
                  <w:sz w:val="20"/>
                </w:rPr>
                <w:t>://www.</w:t>
              </w:r>
            </w:hyperlink>
            <w:r>
              <w:rPr>
                <w:sz w:val="20"/>
              </w:rPr>
              <w:t>ets</w:t>
            </w:r>
            <w:hyperlink r:id="rId309">
              <w:r>
                <w:rPr>
                  <w:sz w:val="20"/>
                </w:rPr>
                <w:t>y.com/shop/NeslisHandcrafts</w:t>
              </w:r>
            </w:hyperlink>
          </w:p>
        </w:tc>
      </w:tr>
      <w:tr>
        <w:trPr>
          <w:trHeight w:val="287" w:hRule="atLeast"/>
        </w:trPr>
        <w:tc>
          <w:tcPr>
            <w:tcW w:w="960" w:type="dxa"/>
          </w:tcPr>
          <w:p>
            <w:pPr>
              <w:pStyle w:val="TableParagraph"/>
              <w:rPr>
                <w:sz w:val="20"/>
              </w:rPr>
            </w:pPr>
            <w:r>
              <w:rPr>
                <w:sz w:val="20"/>
              </w:rPr>
              <w:t>93</w:t>
            </w:r>
          </w:p>
        </w:tc>
        <w:tc>
          <w:tcPr>
            <w:tcW w:w="2461" w:type="dxa"/>
          </w:tcPr>
          <w:p>
            <w:pPr>
              <w:pStyle w:val="TableParagraph"/>
              <w:rPr>
                <w:sz w:val="20"/>
              </w:rPr>
            </w:pPr>
            <w:r>
              <w:rPr>
                <w:sz w:val="20"/>
              </w:rPr>
              <w:t>ohannescorlu</w:t>
            </w:r>
          </w:p>
        </w:tc>
        <w:tc>
          <w:tcPr>
            <w:tcW w:w="5044" w:type="dxa"/>
          </w:tcPr>
          <w:p>
            <w:pPr>
              <w:pStyle w:val="TableParagraph"/>
              <w:rPr>
                <w:sz w:val="20"/>
              </w:rPr>
            </w:pPr>
            <w:r>
              <w:rPr>
                <w:sz w:val="20"/>
              </w:rPr>
              <w:t>https</w:t>
            </w:r>
            <w:hyperlink r:id="rId310">
              <w:r>
                <w:rPr>
                  <w:sz w:val="20"/>
                </w:rPr>
                <w:t>://www.</w:t>
              </w:r>
            </w:hyperlink>
            <w:r>
              <w:rPr>
                <w:sz w:val="20"/>
              </w:rPr>
              <w:t>ets</w:t>
            </w:r>
            <w:hyperlink r:id="rId310">
              <w:r>
                <w:rPr>
                  <w:sz w:val="20"/>
                </w:rPr>
                <w:t>y.com/shop/ohannescorlu</w:t>
              </w:r>
            </w:hyperlink>
          </w:p>
        </w:tc>
      </w:tr>
      <w:tr>
        <w:trPr>
          <w:trHeight w:val="287" w:hRule="atLeast"/>
        </w:trPr>
        <w:tc>
          <w:tcPr>
            <w:tcW w:w="960" w:type="dxa"/>
          </w:tcPr>
          <w:p>
            <w:pPr>
              <w:pStyle w:val="TableParagraph"/>
              <w:rPr>
                <w:sz w:val="20"/>
              </w:rPr>
            </w:pPr>
            <w:r>
              <w:rPr>
                <w:sz w:val="20"/>
              </w:rPr>
              <w:t>94</w:t>
            </w:r>
          </w:p>
        </w:tc>
        <w:tc>
          <w:tcPr>
            <w:tcW w:w="2461" w:type="dxa"/>
          </w:tcPr>
          <w:p>
            <w:pPr>
              <w:pStyle w:val="TableParagraph"/>
              <w:rPr>
                <w:sz w:val="20"/>
              </w:rPr>
            </w:pPr>
            <w:r>
              <w:rPr>
                <w:sz w:val="20"/>
              </w:rPr>
              <w:t>OhBettyLu</w:t>
            </w:r>
          </w:p>
        </w:tc>
        <w:tc>
          <w:tcPr>
            <w:tcW w:w="5044" w:type="dxa"/>
          </w:tcPr>
          <w:p>
            <w:pPr>
              <w:pStyle w:val="TableParagraph"/>
              <w:rPr>
                <w:sz w:val="20"/>
              </w:rPr>
            </w:pPr>
            <w:r>
              <w:rPr>
                <w:sz w:val="20"/>
              </w:rPr>
              <w:t>https</w:t>
            </w:r>
            <w:hyperlink r:id="rId311">
              <w:r>
                <w:rPr>
                  <w:sz w:val="20"/>
                </w:rPr>
                <w:t>://www.</w:t>
              </w:r>
            </w:hyperlink>
            <w:r>
              <w:rPr>
                <w:sz w:val="20"/>
              </w:rPr>
              <w:t>ets</w:t>
            </w:r>
            <w:hyperlink r:id="rId311">
              <w:r>
                <w:rPr>
                  <w:sz w:val="20"/>
                </w:rPr>
                <w:t>y.com/shop/OhBettyLu</w:t>
              </w:r>
            </w:hyperlink>
          </w:p>
        </w:tc>
      </w:tr>
      <w:tr>
        <w:trPr>
          <w:trHeight w:val="290" w:hRule="atLeast"/>
        </w:trPr>
        <w:tc>
          <w:tcPr>
            <w:tcW w:w="960" w:type="dxa"/>
          </w:tcPr>
          <w:p>
            <w:pPr>
              <w:pStyle w:val="TableParagraph"/>
              <w:rPr>
                <w:sz w:val="20"/>
              </w:rPr>
            </w:pPr>
            <w:r>
              <w:rPr>
                <w:sz w:val="20"/>
              </w:rPr>
              <w:t>95</w:t>
            </w:r>
          </w:p>
        </w:tc>
        <w:tc>
          <w:tcPr>
            <w:tcW w:w="2461" w:type="dxa"/>
          </w:tcPr>
          <w:p>
            <w:pPr>
              <w:pStyle w:val="TableParagraph"/>
              <w:rPr>
                <w:sz w:val="20"/>
              </w:rPr>
            </w:pPr>
            <w:r>
              <w:rPr>
                <w:sz w:val="20"/>
              </w:rPr>
              <w:t>OldOdditiesAndMore</w:t>
            </w:r>
          </w:p>
        </w:tc>
        <w:tc>
          <w:tcPr>
            <w:tcW w:w="5044" w:type="dxa"/>
          </w:tcPr>
          <w:p>
            <w:pPr>
              <w:pStyle w:val="TableParagraph"/>
              <w:rPr>
                <w:sz w:val="20"/>
              </w:rPr>
            </w:pPr>
            <w:r>
              <w:rPr>
                <w:sz w:val="20"/>
              </w:rPr>
              <w:t>https</w:t>
            </w:r>
            <w:hyperlink r:id="rId312">
              <w:r>
                <w:rPr>
                  <w:sz w:val="20"/>
                </w:rPr>
                <w:t>://www.</w:t>
              </w:r>
            </w:hyperlink>
            <w:r>
              <w:rPr>
                <w:sz w:val="20"/>
              </w:rPr>
              <w:t>ets</w:t>
            </w:r>
            <w:hyperlink r:id="rId312">
              <w:r>
                <w:rPr>
                  <w:sz w:val="20"/>
                </w:rPr>
                <w:t>y.com/shop/OldOdditiesAndMore</w:t>
              </w:r>
            </w:hyperlink>
          </w:p>
        </w:tc>
      </w:tr>
      <w:tr>
        <w:trPr>
          <w:trHeight w:val="287" w:hRule="atLeast"/>
        </w:trPr>
        <w:tc>
          <w:tcPr>
            <w:tcW w:w="960" w:type="dxa"/>
          </w:tcPr>
          <w:p>
            <w:pPr>
              <w:pStyle w:val="TableParagraph"/>
              <w:rPr>
                <w:sz w:val="20"/>
              </w:rPr>
            </w:pPr>
            <w:r>
              <w:rPr>
                <w:sz w:val="20"/>
              </w:rPr>
              <w:t>96</w:t>
            </w:r>
          </w:p>
        </w:tc>
        <w:tc>
          <w:tcPr>
            <w:tcW w:w="2461" w:type="dxa"/>
          </w:tcPr>
          <w:p>
            <w:pPr>
              <w:pStyle w:val="TableParagraph"/>
              <w:rPr>
                <w:sz w:val="20"/>
              </w:rPr>
            </w:pPr>
            <w:r>
              <w:rPr>
                <w:sz w:val="20"/>
              </w:rPr>
              <w:t>oldUSSRvintage</w:t>
            </w:r>
          </w:p>
        </w:tc>
        <w:tc>
          <w:tcPr>
            <w:tcW w:w="5044" w:type="dxa"/>
          </w:tcPr>
          <w:p>
            <w:pPr>
              <w:pStyle w:val="TableParagraph"/>
              <w:rPr>
                <w:sz w:val="20"/>
              </w:rPr>
            </w:pPr>
            <w:r>
              <w:rPr>
                <w:sz w:val="20"/>
              </w:rPr>
              <w:t>https</w:t>
            </w:r>
            <w:hyperlink r:id="rId313">
              <w:r>
                <w:rPr>
                  <w:sz w:val="20"/>
                </w:rPr>
                <w:t>://www.</w:t>
              </w:r>
            </w:hyperlink>
            <w:r>
              <w:rPr>
                <w:sz w:val="20"/>
              </w:rPr>
              <w:t>ets</w:t>
            </w:r>
            <w:hyperlink r:id="rId313">
              <w:r>
                <w:rPr>
                  <w:sz w:val="20"/>
                </w:rPr>
                <w:t>y.com/shop/oldUSSRvintage</w:t>
              </w:r>
            </w:hyperlink>
          </w:p>
        </w:tc>
      </w:tr>
      <w:tr>
        <w:trPr>
          <w:trHeight w:val="288" w:hRule="atLeast"/>
        </w:trPr>
        <w:tc>
          <w:tcPr>
            <w:tcW w:w="960" w:type="dxa"/>
          </w:tcPr>
          <w:p>
            <w:pPr>
              <w:pStyle w:val="TableParagraph"/>
              <w:spacing w:before="1"/>
              <w:rPr>
                <w:sz w:val="20"/>
              </w:rPr>
            </w:pPr>
            <w:r>
              <w:rPr>
                <w:sz w:val="20"/>
              </w:rPr>
              <w:t>97</w:t>
            </w:r>
          </w:p>
        </w:tc>
        <w:tc>
          <w:tcPr>
            <w:tcW w:w="2461" w:type="dxa"/>
          </w:tcPr>
          <w:p>
            <w:pPr>
              <w:pStyle w:val="TableParagraph"/>
              <w:spacing w:before="1"/>
              <w:rPr>
                <w:sz w:val="20"/>
              </w:rPr>
            </w:pPr>
            <w:r>
              <w:rPr>
                <w:sz w:val="20"/>
              </w:rPr>
              <w:t>OLGABRAVARD</w:t>
            </w:r>
          </w:p>
        </w:tc>
        <w:tc>
          <w:tcPr>
            <w:tcW w:w="5044" w:type="dxa"/>
          </w:tcPr>
          <w:p>
            <w:pPr>
              <w:pStyle w:val="TableParagraph"/>
              <w:spacing w:before="1"/>
              <w:rPr>
                <w:sz w:val="20"/>
              </w:rPr>
            </w:pPr>
            <w:r>
              <w:rPr>
                <w:sz w:val="20"/>
              </w:rPr>
              <w:t>https</w:t>
            </w:r>
            <w:hyperlink r:id="rId314">
              <w:r>
                <w:rPr>
                  <w:sz w:val="20"/>
                </w:rPr>
                <w:t>://www.</w:t>
              </w:r>
            </w:hyperlink>
            <w:r>
              <w:rPr>
                <w:sz w:val="20"/>
              </w:rPr>
              <w:t>ets</w:t>
            </w:r>
            <w:hyperlink r:id="rId314">
              <w:r>
                <w:rPr>
                  <w:sz w:val="20"/>
                </w:rPr>
                <w:t>y.com/shop/OLGABRAVARD</w:t>
              </w:r>
            </w:hyperlink>
          </w:p>
        </w:tc>
      </w:tr>
      <w:tr>
        <w:trPr>
          <w:trHeight w:val="287" w:hRule="atLeast"/>
        </w:trPr>
        <w:tc>
          <w:tcPr>
            <w:tcW w:w="960" w:type="dxa"/>
          </w:tcPr>
          <w:p>
            <w:pPr>
              <w:pStyle w:val="TableParagraph"/>
              <w:rPr>
                <w:sz w:val="20"/>
              </w:rPr>
            </w:pPr>
            <w:r>
              <w:rPr>
                <w:sz w:val="20"/>
              </w:rPr>
              <w:t>98</w:t>
            </w:r>
          </w:p>
        </w:tc>
        <w:tc>
          <w:tcPr>
            <w:tcW w:w="2461" w:type="dxa"/>
          </w:tcPr>
          <w:p>
            <w:pPr>
              <w:pStyle w:val="TableParagraph"/>
              <w:rPr>
                <w:sz w:val="20"/>
              </w:rPr>
            </w:pPr>
            <w:r>
              <w:rPr>
                <w:sz w:val="20"/>
              </w:rPr>
              <w:t>Omanie</w:t>
            </w:r>
          </w:p>
        </w:tc>
        <w:tc>
          <w:tcPr>
            <w:tcW w:w="5044" w:type="dxa"/>
          </w:tcPr>
          <w:p>
            <w:pPr>
              <w:pStyle w:val="TableParagraph"/>
              <w:rPr>
                <w:sz w:val="20"/>
              </w:rPr>
            </w:pPr>
            <w:r>
              <w:rPr>
                <w:sz w:val="20"/>
              </w:rPr>
              <w:t>https</w:t>
            </w:r>
            <w:hyperlink r:id="rId315">
              <w:r>
                <w:rPr>
                  <w:sz w:val="20"/>
                </w:rPr>
                <w:t>://www.</w:t>
              </w:r>
            </w:hyperlink>
            <w:r>
              <w:rPr>
                <w:sz w:val="20"/>
              </w:rPr>
              <w:t>ets</w:t>
            </w:r>
            <w:hyperlink r:id="rId315">
              <w:r>
                <w:rPr>
                  <w:sz w:val="20"/>
                </w:rPr>
                <w:t>y.com/shop/Omanie</w:t>
              </w:r>
            </w:hyperlink>
          </w:p>
        </w:tc>
      </w:tr>
      <w:tr>
        <w:trPr>
          <w:trHeight w:val="287" w:hRule="atLeast"/>
        </w:trPr>
        <w:tc>
          <w:tcPr>
            <w:tcW w:w="960" w:type="dxa"/>
          </w:tcPr>
          <w:p>
            <w:pPr>
              <w:pStyle w:val="TableParagraph"/>
              <w:rPr>
                <w:sz w:val="20"/>
              </w:rPr>
            </w:pPr>
            <w:r>
              <w:rPr>
                <w:sz w:val="20"/>
              </w:rPr>
              <w:t>99</w:t>
            </w:r>
          </w:p>
        </w:tc>
        <w:tc>
          <w:tcPr>
            <w:tcW w:w="2461" w:type="dxa"/>
          </w:tcPr>
          <w:p>
            <w:pPr>
              <w:pStyle w:val="TableParagraph"/>
              <w:rPr>
                <w:sz w:val="20"/>
              </w:rPr>
            </w:pPr>
            <w:r>
              <w:rPr>
                <w:sz w:val="20"/>
              </w:rPr>
              <w:t>orcunshop</w:t>
            </w:r>
          </w:p>
        </w:tc>
        <w:tc>
          <w:tcPr>
            <w:tcW w:w="5044" w:type="dxa"/>
          </w:tcPr>
          <w:p>
            <w:pPr>
              <w:pStyle w:val="TableParagraph"/>
              <w:rPr>
                <w:sz w:val="20"/>
              </w:rPr>
            </w:pPr>
            <w:r>
              <w:rPr>
                <w:sz w:val="20"/>
              </w:rPr>
              <w:t>https</w:t>
            </w:r>
            <w:hyperlink r:id="rId316">
              <w:r>
                <w:rPr>
                  <w:sz w:val="20"/>
                </w:rPr>
                <w:t>://www.</w:t>
              </w:r>
            </w:hyperlink>
            <w:r>
              <w:rPr>
                <w:sz w:val="20"/>
              </w:rPr>
              <w:t>ets</w:t>
            </w:r>
            <w:hyperlink r:id="rId316">
              <w:r>
                <w:rPr>
                  <w:sz w:val="20"/>
                </w:rPr>
                <w:t>y.com/shop/orcunshop</w:t>
              </w:r>
            </w:hyperlink>
          </w:p>
        </w:tc>
      </w:tr>
      <w:tr>
        <w:trPr>
          <w:trHeight w:val="287" w:hRule="atLeast"/>
        </w:trPr>
        <w:tc>
          <w:tcPr>
            <w:tcW w:w="960" w:type="dxa"/>
          </w:tcPr>
          <w:p>
            <w:pPr>
              <w:pStyle w:val="TableParagraph"/>
              <w:rPr>
                <w:sz w:val="20"/>
              </w:rPr>
            </w:pPr>
            <w:r>
              <w:rPr>
                <w:sz w:val="20"/>
              </w:rPr>
              <w:t>100</w:t>
            </w:r>
          </w:p>
        </w:tc>
        <w:tc>
          <w:tcPr>
            <w:tcW w:w="2461" w:type="dxa"/>
          </w:tcPr>
          <w:p>
            <w:pPr>
              <w:pStyle w:val="TableParagraph"/>
              <w:rPr>
                <w:sz w:val="20"/>
              </w:rPr>
            </w:pPr>
            <w:r>
              <w:rPr>
                <w:sz w:val="20"/>
              </w:rPr>
              <w:t>PaiBai</w:t>
            </w:r>
          </w:p>
        </w:tc>
        <w:tc>
          <w:tcPr>
            <w:tcW w:w="5044" w:type="dxa"/>
          </w:tcPr>
          <w:p>
            <w:pPr>
              <w:pStyle w:val="TableParagraph"/>
              <w:rPr>
                <w:sz w:val="20"/>
              </w:rPr>
            </w:pPr>
            <w:r>
              <w:rPr>
                <w:sz w:val="20"/>
              </w:rPr>
              <w:t>https</w:t>
            </w:r>
            <w:hyperlink r:id="rId317">
              <w:r>
                <w:rPr>
                  <w:sz w:val="20"/>
                </w:rPr>
                <w:t>://www.</w:t>
              </w:r>
            </w:hyperlink>
            <w:r>
              <w:rPr>
                <w:sz w:val="20"/>
              </w:rPr>
              <w:t>ets</w:t>
            </w:r>
            <w:hyperlink r:id="rId317">
              <w:r>
                <w:rPr>
                  <w:sz w:val="20"/>
                </w:rPr>
                <w:t>y.com/shop/PaiBai</w:t>
              </w:r>
            </w:hyperlink>
          </w:p>
        </w:tc>
      </w:tr>
      <w:tr>
        <w:trPr>
          <w:trHeight w:val="290" w:hRule="atLeast"/>
        </w:trPr>
        <w:tc>
          <w:tcPr>
            <w:tcW w:w="960" w:type="dxa"/>
          </w:tcPr>
          <w:p>
            <w:pPr>
              <w:pStyle w:val="TableParagraph"/>
              <w:rPr>
                <w:sz w:val="20"/>
              </w:rPr>
            </w:pPr>
            <w:r>
              <w:rPr>
                <w:sz w:val="20"/>
              </w:rPr>
              <w:t>101</w:t>
            </w:r>
          </w:p>
        </w:tc>
        <w:tc>
          <w:tcPr>
            <w:tcW w:w="2461" w:type="dxa"/>
          </w:tcPr>
          <w:p>
            <w:pPr>
              <w:pStyle w:val="TableParagraph"/>
              <w:rPr>
                <w:sz w:val="20"/>
              </w:rPr>
            </w:pPr>
            <w:r>
              <w:rPr>
                <w:sz w:val="20"/>
              </w:rPr>
              <w:t>PeggyLynnCreations</w:t>
            </w:r>
          </w:p>
        </w:tc>
        <w:tc>
          <w:tcPr>
            <w:tcW w:w="5044" w:type="dxa"/>
          </w:tcPr>
          <w:p>
            <w:pPr>
              <w:pStyle w:val="TableParagraph"/>
              <w:rPr>
                <w:sz w:val="20"/>
              </w:rPr>
            </w:pPr>
            <w:r>
              <w:rPr>
                <w:sz w:val="20"/>
              </w:rPr>
              <w:t>https</w:t>
            </w:r>
            <w:hyperlink r:id="rId318">
              <w:r>
                <w:rPr>
                  <w:sz w:val="20"/>
                </w:rPr>
                <w:t>://www.</w:t>
              </w:r>
            </w:hyperlink>
            <w:r>
              <w:rPr>
                <w:sz w:val="20"/>
              </w:rPr>
              <w:t>ets</w:t>
            </w:r>
            <w:hyperlink r:id="rId318">
              <w:r>
                <w:rPr>
                  <w:sz w:val="20"/>
                </w:rPr>
                <w:t>y.com/shop/PeggyLynnCreations</w:t>
              </w:r>
            </w:hyperlink>
          </w:p>
        </w:tc>
      </w:tr>
      <w:tr>
        <w:trPr>
          <w:trHeight w:val="287" w:hRule="atLeast"/>
        </w:trPr>
        <w:tc>
          <w:tcPr>
            <w:tcW w:w="960" w:type="dxa"/>
          </w:tcPr>
          <w:p>
            <w:pPr>
              <w:pStyle w:val="TableParagraph"/>
              <w:rPr>
                <w:sz w:val="20"/>
              </w:rPr>
            </w:pPr>
            <w:r>
              <w:rPr>
                <w:sz w:val="20"/>
              </w:rPr>
              <w:t>102</w:t>
            </w:r>
          </w:p>
        </w:tc>
        <w:tc>
          <w:tcPr>
            <w:tcW w:w="2461" w:type="dxa"/>
          </w:tcPr>
          <w:p>
            <w:pPr>
              <w:pStyle w:val="TableParagraph"/>
              <w:rPr>
                <w:sz w:val="20"/>
              </w:rPr>
            </w:pPr>
            <w:r>
              <w:rPr>
                <w:sz w:val="20"/>
              </w:rPr>
              <w:t>PeraStore</w:t>
            </w:r>
          </w:p>
        </w:tc>
        <w:tc>
          <w:tcPr>
            <w:tcW w:w="5044" w:type="dxa"/>
          </w:tcPr>
          <w:p>
            <w:pPr>
              <w:pStyle w:val="TableParagraph"/>
              <w:rPr>
                <w:sz w:val="20"/>
              </w:rPr>
            </w:pPr>
            <w:r>
              <w:rPr>
                <w:sz w:val="20"/>
              </w:rPr>
              <w:t>https</w:t>
            </w:r>
            <w:hyperlink r:id="rId319">
              <w:r>
                <w:rPr>
                  <w:sz w:val="20"/>
                </w:rPr>
                <w:t>://www.</w:t>
              </w:r>
            </w:hyperlink>
            <w:r>
              <w:rPr>
                <w:sz w:val="20"/>
              </w:rPr>
              <w:t>ets</w:t>
            </w:r>
            <w:hyperlink r:id="rId319">
              <w:r>
                <w:rPr>
                  <w:sz w:val="20"/>
                </w:rPr>
                <w:t>y.com/shop/PeraStore</w:t>
              </w:r>
            </w:hyperlink>
          </w:p>
        </w:tc>
      </w:tr>
      <w:tr>
        <w:trPr>
          <w:trHeight w:val="287" w:hRule="atLeast"/>
        </w:trPr>
        <w:tc>
          <w:tcPr>
            <w:tcW w:w="960" w:type="dxa"/>
          </w:tcPr>
          <w:p>
            <w:pPr>
              <w:pStyle w:val="TableParagraph"/>
              <w:rPr>
                <w:sz w:val="20"/>
              </w:rPr>
            </w:pPr>
            <w:r>
              <w:rPr>
                <w:sz w:val="20"/>
              </w:rPr>
              <w:t>103</w:t>
            </w:r>
          </w:p>
        </w:tc>
        <w:tc>
          <w:tcPr>
            <w:tcW w:w="2461" w:type="dxa"/>
          </w:tcPr>
          <w:p>
            <w:pPr>
              <w:pStyle w:val="TableParagraph"/>
              <w:rPr>
                <w:sz w:val="20"/>
              </w:rPr>
            </w:pPr>
            <w:r>
              <w:rPr>
                <w:sz w:val="20"/>
              </w:rPr>
              <w:t>pErixShop</w:t>
            </w:r>
          </w:p>
        </w:tc>
        <w:tc>
          <w:tcPr>
            <w:tcW w:w="5044" w:type="dxa"/>
          </w:tcPr>
          <w:p>
            <w:pPr>
              <w:pStyle w:val="TableParagraph"/>
              <w:rPr>
                <w:sz w:val="20"/>
              </w:rPr>
            </w:pPr>
            <w:r>
              <w:rPr>
                <w:sz w:val="20"/>
              </w:rPr>
              <w:t>https</w:t>
            </w:r>
            <w:hyperlink r:id="rId320">
              <w:r>
                <w:rPr>
                  <w:sz w:val="20"/>
                </w:rPr>
                <w:t>://www.</w:t>
              </w:r>
            </w:hyperlink>
            <w:r>
              <w:rPr>
                <w:sz w:val="20"/>
              </w:rPr>
              <w:t>ets</w:t>
            </w:r>
            <w:hyperlink r:id="rId320">
              <w:r>
                <w:rPr>
                  <w:sz w:val="20"/>
                </w:rPr>
                <w:t>y.com/shop/pErixShop</w:t>
              </w:r>
            </w:hyperlink>
          </w:p>
        </w:tc>
      </w:tr>
      <w:tr>
        <w:trPr>
          <w:trHeight w:val="287" w:hRule="atLeast"/>
        </w:trPr>
        <w:tc>
          <w:tcPr>
            <w:tcW w:w="960" w:type="dxa"/>
          </w:tcPr>
          <w:p>
            <w:pPr>
              <w:pStyle w:val="TableParagraph"/>
              <w:rPr>
                <w:sz w:val="20"/>
              </w:rPr>
            </w:pPr>
            <w:r>
              <w:rPr>
                <w:sz w:val="20"/>
              </w:rPr>
              <w:t>104</w:t>
            </w:r>
          </w:p>
        </w:tc>
        <w:tc>
          <w:tcPr>
            <w:tcW w:w="2461" w:type="dxa"/>
          </w:tcPr>
          <w:p>
            <w:pPr>
              <w:pStyle w:val="TableParagraph"/>
              <w:rPr>
                <w:sz w:val="20"/>
              </w:rPr>
            </w:pPr>
            <w:r>
              <w:rPr>
                <w:sz w:val="20"/>
              </w:rPr>
              <w:t>PESHCETurkey</w:t>
            </w:r>
          </w:p>
        </w:tc>
        <w:tc>
          <w:tcPr>
            <w:tcW w:w="5044" w:type="dxa"/>
          </w:tcPr>
          <w:p>
            <w:pPr>
              <w:pStyle w:val="TableParagraph"/>
              <w:rPr>
                <w:sz w:val="20"/>
              </w:rPr>
            </w:pPr>
            <w:r>
              <w:rPr>
                <w:sz w:val="20"/>
              </w:rPr>
              <w:t>https</w:t>
            </w:r>
            <w:hyperlink r:id="rId321">
              <w:r>
                <w:rPr>
                  <w:sz w:val="20"/>
                </w:rPr>
                <w:t>://www.</w:t>
              </w:r>
            </w:hyperlink>
            <w:r>
              <w:rPr>
                <w:sz w:val="20"/>
              </w:rPr>
              <w:t>ets</w:t>
            </w:r>
            <w:hyperlink r:id="rId321">
              <w:r>
                <w:rPr>
                  <w:sz w:val="20"/>
                </w:rPr>
                <w:t>y.com/shop/PESHCETurkey</w:t>
              </w:r>
            </w:hyperlink>
          </w:p>
        </w:tc>
      </w:tr>
      <w:tr>
        <w:trPr>
          <w:trHeight w:val="287" w:hRule="atLeast"/>
        </w:trPr>
        <w:tc>
          <w:tcPr>
            <w:tcW w:w="960" w:type="dxa"/>
          </w:tcPr>
          <w:p>
            <w:pPr>
              <w:pStyle w:val="TableParagraph"/>
              <w:rPr>
                <w:sz w:val="20"/>
              </w:rPr>
            </w:pPr>
            <w:r>
              <w:rPr>
                <w:sz w:val="20"/>
              </w:rPr>
              <w:t>105</w:t>
            </w:r>
          </w:p>
        </w:tc>
        <w:tc>
          <w:tcPr>
            <w:tcW w:w="2461" w:type="dxa"/>
          </w:tcPr>
          <w:p>
            <w:pPr>
              <w:pStyle w:val="TableParagraph"/>
              <w:rPr>
                <w:sz w:val="20"/>
              </w:rPr>
            </w:pPr>
            <w:r>
              <w:rPr>
                <w:sz w:val="20"/>
              </w:rPr>
              <w:t>PetitesPierres</w:t>
            </w:r>
          </w:p>
        </w:tc>
        <w:tc>
          <w:tcPr>
            <w:tcW w:w="5044" w:type="dxa"/>
          </w:tcPr>
          <w:p>
            <w:pPr>
              <w:pStyle w:val="TableParagraph"/>
              <w:rPr>
                <w:sz w:val="20"/>
              </w:rPr>
            </w:pPr>
            <w:r>
              <w:rPr>
                <w:sz w:val="20"/>
              </w:rPr>
              <w:t>https</w:t>
            </w:r>
            <w:hyperlink r:id="rId322">
              <w:r>
                <w:rPr>
                  <w:sz w:val="20"/>
                </w:rPr>
                <w:t>://www.</w:t>
              </w:r>
            </w:hyperlink>
            <w:r>
              <w:rPr>
                <w:sz w:val="20"/>
              </w:rPr>
              <w:t>ets</w:t>
            </w:r>
            <w:hyperlink r:id="rId322">
              <w:r>
                <w:rPr>
                  <w:sz w:val="20"/>
                </w:rPr>
                <w:t>y.com/shop/PetitesPierres</w:t>
              </w:r>
            </w:hyperlink>
          </w:p>
        </w:tc>
      </w:tr>
      <w:tr>
        <w:trPr>
          <w:trHeight w:val="287" w:hRule="atLeast"/>
        </w:trPr>
        <w:tc>
          <w:tcPr>
            <w:tcW w:w="960" w:type="dxa"/>
          </w:tcPr>
          <w:p>
            <w:pPr>
              <w:pStyle w:val="TableParagraph"/>
              <w:rPr>
                <w:sz w:val="20"/>
              </w:rPr>
            </w:pPr>
            <w:r>
              <w:rPr>
                <w:sz w:val="20"/>
              </w:rPr>
              <w:t>106</w:t>
            </w:r>
          </w:p>
        </w:tc>
        <w:tc>
          <w:tcPr>
            <w:tcW w:w="2461" w:type="dxa"/>
          </w:tcPr>
          <w:p>
            <w:pPr>
              <w:pStyle w:val="TableParagraph"/>
              <w:rPr>
                <w:sz w:val="20"/>
              </w:rPr>
            </w:pPr>
            <w:r>
              <w:rPr>
                <w:sz w:val="20"/>
              </w:rPr>
              <w:t>Plans4Wood</w:t>
            </w:r>
          </w:p>
        </w:tc>
        <w:tc>
          <w:tcPr>
            <w:tcW w:w="5044" w:type="dxa"/>
          </w:tcPr>
          <w:p>
            <w:pPr>
              <w:pStyle w:val="TableParagraph"/>
              <w:rPr>
                <w:sz w:val="20"/>
              </w:rPr>
            </w:pPr>
            <w:r>
              <w:rPr>
                <w:sz w:val="20"/>
              </w:rPr>
              <w:t>https</w:t>
            </w:r>
            <w:hyperlink r:id="rId323">
              <w:r>
                <w:rPr>
                  <w:sz w:val="20"/>
                </w:rPr>
                <w:t>://www.</w:t>
              </w:r>
            </w:hyperlink>
            <w:r>
              <w:rPr>
                <w:sz w:val="20"/>
              </w:rPr>
              <w:t>ets</w:t>
            </w:r>
            <w:hyperlink r:id="rId323">
              <w:r>
                <w:rPr>
                  <w:sz w:val="20"/>
                </w:rPr>
                <w:t>y.com/shop/Plans4Wood</w:t>
              </w:r>
            </w:hyperlink>
          </w:p>
        </w:tc>
      </w:tr>
      <w:tr>
        <w:trPr>
          <w:trHeight w:val="290" w:hRule="atLeast"/>
        </w:trPr>
        <w:tc>
          <w:tcPr>
            <w:tcW w:w="960" w:type="dxa"/>
          </w:tcPr>
          <w:p>
            <w:pPr>
              <w:pStyle w:val="TableParagraph"/>
              <w:rPr>
                <w:sz w:val="20"/>
              </w:rPr>
            </w:pPr>
            <w:r>
              <w:rPr>
                <w:sz w:val="20"/>
              </w:rPr>
              <w:t>107</w:t>
            </w:r>
          </w:p>
        </w:tc>
        <w:tc>
          <w:tcPr>
            <w:tcW w:w="2461" w:type="dxa"/>
          </w:tcPr>
          <w:p>
            <w:pPr>
              <w:pStyle w:val="TableParagraph"/>
              <w:rPr>
                <w:sz w:val="20"/>
              </w:rPr>
            </w:pPr>
            <w:r>
              <w:rPr>
                <w:sz w:val="20"/>
              </w:rPr>
              <w:t>Popdesigners</w:t>
            </w:r>
          </w:p>
        </w:tc>
        <w:tc>
          <w:tcPr>
            <w:tcW w:w="5044" w:type="dxa"/>
          </w:tcPr>
          <w:p>
            <w:pPr>
              <w:pStyle w:val="TableParagraph"/>
              <w:rPr>
                <w:sz w:val="20"/>
              </w:rPr>
            </w:pPr>
            <w:r>
              <w:rPr>
                <w:sz w:val="20"/>
              </w:rPr>
              <w:t>https</w:t>
            </w:r>
            <w:hyperlink r:id="rId324">
              <w:r>
                <w:rPr>
                  <w:sz w:val="20"/>
                </w:rPr>
                <w:t>://www.</w:t>
              </w:r>
            </w:hyperlink>
            <w:r>
              <w:rPr>
                <w:sz w:val="20"/>
              </w:rPr>
              <w:t>ets</w:t>
            </w:r>
            <w:hyperlink r:id="rId324">
              <w:r>
                <w:rPr>
                  <w:sz w:val="20"/>
                </w:rPr>
                <w:t>y.com/shop/Popdesigners</w:t>
              </w:r>
            </w:hyperlink>
          </w:p>
        </w:tc>
      </w:tr>
      <w:tr>
        <w:trPr>
          <w:trHeight w:val="287" w:hRule="atLeast"/>
        </w:trPr>
        <w:tc>
          <w:tcPr>
            <w:tcW w:w="960" w:type="dxa"/>
          </w:tcPr>
          <w:p>
            <w:pPr>
              <w:pStyle w:val="TableParagraph"/>
              <w:rPr>
                <w:sz w:val="20"/>
              </w:rPr>
            </w:pPr>
            <w:r>
              <w:rPr>
                <w:sz w:val="20"/>
              </w:rPr>
              <w:t>108</w:t>
            </w:r>
          </w:p>
        </w:tc>
        <w:tc>
          <w:tcPr>
            <w:tcW w:w="2461" w:type="dxa"/>
          </w:tcPr>
          <w:p>
            <w:pPr>
              <w:pStyle w:val="TableParagraph"/>
              <w:rPr>
                <w:sz w:val="20"/>
              </w:rPr>
            </w:pPr>
            <w:r>
              <w:rPr>
                <w:sz w:val="20"/>
              </w:rPr>
              <w:t>PrettyTurkishThings</w:t>
            </w:r>
          </w:p>
        </w:tc>
        <w:tc>
          <w:tcPr>
            <w:tcW w:w="5044" w:type="dxa"/>
          </w:tcPr>
          <w:p>
            <w:pPr>
              <w:pStyle w:val="TableParagraph"/>
              <w:rPr>
                <w:sz w:val="20"/>
              </w:rPr>
            </w:pPr>
            <w:r>
              <w:rPr>
                <w:sz w:val="20"/>
              </w:rPr>
              <w:t>https</w:t>
            </w:r>
            <w:hyperlink r:id="rId325">
              <w:r>
                <w:rPr>
                  <w:sz w:val="20"/>
                </w:rPr>
                <w:t>://www.</w:t>
              </w:r>
            </w:hyperlink>
            <w:r>
              <w:rPr>
                <w:sz w:val="20"/>
              </w:rPr>
              <w:t>ets</w:t>
            </w:r>
            <w:hyperlink r:id="rId325">
              <w:r>
                <w:rPr>
                  <w:sz w:val="20"/>
                </w:rPr>
                <w:t>y.com/shop/PrettyTurkishThings</w:t>
              </w:r>
            </w:hyperlink>
          </w:p>
        </w:tc>
      </w:tr>
      <w:tr>
        <w:trPr>
          <w:trHeight w:val="288" w:hRule="atLeast"/>
        </w:trPr>
        <w:tc>
          <w:tcPr>
            <w:tcW w:w="960" w:type="dxa"/>
          </w:tcPr>
          <w:p>
            <w:pPr>
              <w:pStyle w:val="TableParagraph"/>
              <w:rPr>
                <w:sz w:val="20"/>
              </w:rPr>
            </w:pPr>
            <w:r>
              <w:rPr>
                <w:sz w:val="20"/>
              </w:rPr>
              <w:t>109</w:t>
            </w:r>
          </w:p>
        </w:tc>
        <w:tc>
          <w:tcPr>
            <w:tcW w:w="2461" w:type="dxa"/>
          </w:tcPr>
          <w:p>
            <w:pPr>
              <w:pStyle w:val="TableParagraph"/>
              <w:rPr>
                <w:sz w:val="20"/>
              </w:rPr>
            </w:pPr>
            <w:r>
              <w:rPr>
                <w:sz w:val="20"/>
              </w:rPr>
              <w:t>PRINTABLELOVEArt</w:t>
            </w:r>
          </w:p>
        </w:tc>
        <w:tc>
          <w:tcPr>
            <w:tcW w:w="5044" w:type="dxa"/>
          </w:tcPr>
          <w:p>
            <w:pPr>
              <w:pStyle w:val="TableParagraph"/>
              <w:rPr>
                <w:sz w:val="20"/>
              </w:rPr>
            </w:pPr>
            <w:r>
              <w:rPr>
                <w:sz w:val="20"/>
              </w:rPr>
              <w:t>https</w:t>
            </w:r>
            <w:hyperlink r:id="rId326">
              <w:r>
                <w:rPr>
                  <w:sz w:val="20"/>
                </w:rPr>
                <w:t>://www.</w:t>
              </w:r>
            </w:hyperlink>
            <w:r>
              <w:rPr>
                <w:sz w:val="20"/>
              </w:rPr>
              <w:t>ets</w:t>
            </w:r>
            <w:hyperlink r:id="rId326">
              <w:r>
                <w:rPr>
                  <w:sz w:val="20"/>
                </w:rPr>
                <w:t>y.com/shop/PRINTABLELOVEArt</w:t>
              </w:r>
            </w:hyperlink>
          </w:p>
        </w:tc>
      </w:tr>
      <w:tr>
        <w:trPr>
          <w:trHeight w:val="287" w:hRule="atLeast"/>
        </w:trPr>
        <w:tc>
          <w:tcPr>
            <w:tcW w:w="960" w:type="dxa"/>
          </w:tcPr>
          <w:p>
            <w:pPr>
              <w:pStyle w:val="TableParagraph"/>
              <w:rPr>
                <w:sz w:val="20"/>
              </w:rPr>
            </w:pPr>
            <w:r>
              <w:rPr>
                <w:sz w:val="20"/>
              </w:rPr>
              <w:t>110</w:t>
            </w:r>
          </w:p>
        </w:tc>
        <w:tc>
          <w:tcPr>
            <w:tcW w:w="2461" w:type="dxa"/>
          </w:tcPr>
          <w:p>
            <w:pPr>
              <w:pStyle w:val="TableParagraph"/>
              <w:rPr>
                <w:sz w:val="20"/>
              </w:rPr>
            </w:pPr>
            <w:r>
              <w:rPr>
                <w:sz w:val="20"/>
              </w:rPr>
              <w:t>PticaDolls</w:t>
            </w:r>
          </w:p>
        </w:tc>
        <w:tc>
          <w:tcPr>
            <w:tcW w:w="5044" w:type="dxa"/>
          </w:tcPr>
          <w:p>
            <w:pPr>
              <w:pStyle w:val="TableParagraph"/>
              <w:rPr>
                <w:sz w:val="20"/>
              </w:rPr>
            </w:pPr>
            <w:r>
              <w:rPr>
                <w:sz w:val="20"/>
              </w:rPr>
              <w:t>https</w:t>
            </w:r>
            <w:hyperlink r:id="rId327">
              <w:r>
                <w:rPr>
                  <w:sz w:val="20"/>
                </w:rPr>
                <w:t>://www.</w:t>
              </w:r>
            </w:hyperlink>
            <w:r>
              <w:rPr>
                <w:sz w:val="20"/>
              </w:rPr>
              <w:t>ets</w:t>
            </w:r>
            <w:hyperlink r:id="rId327">
              <w:r>
                <w:rPr>
                  <w:sz w:val="20"/>
                </w:rPr>
                <w:t>y.com/shop/PticaDolls</w:t>
              </w:r>
            </w:hyperlink>
          </w:p>
        </w:tc>
      </w:tr>
      <w:tr>
        <w:trPr>
          <w:trHeight w:val="287" w:hRule="atLeast"/>
        </w:trPr>
        <w:tc>
          <w:tcPr>
            <w:tcW w:w="960" w:type="dxa"/>
          </w:tcPr>
          <w:p>
            <w:pPr>
              <w:pStyle w:val="TableParagraph"/>
              <w:rPr>
                <w:sz w:val="20"/>
              </w:rPr>
            </w:pPr>
            <w:r>
              <w:rPr>
                <w:sz w:val="20"/>
              </w:rPr>
              <w:t>111</w:t>
            </w:r>
          </w:p>
        </w:tc>
        <w:tc>
          <w:tcPr>
            <w:tcW w:w="2461" w:type="dxa"/>
          </w:tcPr>
          <w:p>
            <w:pPr>
              <w:pStyle w:val="TableParagraph"/>
              <w:rPr>
                <w:sz w:val="20"/>
              </w:rPr>
            </w:pPr>
            <w:r>
              <w:rPr>
                <w:sz w:val="20"/>
              </w:rPr>
              <w:t>PureAsBaby</w:t>
            </w:r>
          </w:p>
        </w:tc>
        <w:tc>
          <w:tcPr>
            <w:tcW w:w="5044" w:type="dxa"/>
          </w:tcPr>
          <w:p>
            <w:pPr>
              <w:pStyle w:val="TableParagraph"/>
              <w:rPr>
                <w:sz w:val="20"/>
              </w:rPr>
            </w:pPr>
            <w:r>
              <w:rPr>
                <w:sz w:val="20"/>
              </w:rPr>
              <w:t>https</w:t>
            </w:r>
            <w:hyperlink r:id="rId328">
              <w:r>
                <w:rPr>
                  <w:sz w:val="20"/>
                </w:rPr>
                <w:t>://www.</w:t>
              </w:r>
            </w:hyperlink>
            <w:r>
              <w:rPr>
                <w:sz w:val="20"/>
              </w:rPr>
              <w:t>ets</w:t>
            </w:r>
            <w:hyperlink r:id="rId328">
              <w:r>
                <w:rPr>
                  <w:sz w:val="20"/>
                </w:rPr>
                <w:t>y.com/shop/PureAsBaby</w:t>
              </w:r>
            </w:hyperlink>
          </w:p>
        </w:tc>
      </w:tr>
      <w:tr>
        <w:trPr>
          <w:trHeight w:val="287" w:hRule="atLeast"/>
        </w:trPr>
        <w:tc>
          <w:tcPr>
            <w:tcW w:w="960" w:type="dxa"/>
          </w:tcPr>
          <w:p>
            <w:pPr>
              <w:pStyle w:val="TableParagraph"/>
              <w:rPr>
                <w:sz w:val="20"/>
              </w:rPr>
            </w:pPr>
            <w:r>
              <w:rPr>
                <w:sz w:val="20"/>
              </w:rPr>
              <w:t>112</w:t>
            </w:r>
          </w:p>
        </w:tc>
        <w:tc>
          <w:tcPr>
            <w:tcW w:w="2461" w:type="dxa"/>
          </w:tcPr>
          <w:p>
            <w:pPr>
              <w:pStyle w:val="TableParagraph"/>
              <w:rPr>
                <w:sz w:val="20"/>
              </w:rPr>
            </w:pPr>
            <w:r>
              <w:rPr>
                <w:sz w:val="20"/>
              </w:rPr>
              <w:t>quoteshirt</w:t>
            </w:r>
          </w:p>
        </w:tc>
        <w:tc>
          <w:tcPr>
            <w:tcW w:w="5044" w:type="dxa"/>
          </w:tcPr>
          <w:p>
            <w:pPr>
              <w:pStyle w:val="TableParagraph"/>
              <w:rPr>
                <w:sz w:val="20"/>
              </w:rPr>
            </w:pPr>
            <w:r>
              <w:rPr>
                <w:sz w:val="20"/>
              </w:rPr>
              <w:t>https</w:t>
            </w:r>
            <w:hyperlink r:id="rId329">
              <w:r>
                <w:rPr>
                  <w:sz w:val="20"/>
                </w:rPr>
                <w:t>://www.</w:t>
              </w:r>
            </w:hyperlink>
            <w:r>
              <w:rPr>
                <w:sz w:val="20"/>
              </w:rPr>
              <w:t>ets</w:t>
            </w:r>
            <w:hyperlink r:id="rId329">
              <w:r>
                <w:rPr>
                  <w:sz w:val="20"/>
                </w:rPr>
                <w:t>y.com/shop/quoteshirt</w:t>
              </w:r>
            </w:hyperlink>
          </w:p>
        </w:tc>
      </w:tr>
      <w:tr>
        <w:trPr>
          <w:trHeight w:val="290" w:hRule="atLeast"/>
        </w:trPr>
        <w:tc>
          <w:tcPr>
            <w:tcW w:w="960" w:type="dxa"/>
          </w:tcPr>
          <w:p>
            <w:pPr>
              <w:pStyle w:val="TableParagraph"/>
              <w:rPr>
                <w:sz w:val="20"/>
              </w:rPr>
            </w:pPr>
            <w:r>
              <w:rPr>
                <w:sz w:val="20"/>
              </w:rPr>
              <w:t>113</w:t>
            </w:r>
          </w:p>
        </w:tc>
        <w:tc>
          <w:tcPr>
            <w:tcW w:w="2461" w:type="dxa"/>
          </w:tcPr>
          <w:p>
            <w:pPr>
              <w:pStyle w:val="TableParagraph"/>
              <w:rPr>
                <w:sz w:val="20"/>
              </w:rPr>
            </w:pPr>
            <w:r>
              <w:rPr>
                <w:sz w:val="20"/>
              </w:rPr>
              <w:t>Rachsfunkyts</w:t>
            </w:r>
          </w:p>
        </w:tc>
        <w:tc>
          <w:tcPr>
            <w:tcW w:w="5044" w:type="dxa"/>
          </w:tcPr>
          <w:p>
            <w:pPr>
              <w:pStyle w:val="TableParagraph"/>
              <w:rPr>
                <w:sz w:val="20"/>
              </w:rPr>
            </w:pPr>
            <w:r>
              <w:rPr>
                <w:sz w:val="20"/>
              </w:rPr>
              <w:t>https</w:t>
            </w:r>
            <w:hyperlink r:id="rId330">
              <w:r>
                <w:rPr>
                  <w:sz w:val="20"/>
                </w:rPr>
                <w:t>://www.</w:t>
              </w:r>
            </w:hyperlink>
            <w:r>
              <w:rPr>
                <w:sz w:val="20"/>
              </w:rPr>
              <w:t>ets</w:t>
            </w:r>
            <w:hyperlink r:id="rId330">
              <w:r>
                <w:rPr>
                  <w:sz w:val="20"/>
                </w:rPr>
                <w:t>y.com/shop/Rachsfunkyts</w:t>
              </w:r>
            </w:hyperlink>
          </w:p>
        </w:tc>
      </w:tr>
      <w:tr>
        <w:trPr>
          <w:trHeight w:val="287" w:hRule="atLeast"/>
        </w:trPr>
        <w:tc>
          <w:tcPr>
            <w:tcW w:w="960" w:type="dxa"/>
          </w:tcPr>
          <w:p>
            <w:pPr>
              <w:pStyle w:val="TableParagraph"/>
              <w:rPr>
                <w:sz w:val="20"/>
              </w:rPr>
            </w:pPr>
            <w:r>
              <w:rPr>
                <w:sz w:val="20"/>
              </w:rPr>
              <w:t>114</w:t>
            </w:r>
          </w:p>
        </w:tc>
        <w:tc>
          <w:tcPr>
            <w:tcW w:w="2461" w:type="dxa"/>
          </w:tcPr>
          <w:p>
            <w:pPr>
              <w:pStyle w:val="TableParagraph"/>
              <w:rPr>
                <w:sz w:val="20"/>
              </w:rPr>
            </w:pPr>
            <w:r>
              <w:rPr>
                <w:sz w:val="20"/>
              </w:rPr>
              <w:t>RestoredRose</w:t>
            </w:r>
          </w:p>
        </w:tc>
        <w:tc>
          <w:tcPr>
            <w:tcW w:w="5044" w:type="dxa"/>
          </w:tcPr>
          <w:p>
            <w:pPr>
              <w:pStyle w:val="TableParagraph"/>
              <w:rPr>
                <w:sz w:val="20"/>
              </w:rPr>
            </w:pPr>
            <w:r>
              <w:rPr>
                <w:sz w:val="20"/>
              </w:rPr>
              <w:t>https</w:t>
            </w:r>
            <w:hyperlink r:id="rId331">
              <w:r>
                <w:rPr>
                  <w:sz w:val="20"/>
                </w:rPr>
                <w:t>://www.</w:t>
              </w:r>
            </w:hyperlink>
            <w:r>
              <w:rPr>
                <w:sz w:val="20"/>
              </w:rPr>
              <w:t>ets</w:t>
            </w:r>
            <w:hyperlink r:id="rId331">
              <w:r>
                <w:rPr>
                  <w:sz w:val="20"/>
                </w:rPr>
                <w:t>y.com/shop/RestoredRose</w:t>
              </w:r>
            </w:hyperlink>
          </w:p>
        </w:tc>
      </w:tr>
      <w:tr>
        <w:trPr>
          <w:trHeight w:val="287" w:hRule="atLeast"/>
        </w:trPr>
        <w:tc>
          <w:tcPr>
            <w:tcW w:w="960" w:type="dxa"/>
          </w:tcPr>
          <w:p>
            <w:pPr>
              <w:pStyle w:val="TableParagraph"/>
              <w:rPr>
                <w:sz w:val="20"/>
              </w:rPr>
            </w:pPr>
            <w:r>
              <w:rPr>
                <w:sz w:val="20"/>
              </w:rPr>
              <w:t>115</w:t>
            </w:r>
          </w:p>
        </w:tc>
        <w:tc>
          <w:tcPr>
            <w:tcW w:w="2461" w:type="dxa"/>
          </w:tcPr>
          <w:p>
            <w:pPr>
              <w:pStyle w:val="TableParagraph"/>
              <w:rPr>
                <w:sz w:val="20"/>
              </w:rPr>
            </w:pPr>
            <w:r>
              <w:rPr>
                <w:sz w:val="20"/>
              </w:rPr>
              <w:t>RibbedShop</w:t>
            </w:r>
          </w:p>
        </w:tc>
        <w:tc>
          <w:tcPr>
            <w:tcW w:w="5044" w:type="dxa"/>
          </w:tcPr>
          <w:p>
            <w:pPr>
              <w:pStyle w:val="TableParagraph"/>
              <w:rPr>
                <w:sz w:val="20"/>
              </w:rPr>
            </w:pPr>
            <w:r>
              <w:rPr>
                <w:sz w:val="20"/>
              </w:rPr>
              <w:t>https</w:t>
            </w:r>
            <w:hyperlink r:id="rId332">
              <w:r>
                <w:rPr>
                  <w:sz w:val="20"/>
                </w:rPr>
                <w:t>://www.</w:t>
              </w:r>
            </w:hyperlink>
            <w:r>
              <w:rPr>
                <w:sz w:val="20"/>
              </w:rPr>
              <w:t>ets</w:t>
            </w:r>
            <w:hyperlink r:id="rId332">
              <w:r>
                <w:rPr>
                  <w:sz w:val="20"/>
                </w:rPr>
                <w:t>y.com/shop/RibbedShop</w:t>
              </w:r>
            </w:hyperlink>
          </w:p>
        </w:tc>
      </w:tr>
      <w:tr>
        <w:trPr>
          <w:trHeight w:val="287" w:hRule="atLeast"/>
        </w:trPr>
        <w:tc>
          <w:tcPr>
            <w:tcW w:w="960" w:type="dxa"/>
          </w:tcPr>
          <w:p>
            <w:pPr>
              <w:pStyle w:val="TableParagraph"/>
              <w:rPr>
                <w:sz w:val="20"/>
              </w:rPr>
            </w:pPr>
            <w:r>
              <w:rPr>
                <w:sz w:val="20"/>
              </w:rPr>
              <w:t>116</w:t>
            </w:r>
          </w:p>
        </w:tc>
        <w:tc>
          <w:tcPr>
            <w:tcW w:w="2461" w:type="dxa"/>
          </w:tcPr>
          <w:p>
            <w:pPr>
              <w:pStyle w:val="TableParagraph"/>
              <w:rPr>
                <w:sz w:val="20"/>
              </w:rPr>
            </w:pPr>
            <w:r>
              <w:rPr>
                <w:sz w:val="20"/>
              </w:rPr>
              <w:t>RiffRafCrafts</w:t>
            </w:r>
          </w:p>
        </w:tc>
        <w:tc>
          <w:tcPr>
            <w:tcW w:w="5044" w:type="dxa"/>
          </w:tcPr>
          <w:p>
            <w:pPr>
              <w:pStyle w:val="TableParagraph"/>
              <w:rPr>
                <w:sz w:val="20"/>
              </w:rPr>
            </w:pPr>
            <w:r>
              <w:rPr>
                <w:sz w:val="20"/>
              </w:rPr>
              <w:t>https</w:t>
            </w:r>
            <w:hyperlink r:id="rId333">
              <w:r>
                <w:rPr>
                  <w:sz w:val="20"/>
                </w:rPr>
                <w:t>://www.</w:t>
              </w:r>
            </w:hyperlink>
            <w:r>
              <w:rPr>
                <w:sz w:val="20"/>
              </w:rPr>
              <w:t>ets</w:t>
            </w:r>
            <w:hyperlink r:id="rId333">
              <w:r>
                <w:rPr>
                  <w:sz w:val="20"/>
                </w:rPr>
                <w:t>y.com/shop/RiffRafCrafts</w:t>
              </w:r>
            </w:hyperlink>
          </w:p>
        </w:tc>
      </w:tr>
      <w:tr>
        <w:trPr>
          <w:trHeight w:val="287" w:hRule="atLeast"/>
        </w:trPr>
        <w:tc>
          <w:tcPr>
            <w:tcW w:w="960" w:type="dxa"/>
          </w:tcPr>
          <w:p>
            <w:pPr>
              <w:pStyle w:val="TableParagraph"/>
              <w:rPr>
                <w:sz w:val="20"/>
              </w:rPr>
            </w:pPr>
            <w:r>
              <w:rPr>
                <w:sz w:val="20"/>
              </w:rPr>
              <w:t>117</w:t>
            </w:r>
          </w:p>
        </w:tc>
        <w:tc>
          <w:tcPr>
            <w:tcW w:w="2461" w:type="dxa"/>
          </w:tcPr>
          <w:p>
            <w:pPr>
              <w:pStyle w:val="TableParagraph"/>
              <w:rPr>
                <w:sz w:val="20"/>
              </w:rPr>
            </w:pPr>
            <w:r>
              <w:rPr>
                <w:sz w:val="20"/>
              </w:rPr>
              <w:t>sabahnur</w:t>
            </w:r>
          </w:p>
        </w:tc>
        <w:tc>
          <w:tcPr>
            <w:tcW w:w="5044" w:type="dxa"/>
          </w:tcPr>
          <w:p>
            <w:pPr>
              <w:pStyle w:val="TableParagraph"/>
              <w:rPr>
                <w:sz w:val="20"/>
              </w:rPr>
            </w:pPr>
            <w:r>
              <w:rPr>
                <w:sz w:val="20"/>
              </w:rPr>
              <w:t>https</w:t>
            </w:r>
            <w:hyperlink r:id="rId334">
              <w:r>
                <w:rPr>
                  <w:sz w:val="20"/>
                </w:rPr>
                <w:t>://www.</w:t>
              </w:r>
            </w:hyperlink>
            <w:r>
              <w:rPr>
                <w:sz w:val="20"/>
              </w:rPr>
              <w:t>ets</w:t>
            </w:r>
            <w:hyperlink r:id="rId334">
              <w:r>
                <w:rPr>
                  <w:sz w:val="20"/>
                </w:rPr>
                <w:t>y.com/shop/sabahnur</w:t>
              </w:r>
            </w:hyperlink>
          </w:p>
        </w:tc>
      </w:tr>
      <w:tr>
        <w:trPr>
          <w:trHeight w:val="287" w:hRule="atLeast"/>
        </w:trPr>
        <w:tc>
          <w:tcPr>
            <w:tcW w:w="960" w:type="dxa"/>
          </w:tcPr>
          <w:p>
            <w:pPr>
              <w:pStyle w:val="TableParagraph"/>
              <w:rPr>
                <w:sz w:val="20"/>
              </w:rPr>
            </w:pPr>
            <w:r>
              <w:rPr>
                <w:sz w:val="20"/>
              </w:rPr>
              <w:t>118</w:t>
            </w:r>
          </w:p>
        </w:tc>
        <w:tc>
          <w:tcPr>
            <w:tcW w:w="2461" w:type="dxa"/>
          </w:tcPr>
          <w:p>
            <w:pPr>
              <w:pStyle w:val="TableParagraph"/>
              <w:rPr>
                <w:sz w:val="20"/>
              </w:rPr>
            </w:pPr>
            <w:r>
              <w:rPr>
                <w:sz w:val="20"/>
              </w:rPr>
              <w:t>SakuraTurkey</w:t>
            </w:r>
          </w:p>
        </w:tc>
        <w:tc>
          <w:tcPr>
            <w:tcW w:w="5044" w:type="dxa"/>
          </w:tcPr>
          <w:p>
            <w:pPr>
              <w:pStyle w:val="TableParagraph"/>
              <w:rPr>
                <w:sz w:val="20"/>
              </w:rPr>
            </w:pPr>
            <w:r>
              <w:rPr>
                <w:sz w:val="20"/>
              </w:rPr>
              <w:t>https</w:t>
            </w:r>
            <w:hyperlink r:id="rId335">
              <w:r>
                <w:rPr>
                  <w:sz w:val="20"/>
                </w:rPr>
                <w:t>://www.</w:t>
              </w:r>
            </w:hyperlink>
            <w:r>
              <w:rPr>
                <w:sz w:val="20"/>
              </w:rPr>
              <w:t>ets</w:t>
            </w:r>
            <w:hyperlink r:id="rId335">
              <w:r>
                <w:rPr>
                  <w:sz w:val="20"/>
                </w:rPr>
                <w:t>y.com/shop/SakuraTurkey</w:t>
              </w:r>
            </w:hyperlink>
          </w:p>
        </w:tc>
      </w:tr>
      <w:tr>
        <w:trPr>
          <w:trHeight w:val="290" w:hRule="atLeast"/>
        </w:trPr>
        <w:tc>
          <w:tcPr>
            <w:tcW w:w="960" w:type="dxa"/>
          </w:tcPr>
          <w:p>
            <w:pPr>
              <w:pStyle w:val="TableParagraph"/>
              <w:rPr>
                <w:sz w:val="20"/>
              </w:rPr>
            </w:pPr>
            <w:r>
              <w:rPr>
                <w:sz w:val="20"/>
              </w:rPr>
              <w:t>119</w:t>
            </w:r>
          </w:p>
        </w:tc>
        <w:tc>
          <w:tcPr>
            <w:tcW w:w="2461" w:type="dxa"/>
          </w:tcPr>
          <w:p>
            <w:pPr>
              <w:pStyle w:val="TableParagraph"/>
              <w:rPr>
                <w:sz w:val="20"/>
              </w:rPr>
            </w:pPr>
            <w:r>
              <w:rPr>
                <w:sz w:val="20"/>
              </w:rPr>
              <w:t>ScarfClub</w:t>
            </w:r>
          </w:p>
        </w:tc>
        <w:tc>
          <w:tcPr>
            <w:tcW w:w="5044" w:type="dxa"/>
          </w:tcPr>
          <w:p>
            <w:pPr>
              <w:pStyle w:val="TableParagraph"/>
              <w:rPr>
                <w:sz w:val="20"/>
              </w:rPr>
            </w:pPr>
            <w:r>
              <w:rPr>
                <w:sz w:val="20"/>
              </w:rPr>
              <w:t>https</w:t>
            </w:r>
            <w:hyperlink r:id="rId336">
              <w:r>
                <w:rPr>
                  <w:sz w:val="20"/>
                </w:rPr>
                <w:t>://www.</w:t>
              </w:r>
            </w:hyperlink>
            <w:r>
              <w:rPr>
                <w:sz w:val="20"/>
              </w:rPr>
              <w:t>ets</w:t>
            </w:r>
            <w:hyperlink r:id="rId336">
              <w:r>
                <w:rPr>
                  <w:sz w:val="20"/>
                </w:rPr>
                <w:t>y.com/shop/ScarfClub</w:t>
              </w:r>
            </w:hyperlink>
          </w:p>
        </w:tc>
      </w:tr>
      <w:tr>
        <w:trPr>
          <w:trHeight w:val="288" w:hRule="atLeast"/>
        </w:trPr>
        <w:tc>
          <w:tcPr>
            <w:tcW w:w="960" w:type="dxa"/>
          </w:tcPr>
          <w:p>
            <w:pPr>
              <w:pStyle w:val="TableParagraph"/>
              <w:rPr>
                <w:sz w:val="20"/>
              </w:rPr>
            </w:pPr>
            <w:r>
              <w:rPr>
                <w:sz w:val="20"/>
              </w:rPr>
              <w:t>120</w:t>
            </w:r>
          </w:p>
        </w:tc>
        <w:tc>
          <w:tcPr>
            <w:tcW w:w="2461" w:type="dxa"/>
          </w:tcPr>
          <w:p>
            <w:pPr>
              <w:pStyle w:val="TableParagraph"/>
              <w:rPr>
                <w:sz w:val="20"/>
              </w:rPr>
            </w:pPr>
            <w:r>
              <w:rPr>
                <w:sz w:val="20"/>
              </w:rPr>
              <w:t>SewSweetSydney</w:t>
            </w:r>
          </w:p>
        </w:tc>
        <w:tc>
          <w:tcPr>
            <w:tcW w:w="5044" w:type="dxa"/>
          </w:tcPr>
          <w:p>
            <w:pPr>
              <w:pStyle w:val="TableParagraph"/>
              <w:rPr>
                <w:sz w:val="20"/>
              </w:rPr>
            </w:pPr>
            <w:r>
              <w:rPr>
                <w:sz w:val="20"/>
              </w:rPr>
              <w:t>https</w:t>
            </w:r>
            <w:hyperlink r:id="rId337">
              <w:r>
                <w:rPr>
                  <w:sz w:val="20"/>
                </w:rPr>
                <w:t>://www.</w:t>
              </w:r>
            </w:hyperlink>
            <w:r>
              <w:rPr>
                <w:sz w:val="20"/>
              </w:rPr>
              <w:t>ets</w:t>
            </w:r>
            <w:hyperlink r:id="rId337">
              <w:r>
                <w:rPr>
                  <w:sz w:val="20"/>
                </w:rPr>
                <w:t>y.com/shop/SewSweetSydney</w:t>
              </w:r>
            </w:hyperlink>
          </w:p>
        </w:tc>
      </w:tr>
      <w:tr>
        <w:trPr>
          <w:trHeight w:val="287" w:hRule="atLeast"/>
        </w:trPr>
        <w:tc>
          <w:tcPr>
            <w:tcW w:w="960" w:type="dxa"/>
          </w:tcPr>
          <w:p>
            <w:pPr>
              <w:pStyle w:val="TableParagraph"/>
              <w:rPr>
                <w:sz w:val="20"/>
              </w:rPr>
            </w:pPr>
            <w:r>
              <w:rPr>
                <w:sz w:val="20"/>
              </w:rPr>
              <w:t>121</w:t>
            </w:r>
          </w:p>
        </w:tc>
        <w:tc>
          <w:tcPr>
            <w:tcW w:w="2461" w:type="dxa"/>
          </w:tcPr>
          <w:p>
            <w:pPr>
              <w:pStyle w:val="TableParagraph"/>
              <w:rPr>
                <w:sz w:val="20"/>
              </w:rPr>
            </w:pPr>
            <w:r>
              <w:rPr>
                <w:sz w:val="20"/>
              </w:rPr>
              <w:t>ShadywoodSigns</w:t>
            </w:r>
          </w:p>
        </w:tc>
        <w:tc>
          <w:tcPr>
            <w:tcW w:w="5044" w:type="dxa"/>
          </w:tcPr>
          <w:p>
            <w:pPr>
              <w:pStyle w:val="TableParagraph"/>
              <w:rPr>
                <w:sz w:val="20"/>
              </w:rPr>
            </w:pPr>
            <w:r>
              <w:rPr>
                <w:sz w:val="20"/>
              </w:rPr>
              <w:t>https</w:t>
            </w:r>
            <w:hyperlink r:id="rId338">
              <w:r>
                <w:rPr>
                  <w:sz w:val="20"/>
                </w:rPr>
                <w:t>://www.</w:t>
              </w:r>
            </w:hyperlink>
            <w:r>
              <w:rPr>
                <w:sz w:val="20"/>
              </w:rPr>
              <w:t>ets</w:t>
            </w:r>
            <w:hyperlink r:id="rId338">
              <w:r>
                <w:rPr>
                  <w:sz w:val="20"/>
                </w:rPr>
                <w:t>y.com/shop/ShadywoodSigns</w:t>
              </w:r>
            </w:hyperlink>
          </w:p>
        </w:tc>
      </w:tr>
      <w:tr>
        <w:trPr>
          <w:trHeight w:val="287" w:hRule="atLeast"/>
        </w:trPr>
        <w:tc>
          <w:tcPr>
            <w:tcW w:w="960" w:type="dxa"/>
          </w:tcPr>
          <w:p>
            <w:pPr>
              <w:pStyle w:val="TableParagraph"/>
              <w:rPr>
                <w:sz w:val="20"/>
              </w:rPr>
            </w:pPr>
            <w:r>
              <w:rPr>
                <w:sz w:val="20"/>
              </w:rPr>
              <w:t>122</w:t>
            </w:r>
          </w:p>
        </w:tc>
        <w:tc>
          <w:tcPr>
            <w:tcW w:w="2461" w:type="dxa"/>
          </w:tcPr>
          <w:p>
            <w:pPr>
              <w:pStyle w:val="TableParagraph"/>
              <w:rPr>
                <w:sz w:val="20"/>
              </w:rPr>
            </w:pPr>
            <w:r>
              <w:rPr>
                <w:sz w:val="20"/>
              </w:rPr>
              <w:t>shelleyberelli</w:t>
            </w:r>
          </w:p>
        </w:tc>
        <w:tc>
          <w:tcPr>
            <w:tcW w:w="5044" w:type="dxa"/>
          </w:tcPr>
          <w:p>
            <w:pPr>
              <w:pStyle w:val="TableParagraph"/>
              <w:rPr>
                <w:sz w:val="20"/>
              </w:rPr>
            </w:pPr>
            <w:r>
              <w:rPr>
                <w:sz w:val="20"/>
              </w:rPr>
              <w:t>https</w:t>
            </w:r>
            <w:hyperlink r:id="rId339">
              <w:r>
                <w:rPr>
                  <w:sz w:val="20"/>
                </w:rPr>
                <w:t>://www.</w:t>
              </w:r>
            </w:hyperlink>
            <w:r>
              <w:rPr>
                <w:sz w:val="20"/>
              </w:rPr>
              <w:t>ets</w:t>
            </w:r>
            <w:hyperlink r:id="rId339">
              <w:r>
                <w:rPr>
                  <w:sz w:val="20"/>
                </w:rPr>
                <w:t>y.com/shop/shelleyberelli</w:t>
              </w:r>
            </w:hyperlink>
          </w:p>
        </w:tc>
      </w:tr>
      <w:tr>
        <w:trPr>
          <w:trHeight w:val="287" w:hRule="atLeast"/>
        </w:trPr>
        <w:tc>
          <w:tcPr>
            <w:tcW w:w="960" w:type="dxa"/>
          </w:tcPr>
          <w:p>
            <w:pPr>
              <w:pStyle w:val="TableParagraph"/>
              <w:rPr>
                <w:sz w:val="20"/>
              </w:rPr>
            </w:pPr>
            <w:r>
              <w:rPr>
                <w:sz w:val="20"/>
              </w:rPr>
              <w:t>123</w:t>
            </w:r>
          </w:p>
        </w:tc>
        <w:tc>
          <w:tcPr>
            <w:tcW w:w="2461" w:type="dxa"/>
          </w:tcPr>
          <w:p>
            <w:pPr>
              <w:pStyle w:val="TableParagraph"/>
              <w:rPr>
                <w:sz w:val="20"/>
              </w:rPr>
            </w:pPr>
            <w:r>
              <w:rPr>
                <w:sz w:val="20"/>
              </w:rPr>
              <w:t>simplycreativeliving</w:t>
            </w:r>
          </w:p>
        </w:tc>
        <w:tc>
          <w:tcPr>
            <w:tcW w:w="5044" w:type="dxa"/>
          </w:tcPr>
          <w:p>
            <w:pPr>
              <w:pStyle w:val="TableParagraph"/>
              <w:rPr>
                <w:sz w:val="20"/>
              </w:rPr>
            </w:pPr>
            <w:r>
              <w:rPr>
                <w:sz w:val="20"/>
              </w:rPr>
              <w:t>https</w:t>
            </w:r>
            <w:hyperlink r:id="rId340">
              <w:r>
                <w:rPr>
                  <w:sz w:val="20"/>
                </w:rPr>
                <w:t>://www.</w:t>
              </w:r>
            </w:hyperlink>
            <w:r>
              <w:rPr>
                <w:sz w:val="20"/>
              </w:rPr>
              <w:t>ets</w:t>
            </w:r>
            <w:hyperlink r:id="rId340">
              <w:r>
                <w:rPr>
                  <w:sz w:val="20"/>
                </w:rPr>
                <w:t>y.com/shop/simplycreativeliving</w:t>
              </w:r>
            </w:hyperlink>
          </w:p>
        </w:tc>
      </w:tr>
      <w:tr>
        <w:trPr>
          <w:trHeight w:val="287" w:hRule="atLeast"/>
        </w:trPr>
        <w:tc>
          <w:tcPr>
            <w:tcW w:w="960" w:type="dxa"/>
          </w:tcPr>
          <w:p>
            <w:pPr>
              <w:pStyle w:val="TableParagraph"/>
              <w:rPr>
                <w:sz w:val="20"/>
              </w:rPr>
            </w:pPr>
            <w:r>
              <w:rPr>
                <w:sz w:val="20"/>
              </w:rPr>
              <w:t>124</w:t>
            </w:r>
          </w:p>
        </w:tc>
        <w:tc>
          <w:tcPr>
            <w:tcW w:w="2461" w:type="dxa"/>
          </w:tcPr>
          <w:p>
            <w:pPr>
              <w:pStyle w:val="TableParagraph"/>
              <w:rPr>
                <w:sz w:val="20"/>
              </w:rPr>
            </w:pPr>
            <w:r>
              <w:rPr>
                <w:sz w:val="20"/>
              </w:rPr>
              <w:t>SolukWorkshop</w:t>
            </w:r>
          </w:p>
        </w:tc>
        <w:tc>
          <w:tcPr>
            <w:tcW w:w="5044" w:type="dxa"/>
          </w:tcPr>
          <w:p>
            <w:pPr>
              <w:pStyle w:val="TableParagraph"/>
              <w:rPr>
                <w:sz w:val="20"/>
              </w:rPr>
            </w:pPr>
            <w:r>
              <w:rPr>
                <w:sz w:val="20"/>
              </w:rPr>
              <w:t>https</w:t>
            </w:r>
            <w:hyperlink r:id="rId341">
              <w:r>
                <w:rPr>
                  <w:sz w:val="20"/>
                </w:rPr>
                <w:t>://www.</w:t>
              </w:r>
            </w:hyperlink>
            <w:r>
              <w:rPr>
                <w:sz w:val="20"/>
              </w:rPr>
              <w:t>ets</w:t>
            </w:r>
            <w:hyperlink r:id="rId341">
              <w:r>
                <w:rPr>
                  <w:sz w:val="20"/>
                </w:rPr>
                <w:t>y.com/shop/SolukWorkshop</w:t>
              </w:r>
            </w:hyperlink>
          </w:p>
        </w:tc>
      </w:tr>
      <w:tr>
        <w:trPr>
          <w:trHeight w:val="290" w:hRule="atLeast"/>
        </w:trPr>
        <w:tc>
          <w:tcPr>
            <w:tcW w:w="960" w:type="dxa"/>
          </w:tcPr>
          <w:p>
            <w:pPr>
              <w:pStyle w:val="TableParagraph"/>
              <w:rPr>
                <w:sz w:val="20"/>
              </w:rPr>
            </w:pPr>
            <w:r>
              <w:rPr>
                <w:sz w:val="20"/>
              </w:rPr>
              <w:t>125</w:t>
            </w:r>
          </w:p>
        </w:tc>
        <w:tc>
          <w:tcPr>
            <w:tcW w:w="2461" w:type="dxa"/>
          </w:tcPr>
          <w:p>
            <w:pPr>
              <w:pStyle w:val="TableParagraph"/>
              <w:rPr>
                <w:sz w:val="20"/>
              </w:rPr>
            </w:pPr>
            <w:r>
              <w:rPr>
                <w:sz w:val="20"/>
              </w:rPr>
              <w:t>SOrugsandtextiles</w:t>
            </w:r>
          </w:p>
        </w:tc>
        <w:tc>
          <w:tcPr>
            <w:tcW w:w="5044" w:type="dxa"/>
          </w:tcPr>
          <w:p>
            <w:pPr>
              <w:pStyle w:val="TableParagraph"/>
              <w:rPr>
                <w:sz w:val="20"/>
              </w:rPr>
            </w:pPr>
            <w:r>
              <w:rPr>
                <w:sz w:val="20"/>
              </w:rPr>
              <w:t>https</w:t>
            </w:r>
            <w:hyperlink r:id="rId342">
              <w:r>
                <w:rPr>
                  <w:sz w:val="20"/>
                </w:rPr>
                <w:t>://www.</w:t>
              </w:r>
            </w:hyperlink>
            <w:r>
              <w:rPr>
                <w:sz w:val="20"/>
              </w:rPr>
              <w:t>ets</w:t>
            </w:r>
            <w:hyperlink r:id="rId342">
              <w:r>
                <w:rPr>
                  <w:sz w:val="20"/>
                </w:rPr>
                <w:t>y.com/shop/SOrugsandtextiles</w:t>
              </w:r>
            </w:hyperlink>
          </w:p>
        </w:tc>
      </w:tr>
      <w:tr>
        <w:trPr>
          <w:trHeight w:val="287" w:hRule="atLeast"/>
        </w:trPr>
        <w:tc>
          <w:tcPr>
            <w:tcW w:w="960" w:type="dxa"/>
          </w:tcPr>
          <w:p>
            <w:pPr>
              <w:pStyle w:val="TableParagraph"/>
              <w:rPr>
                <w:sz w:val="20"/>
              </w:rPr>
            </w:pPr>
            <w:r>
              <w:rPr>
                <w:sz w:val="20"/>
              </w:rPr>
              <w:t>126</w:t>
            </w:r>
          </w:p>
        </w:tc>
        <w:tc>
          <w:tcPr>
            <w:tcW w:w="2461" w:type="dxa"/>
          </w:tcPr>
          <w:p>
            <w:pPr>
              <w:pStyle w:val="TableParagraph"/>
              <w:rPr>
                <w:sz w:val="20"/>
              </w:rPr>
            </w:pPr>
            <w:r>
              <w:rPr>
                <w:sz w:val="20"/>
              </w:rPr>
              <w:t>SpecialWoodwork</w:t>
            </w:r>
          </w:p>
        </w:tc>
        <w:tc>
          <w:tcPr>
            <w:tcW w:w="5044" w:type="dxa"/>
          </w:tcPr>
          <w:p>
            <w:pPr>
              <w:pStyle w:val="TableParagraph"/>
              <w:rPr>
                <w:sz w:val="20"/>
              </w:rPr>
            </w:pPr>
            <w:r>
              <w:rPr>
                <w:sz w:val="20"/>
              </w:rPr>
              <w:t>https</w:t>
            </w:r>
            <w:hyperlink r:id="rId343">
              <w:r>
                <w:rPr>
                  <w:sz w:val="20"/>
                </w:rPr>
                <w:t>://www.</w:t>
              </w:r>
            </w:hyperlink>
            <w:r>
              <w:rPr>
                <w:sz w:val="20"/>
              </w:rPr>
              <w:t>ets</w:t>
            </w:r>
            <w:hyperlink r:id="rId343">
              <w:r>
                <w:rPr>
                  <w:sz w:val="20"/>
                </w:rPr>
                <w:t>y.com/shop/SpecialWoodwork</w:t>
              </w:r>
            </w:hyperlink>
          </w:p>
        </w:tc>
      </w:tr>
      <w:tr>
        <w:trPr>
          <w:trHeight w:val="287" w:hRule="atLeast"/>
        </w:trPr>
        <w:tc>
          <w:tcPr>
            <w:tcW w:w="960" w:type="dxa"/>
          </w:tcPr>
          <w:p>
            <w:pPr>
              <w:pStyle w:val="TableParagraph"/>
              <w:rPr>
                <w:sz w:val="20"/>
              </w:rPr>
            </w:pPr>
            <w:r>
              <w:rPr>
                <w:sz w:val="20"/>
              </w:rPr>
              <w:t>127</w:t>
            </w:r>
          </w:p>
        </w:tc>
        <w:tc>
          <w:tcPr>
            <w:tcW w:w="2461" w:type="dxa"/>
          </w:tcPr>
          <w:p>
            <w:pPr>
              <w:pStyle w:val="TableParagraph"/>
              <w:rPr>
                <w:sz w:val="20"/>
              </w:rPr>
            </w:pPr>
            <w:r>
              <w:rPr>
                <w:sz w:val="20"/>
              </w:rPr>
              <w:t>StarHomeStudio</w:t>
            </w:r>
          </w:p>
        </w:tc>
        <w:tc>
          <w:tcPr>
            <w:tcW w:w="5044" w:type="dxa"/>
          </w:tcPr>
          <w:p>
            <w:pPr>
              <w:pStyle w:val="TableParagraph"/>
              <w:rPr>
                <w:sz w:val="20"/>
              </w:rPr>
            </w:pPr>
            <w:r>
              <w:rPr>
                <w:sz w:val="20"/>
              </w:rPr>
              <w:t>https</w:t>
            </w:r>
            <w:hyperlink r:id="rId344">
              <w:r>
                <w:rPr>
                  <w:sz w:val="20"/>
                </w:rPr>
                <w:t>://www.</w:t>
              </w:r>
            </w:hyperlink>
            <w:r>
              <w:rPr>
                <w:sz w:val="20"/>
              </w:rPr>
              <w:t>ets</w:t>
            </w:r>
            <w:hyperlink r:id="rId344">
              <w:r>
                <w:rPr>
                  <w:sz w:val="20"/>
                </w:rPr>
                <w:t>y.com/shop/StarHomeStudio</w:t>
              </w:r>
            </w:hyperlink>
          </w:p>
        </w:tc>
      </w:tr>
    </w:tbl>
    <w:p>
      <w:pPr>
        <w:spacing w:after="0"/>
        <w:rPr>
          <w:sz w:val="20"/>
        </w:rPr>
        <w:sectPr>
          <w:pgSz w:w="12240" w:h="15840"/>
          <w:pgMar w:header="718" w:footer="0" w:top="1320" w:bottom="280" w:left="1720" w:right="1020"/>
        </w:sectPr>
      </w:pPr>
    </w:p>
    <w:p>
      <w:pPr>
        <w:pStyle w:val="BodyText"/>
        <w:ind w:left="0"/>
        <w:jc w:val="left"/>
        <w:rPr>
          <w:b/>
          <w:sz w:val="7"/>
        </w:rPr>
      </w:pPr>
    </w:p>
    <w:tbl>
      <w:tblPr>
        <w:tblW w:w="0" w:type="auto"/>
        <w:jc w:val="lef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2461"/>
        <w:gridCol w:w="5044"/>
      </w:tblGrid>
      <w:tr>
        <w:trPr>
          <w:trHeight w:val="287" w:hRule="atLeast"/>
        </w:trPr>
        <w:tc>
          <w:tcPr>
            <w:tcW w:w="960" w:type="dxa"/>
          </w:tcPr>
          <w:p>
            <w:pPr>
              <w:pStyle w:val="TableParagraph"/>
              <w:rPr>
                <w:sz w:val="20"/>
              </w:rPr>
            </w:pPr>
            <w:r>
              <w:rPr>
                <w:sz w:val="20"/>
              </w:rPr>
              <w:t>128</w:t>
            </w:r>
          </w:p>
        </w:tc>
        <w:tc>
          <w:tcPr>
            <w:tcW w:w="2461" w:type="dxa"/>
          </w:tcPr>
          <w:p>
            <w:pPr>
              <w:pStyle w:val="TableParagraph"/>
              <w:rPr>
                <w:sz w:val="20"/>
              </w:rPr>
            </w:pPr>
            <w:r>
              <w:rPr>
                <w:sz w:val="20"/>
              </w:rPr>
              <w:t>StarsWear</w:t>
            </w:r>
          </w:p>
        </w:tc>
        <w:tc>
          <w:tcPr>
            <w:tcW w:w="5044" w:type="dxa"/>
          </w:tcPr>
          <w:p>
            <w:pPr>
              <w:pStyle w:val="TableParagraph"/>
              <w:rPr>
                <w:sz w:val="20"/>
              </w:rPr>
            </w:pPr>
            <w:r>
              <w:rPr>
                <w:sz w:val="20"/>
              </w:rPr>
              <w:t>https</w:t>
            </w:r>
            <w:hyperlink r:id="rId345">
              <w:r>
                <w:rPr>
                  <w:sz w:val="20"/>
                </w:rPr>
                <w:t>://www.</w:t>
              </w:r>
            </w:hyperlink>
            <w:r>
              <w:rPr>
                <w:sz w:val="20"/>
              </w:rPr>
              <w:t>ets</w:t>
            </w:r>
            <w:hyperlink r:id="rId345">
              <w:r>
                <w:rPr>
                  <w:sz w:val="20"/>
                </w:rPr>
                <w:t>y.com/shop/StarsWear</w:t>
              </w:r>
            </w:hyperlink>
          </w:p>
        </w:tc>
      </w:tr>
      <w:tr>
        <w:trPr>
          <w:trHeight w:val="287" w:hRule="atLeast"/>
        </w:trPr>
        <w:tc>
          <w:tcPr>
            <w:tcW w:w="960" w:type="dxa"/>
          </w:tcPr>
          <w:p>
            <w:pPr>
              <w:pStyle w:val="TableParagraph"/>
              <w:rPr>
                <w:sz w:val="20"/>
              </w:rPr>
            </w:pPr>
            <w:r>
              <w:rPr>
                <w:sz w:val="20"/>
              </w:rPr>
              <w:t>129</w:t>
            </w:r>
          </w:p>
        </w:tc>
        <w:tc>
          <w:tcPr>
            <w:tcW w:w="2461" w:type="dxa"/>
          </w:tcPr>
          <w:p>
            <w:pPr>
              <w:pStyle w:val="TableParagraph"/>
              <w:rPr>
                <w:sz w:val="20"/>
              </w:rPr>
            </w:pPr>
            <w:r>
              <w:rPr>
                <w:sz w:val="20"/>
              </w:rPr>
              <w:t>TeeHeeHeeShirt</w:t>
            </w:r>
          </w:p>
        </w:tc>
        <w:tc>
          <w:tcPr>
            <w:tcW w:w="5044" w:type="dxa"/>
          </w:tcPr>
          <w:p>
            <w:pPr>
              <w:pStyle w:val="TableParagraph"/>
              <w:rPr>
                <w:sz w:val="20"/>
              </w:rPr>
            </w:pPr>
            <w:r>
              <w:rPr>
                <w:sz w:val="20"/>
              </w:rPr>
              <w:t>https</w:t>
            </w:r>
            <w:hyperlink r:id="rId346">
              <w:r>
                <w:rPr>
                  <w:sz w:val="20"/>
                </w:rPr>
                <w:t>://www.</w:t>
              </w:r>
            </w:hyperlink>
            <w:r>
              <w:rPr>
                <w:sz w:val="20"/>
              </w:rPr>
              <w:t>ets</w:t>
            </w:r>
            <w:hyperlink r:id="rId346">
              <w:r>
                <w:rPr>
                  <w:sz w:val="20"/>
                </w:rPr>
                <w:t>y.com/shop/TeeHeeHeeShirt</w:t>
              </w:r>
            </w:hyperlink>
          </w:p>
        </w:tc>
      </w:tr>
      <w:tr>
        <w:trPr>
          <w:trHeight w:val="287" w:hRule="atLeast"/>
        </w:trPr>
        <w:tc>
          <w:tcPr>
            <w:tcW w:w="960" w:type="dxa"/>
          </w:tcPr>
          <w:p>
            <w:pPr>
              <w:pStyle w:val="TableParagraph"/>
              <w:rPr>
                <w:sz w:val="20"/>
              </w:rPr>
            </w:pPr>
            <w:r>
              <w:rPr>
                <w:sz w:val="20"/>
              </w:rPr>
              <w:t>130</w:t>
            </w:r>
          </w:p>
        </w:tc>
        <w:tc>
          <w:tcPr>
            <w:tcW w:w="2461" w:type="dxa"/>
          </w:tcPr>
          <w:p>
            <w:pPr>
              <w:pStyle w:val="TableParagraph"/>
              <w:rPr>
                <w:sz w:val="20"/>
              </w:rPr>
            </w:pPr>
            <w:r>
              <w:rPr>
                <w:sz w:val="20"/>
              </w:rPr>
              <w:t>TimelesstradesLLC</w:t>
            </w:r>
          </w:p>
        </w:tc>
        <w:tc>
          <w:tcPr>
            <w:tcW w:w="5044" w:type="dxa"/>
          </w:tcPr>
          <w:p>
            <w:pPr>
              <w:pStyle w:val="TableParagraph"/>
              <w:rPr>
                <w:sz w:val="20"/>
              </w:rPr>
            </w:pPr>
            <w:r>
              <w:rPr>
                <w:sz w:val="20"/>
              </w:rPr>
              <w:t>https</w:t>
            </w:r>
            <w:hyperlink r:id="rId347">
              <w:r>
                <w:rPr>
                  <w:sz w:val="20"/>
                </w:rPr>
                <w:t>://www.</w:t>
              </w:r>
            </w:hyperlink>
            <w:r>
              <w:rPr>
                <w:sz w:val="20"/>
              </w:rPr>
              <w:t>ets</w:t>
            </w:r>
            <w:hyperlink r:id="rId347">
              <w:r>
                <w:rPr>
                  <w:sz w:val="20"/>
                </w:rPr>
                <w:t>y.com/shop/TimelesstradesLLC</w:t>
              </w:r>
            </w:hyperlink>
          </w:p>
        </w:tc>
      </w:tr>
      <w:tr>
        <w:trPr>
          <w:trHeight w:val="287" w:hRule="atLeast"/>
        </w:trPr>
        <w:tc>
          <w:tcPr>
            <w:tcW w:w="960" w:type="dxa"/>
          </w:tcPr>
          <w:p>
            <w:pPr>
              <w:pStyle w:val="TableParagraph"/>
              <w:rPr>
                <w:sz w:val="20"/>
              </w:rPr>
            </w:pPr>
            <w:r>
              <w:rPr>
                <w:sz w:val="20"/>
              </w:rPr>
              <w:t>131</w:t>
            </w:r>
          </w:p>
        </w:tc>
        <w:tc>
          <w:tcPr>
            <w:tcW w:w="2461" w:type="dxa"/>
          </w:tcPr>
          <w:p>
            <w:pPr>
              <w:pStyle w:val="TableParagraph"/>
              <w:rPr>
                <w:sz w:val="20"/>
              </w:rPr>
            </w:pPr>
            <w:r>
              <w:rPr>
                <w:sz w:val="20"/>
              </w:rPr>
              <w:t>tribaloldsilver</w:t>
            </w:r>
          </w:p>
        </w:tc>
        <w:tc>
          <w:tcPr>
            <w:tcW w:w="5044" w:type="dxa"/>
          </w:tcPr>
          <w:p>
            <w:pPr>
              <w:pStyle w:val="TableParagraph"/>
              <w:rPr>
                <w:sz w:val="20"/>
              </w:rPr>
            </w:pPr>
            <w:r>
              <w:rPr>
                <w:sz w:val="20"/>
              </w:rPr>
              <w:t>https</w:t>
            </w:r>
            <w:hyperlink r:id="rId348">
              <w:r>
                <w:rPr>
                  <w:sz w:val="20"/>
                </w:rPr>
                <w:t>://www.</w:t>
              </w:r>
            </w:hyperlink>
            <w:r>
              <w:rPr>
                <w:sz w:val="20"/>
              </w:rPr>
              <w:t>ets</w:t>
            </w:r>
            <w:hyperlink r:id="rId348">
              <w:r>
                <w:rPr>
                  <w:sz w:val="20"/>
                </w:rPr>
                <w:t>y.com/shop/tribaloldsilver</w:t>
              </w:r>
            </w:hyperlink>
          </w:p>
        </w:tc>
      </w:tr>
      <w:tr>
        <w:trPr>
          <w:trHeight w:val="290" w:hRule="atLeast"/>
        </w:trPr>
        <w:tc>
          <w:tcPr>
            <w:tcW w:w="960" w:type="dxa"/>
          </w:tcPr>
          <w:p>
            <w:pPr>
              <w:pStyle w:val="TableParagraph"/>
              <w:rPr>
                <w:sz w:val="20"/>
              </w:rPr>
            </w:pPr>
            <w:r>
              <w:rPr>
                <w:sz w:val="20"/>
              </w:rPr>
              <w:t>132</w:t>
            </w:r>
          </w:p>
        </w:tc>
        <w:tc>
          <w:tcPr>
            <w:tcW w:w="2461" w:type="dxa"/>
          </w:tcPr>
          <w:p>
            <w:pPr>
              <w:pStyle w:val="TableParagraph"/>
              <w:rPr>
                <w:sz w:val="20"/>
              </w:rPr>
            </w:pPr>
            <w:r>
              <w:rPr>
                <w:sz w:val="20"/>
              </w:rPr>
              <w:t>TURKMANSILVER</w:t>
            </w:r>
          </w:p>
        </w:tc>
        <w:tc>
          <w:tcPr>
            <w:tcW w:w="5044" w:type="dxa"/>
          </w:tcPr>
          <w:p>
            <w:pPr>
              <w:pStyle w:val="TableParagraph"/>
              <w:rPr>
                <w:sz w:val="20"/>
              </w:rPr>
            </w:pPr>
            <w:r>
              <w:rPr>
                <w:sz w:val="20"/>
              </w:rPr>
              <w:t>https</w:t>
            </w:r>
            <w:hyperlink r:id="rId349">
              <w:r>
                <w:rPr>
                  <w:sz w:val="20"/>
                </w:rPr>
                <w:t>://www.</w:t>
              </w:r>
            </w:hyperlink>
            <w:r>
              <w:rPr>
                <w:sz w:val="20"/>
              </w:rPr>
              <w:t>ets</w:t>
            </w:r>
            <w:hyperlink r:id="rId349">
              <w:r>
                <w:rPr>
                  <w:sz w:val="20"/>
                </w:rPr>
                <w:t>y.com/shop/TURKMANSILVER</w:t>
              </w:r>
            </w:hyperlink>
          </w:p>
        </w:tc>
      </w:tr>
      <w:tr>
        <w:trPr>
          <w:trHeight w:val="287" w:hRule="atLeast"/>
        </w:trPr>
        <w:tc>
          <w:tcPr>
            <w:tcW w:w="960" w:type="dxa"/>
          </w:tcPr>
          <w:p>
            <w:pPr>
              <w:pStyle w:val="TableParagraph"/>
              <w:rPr>
                <w:sz w:val="20"/>
              </w:rPr>
            </w:pPr>
            <w:r>
              <w:rPr>
                <w:sz w:val="20"/>
              </w:rPr>
              <w:t>133</w:t>
            </w:r>
          </w:p>
        </w:tc>
        <w:tc>
          <w:tcPr>
            <w:tcW w:w="2461" w:type="dxa"/>
          </w:tcPr>
          <w:p>
            <w:pPr>
              <w:pStyle w:val="TableParagraph"/>
              <w:rPr>
                <w:sz w:val="20"/>
              </w:rPr>
            </w:pPr>
            <w:r>
              <w:rPr>
                <w:sz w:val="20"/>
              </w:rPr>
              <w:t>TwistedSkrews</w:t>
            </w:r>
          </w:p>
        </w:tc>
        <w:tc>
          <w:tcPr>
            <w:tcW w:w="5044" w:type="dxa"/>
          </w:tcPr>
          <w:p>
            <w:pPr>
              <w:pStyle w:val="TableParagraph"/>
              <w:rPr>
                <w:sz w:val="20"/>
              </w:rPr>
            </w:pPr>
            <w:r>
              <w:rPr>
                <w:sz w:val="20"/>
              </w:rPr>
              <w:t>https:/</w:t>
            </w:r>
            <w:hyperlink r:id="rId350">
              <w:r>
                <w:rPr>
                  <w:sz w:val="20"/>
                </w:rPr>
                <w:t>/www.et</w:t>
              </w:r>
            </w:hyperlink>
            <w:r>
              <w:rPr>
                <w:sz w:val="20"/>
              </w:rPr>
              <w:t>s</w:t>
            </w:r>
            <w:hyperlink r:id="rId350">
              <w:r>
                <w:rPr>
                  <w:sz w:val="20"/>
                </w:rPr>
                <w:t>y.com/shop/TwistedSkrews</w:t>
              </w:r>
            </w:hyperlink>
          </w:p>
        </w:tc>
      </w:tr>
      <w:tr>
        <w:trPr>
          <w:trHeight w:val="287" w:hRule="atLeast"/>
        </w:trPr>
        <w:tc>
          <w:tcPr>
            <w:tcW w:w="960" w:type="dxa"/>
          </w:tcPr>
          <w:p>
            <w:pPr>
              <w:pStyle w:val="TableParagraph"/>
              <w:rPr>
                <w:sz w:val="20"/>
              </w:rPr>
            </w:pPr>
            <w:r>
              <w:rPr>
                <w:sz w:val="20"/>
              </w:rPr>
              <w:t>134</w:t>
            </w:r>
          </w:p>
        </w:tc>
        <w:tc>
          <w:tcPr>
            <w:tcW w:w="2461" w:type="dxa"/>
          </w:tcPr>
          <w:p>
            <w:pPr>
              <w:pStyle w:val="TableParagraph"/>
              <w:rPr>
                <w:sz w:val="20"/>
              </w:rPr>
            </w:pPr>
            <w:r>
              <w:rPr>
                <w:sz w:val="20"/>
              </w:rPr>
              <w:t>Twistmo</w:t>
            </w:r>
          </w:p>
        </w:tc>
        <w:tc>
          <w:tcPr>
            <w:tcW w:w="5044" w:type="dxa"/>
          </w:tcPr>
          <w:p>
            <w:pPr>
              <w:pStyle w:val="TableParagraph"/>
              <w:rPr>
                <w:sz w:val="20"/>
              </w:rPr>
            </w:pPr>
            <w:r>
              <w:rPr>
                <w:sz w:val="20"/>
              </w:rPr>
              <w:t>https</w:t>
            </w:r>
            <w:hyperlink r:id="rId351">
              <w:r>
                <w:rPr>
                  <w:sz w:val="20"/>
                </w:rPr>
                <w:t>://www.</w:t>
              </w:r>
            </w:hyperlink>
            <w:r>
              <w:rPr>
                <w:sz w:val="20"/>
              </w:rPr>
              <w:t>ets</w:t>
            </w:r>
            <w:hyperlink r:id="rId351">
              <w:r>
                <w:rPr>
                  <w:sz w:val="20"/>
                </w:rPr>
                <w:t>y.com/shop/Twistmo</w:t>
              </w:r>
            </w:hyperlink>
          </w:p>
        </w:tc>
      </w:tr>
      <w:tr>
        <w:trPr>
          <w:trHeight w:val="287" w:hRule="atLeast"/>
        </w:trPr>
        <w:tc>
          <w:tcPr>
            <w:tcW w:w="960" w:type="dxa"/>
          </w:tcPr>
          <w:p>
            <w:pPr>
              <w:pStyle w:val="TableParagraph"/>
              <w:rPr>
                <w:sz w:val="20"/>
              </w:rPr>
            </w:pPr>
            <w:r>
              <w:rPr>
                <w:sz w:val="20"/>
              </w:rPr>
              <w:t>135</w:t>
            </w:r>
          </w:p>
        </w:tc>
        <w:tc>
          <w:tcPr>
            <w:tcW w:w="2461" w:type="dxa"/>
          </w:tcPr>
          <w:p>
            <w:pPr>
              <w:pStyle w:val="TableParagraph"/>
              <w:rPr>
                <w:sz w:val="20"/>
              </w:rPr>
            </w:pPr>
            <w:r>
              <w:rPr>
                <w:sz w:val="20"/>
              </w:rPr>
              <w:t>Vegacity</w:t>
            </w:r>
          </w:p>
        </w:tc>
        <w:tc>
          <w:tcPr>
            <w:tcW w:w="5044" w:type="dxa"/>
          </w:tcPr>
          <w:p>
            <w:pPr>
              <w:pStyle w:val="TableParagraph"/>
              <w:rPr>
                <w:sz w:val="20"/>
              </w:rPr>
            </w:pPr>
            <w:r>
              <w:rPr>
                <w:sz w:val="20"/>
              </w:rPr>
              <w:t>https</w:t>
            </w:r>
            <w:hyperlink r:id="rId352">
              <w:r>
                <w:rPr>
                  <w:sz w:val="20"/>
                </w:rPr>
                <w:t>://www.</w:t>
              </w:r>
            </w:hyperlink>
            <w:r>
              <w:rPr>
                <w:sz w:val="20"/>
              </w:rPr>
              <w:t>ets</w:t>
            </w:r>
            <w:hyperlink r:id="rId352">
              <w:r>
                <w:rPr>
                  <w:sz w:val="20"/>
                </w:rPr>
                <w:t>y.com/shop/Vegacity</w:t>
              </w:r>
            </w:hyperlink>
          </w:p>
        </w:tc>
      </w:tr>
      <w:tr>
        <w:trPr>
          <w:trHeight w:val="287" w:hRule="atLeast"/>
        </w:trPr>
        <w:tc>
          <w:tcPr>
            <w:tcW w:w="960" w:type="dxa"/>
          </w:tcPr>
          <w:p>
            <w:pPr>
              <w:pStyle w:val="TableParagraph"/>
              <w:rPr>
                <w:sz w:val="20"/>
              </w:rPr>
            </w:pPr>
            <w:r>
              <w:rPr>
                <w:sz w:val="20"/>
              </w:rPr>
              <w:t>136</w:t>
            </w:r>
          </w:p>
        </w:tc>
        <w:tc>
          <w:tcPr>
            <w:tcW w:w="2461" w:type="dxa"/>
          </w:tcPr>
          <w:p>
            <w:pPr>
              <w:pStyle w:val="TableParagraph"/>
              <w:rPr>
                <w:sz w:val="20"/>
              </w:rPr>
            </w:pPr>
            <w:r>
              <w:rPr>
                <w:sz w:val="20"/>
              </w:rPr>
              <w:t>VenexiaJewelry</w:t>
            </w:r>
          </w:p>
        </w:tc>
        <w:tc>
          <w:tcPr>
            <w:tcW w:w="5044" w:type="dxa"/>
          </w:tcPr>
          <w:p>
            <w:pPr>
              <w:pStyle w:val="TableParagraph"/>
              <w:rPr>
                <w:sz w:val="20"/>
              </w:rPr>
            </w:pPr>
            <w:r>
              <w:rPr>
                <w:sz w:val="20"/>
              </w:rPr>
              <w:t>https</w:t>
            </w:r>
            <w:hyperlink r:id="rId353">
              <w:r>
                <w:rPr>
                  <w:sz w:val="20"/>
                </w:rPr>
                <w:t>://www.</w:t>
              </w:r>
            </w:hyperlink>
            <w:r>
              <w:rPr>
                <w:sz w:val="20"/>
              </w:rPr>
              <w:t>ets</w:t>
            </w:r>
            <w:hyperlink r:id="rId353">
              <w:r>
                <w:rPr>
                  <w:sz w:val="20"/>
                </w:rPr>
                <w:t>y.com/shop/VenexiaJewelry</w:t>
              </w:r>
            </w:hyperlink>
          </w:p>
        </w:tc>
      </w:tr>
      <w:tr>
        <w:trPr>
          <w:trHeight w:val="287" w:hRule="atLeast"/>
        </w:trPr>
        <w:tc>
          <w:tcPr>
            <w:tcW w:w="960" w:type="dxa"/>
          </w:tcPr>
          <w:p>
            <w:pPr>
              <w:pStyle w:val="TableParagraph"/>
              <w:rPr>
                <w:sz w:val="20"/>
              </w:rPr>
            </w:pPr>
            <w:r>
              <w:rPr>
                <w:sz w:val="20"/>
              </w:rPr>
              <w:t>137</w:t>
            </w:r>
          </w:p>
        </w:tc>
        <w:tc>
          <w:tcPr>
            <w:tcW w:w="2461" w:type="dxa"/>
          </w:tcPr>
          <w:p>
            <w:pPr>
              <w:pStyle w:val="TableParagraph"/>
              <w:rPr>
                <w:sz w:val="20"/>
              </w:rPr>
            </w:pPr>
            <w:r>
              <w:rPr>
                <w:sz w:val="20"/>
              </w:rPr>
              <w:t>Waen</w:t>
            </w:r>
          </w:p>
        </w:tc>
        <w:tc>
          <w:tcPr>
            <w:tcW w:w="5044" w:type="dxa"/>
          </w:tcPr>
          <w:p>
            <w:pPr>
              <w:pStyle w:val="TableParagraph"/>
              <w:rPr>
                <w:sz w:val="20"/>
              </w:rPr>
            </w:pPr>
            <w:r>
              <w:rPr>
                <w:sz w:val="20"/>
              </w:rPr>
              <w:t>https</w:t>
            </w:r>
            <w:hyperlink r:id="rId354">
              <w:r>
                <w:rPr>
                  <w:sz w:val="20"/>
                </w:rPr>
                <w:t>://www.</w:t>
              </w:r>
            </w:hyperlink>
            <w:r>
              <w:rPr>
                <w:sz w:val="20"/>
              </w:rPr>
              <w:t>ets</w:t>
            </w:r>
            <w:hyperlink r:id="rId354">
              <w:r>
                <w:rPr>
                  <w:sz w:val="20"/>
                </w:rPr>
                <w:t>y.com/shop/Waen</w:t>
              </w:r>
            </w:hyperlink>
          </w:p>
        </w:tc>
      </w:tr>
      <w:tr>
        <w:trPr>
          <w:trHeight w:val="290" w:hRule="atLeast"/>
        </w:trPr>
        <w:tc>
          <w:tcPr>
            <w:tcW w:w="960" w:type="dxa"/>
          </w:tcPr>
          <w:p>
            <w:pPr>
              <w:pStyle w:val="TableParagraph"/>
              <w:rPr>
                <w:sz w:val="20"/>
              </w:rPr>
            </w:pPr>
            <w:r>
              <w:rPr>
                <w:sz w:val="20"/>
              </w:rPr>
              <w:t>138</w:t>
            </w:r>
          </w:p>
        </w:tc>
        <w:tc>
          <w:tcPr>
            <w:tcW w:w="2461" w:type="dxa"/>
          </w:tcPr>
          <w:p>
            <w:pPr>
              <w:pStyle w:val="TableParagraph"/>
              <w:rPr>
                <w:sz w:val="20"/>
              </w:rPr>
            </w:pPr>
            <w:r>
              <w:rPr>
                <w:sz w:val="20"/>
              </w:rPr>
              <w:t>WaldenGoods</w:t>
            </w:r>
          </w:p>
        </w:tc>
        <w:tc>
          <w:tcPr>
            <w:tcW w:w="5044" w:type="dxa"/>
          </w:tcPr>
          <w:p>
            <w:pPr>
              <w:pStyle w:val="TableParagraph"/>
              <w:rPr>
                <w:sz w:val="20"/>
              </w:rPr>
            </w:pPr>
            <w:r>
              <w:rPr>
                <w:sz w:val="20"/>
              </w:rPr>
              <w:t>https</w:t>
            </w:r>
            <w:hyperlink r:id="rId355">
              <w:r>
                <w:rPr>
                  <w:sz w:val="20"/>
                </w:rPr>
                <w:t>://www.</w:t>
              </w:r>
            </w:hyperlink>
            <w:r>
              <w:rPr>
                <w:sz w:val="20"/>
              </w:rPr>
              <w:t>ets</w:t>
            </w:r>
            <w:hyperlink r:id="rId355">
              <w:r>
                <w:rPr>
                  <w:sz w:val="20"/>
                </w:rPr>
                <w:t>y.com/shop/WaldenGoods</w:t>
              </w:r>
            </w:hyperlink>
          </w:p>
        </w:tc>
      </w:tr>
      <w:tr>
        <w:trPr>
          <w:trHeight w:val="287" w:hRule="atLeast"/>
        </w:trPr>
        <w:tc>
          <w:tcPr>
            <w:tcW w:w="960" w:type="dxa"/>
          </w:tcPr>
          <w:p>
            <w:pPr>
              <w:pStyle w:val="TableParagraph"/>
              <w:rPr>
                <w:sz w:val="20"/>
              </w:rPr>
            </w:pPr>
            <w:r>
              <w:rPr>
                <w:sz w:val="20"/>
              </w:rPr>
              <w:t>139</w:t>
            </w:r>
          </w:p>
        </w:tc>
        <w:tc>
          <w:tcPr>
            <w:tcW w:w="2461" w:type="dxa"/>
          </w:tcPr>
          <w:p>
            <w:pPr>
              <w:pStyle w:val="TableParagraph"/>
              <w:rPr>
                <w:sz w:val="20"/>
              </w:rPr>
            </w:pPr>
            <w:r>
              <w:rPr>
                <w:sz w:val="20"/>
              </w:rPr>
              <w:t>WallKnot</w:t>
            </w:r>
          </w:p>
        </w:tc>
        <w:tc>
          <w:tcPr>
            <w:tcW w:w="5044" w:type="dxa"/>
          </w:tcPr>
          <w:p>
            <w:pPr>
              <w:pStyle w:val="TableParagraph"/>
              <w:rPr>
                <w:sz w:val="20"/>
              </w:rPr>
            </w:pPr>
            <w:r>
              <w:rPr>
                <w:sz w:val="20"/>
              </w:rPr>
              <w:t>https</w:t>
            </w:r>
            <w:hyperlink r:id="rId356">
              <w:r>
                <w:rPr>
                  <w:sz w:val="20"/>
                </w:rPr>
                <w:t>://www.</w:t>
              </w:r>
            </w:hyperlink>
            <w:r>
              <w:rPr>
                <w:sz w:val="20"/>
              </w:rPr>
              <w:t>ets</w:t>
            </w:r>
            <w:hyperlink r:id="rId356">
              <w:r>
                <w:rPr>
                  <w:sz w:val="20"/>
                </w:rPr>
                <w:t>y.com/shop/WallKnot</w:t>
              </w:r>
            </w:hyperlink>
          </w:p>
        </w:tc>
      </w:tr>
      <w:tr>
        <w:trPr>
          <w:trHeight w:val="288" w:hRule="atLeast"/>
        </w:trPr>
        <w:tc>
          <w:tcPr>
            <w:tcW w:w="960" w:type="dxa"/>
          </w:tcPr>
          <w:p>
            <w:pPr>
              <w:pStyle w:val="TableParagraph"/>
              <w:spacing w:before="1"/>
              <w:rPr>
                <w:sz w:val="20"/>
              </w:rPr>
            </w:pPr>
            <w:r>
              <w:rPr>
                <w:sz w:val="20"/>
              </w:rPr>
              <w:t>140</w:t>
            </w:r>
          </w:p>
        </w:tc>
        <w:tc>
          <w:tcPr>
            <w:tcW w:w="2461" w:type="dxa"/>
          </w:tcPr>
          <w:p>
            <w:pPr>
              <w:pStyle w:val="TableParagraph"/>
              <w:spacing w:before="1"/>
              <w:rPr>
                <w:sz w:val="20"/>
              </w:rPr>
            </w:pPr>
            <w:r>
              <w:rPr>
                <w:sz w:val="20"/>
              </w:rPr>
              <w:t>YAMMBoutique</w:t>
            </w:r>
          </w:p>
        </w:tc>
        <w:tc>
          <w:tcPr>
            <w:tcW w:w="5044" w:type="dxa"/>
          </w:tcPr>
          <w:p>
            <w:pPr>
              <w:pStyle w:val="TableParagraph"/>
              <w:spacing w:before="1"/>
              <w:rPr>
                <w:sz w:val="20"/>
              </w:rPr>
            </w:pPr>
            <w:r>
              <w:rPr>
                <w:sz w:val="20"/>
              </w:rPr>
              <w:t>https</w:t>
            </w:r>
            <w:hyperlink r:id="rId357">
              <w:r>
                <w:rPr>
                  <w:sz w:val="20"/>
                </w:rPr>
                <w:t>://www.</w:t>
              </w:r>
            </w:hyperlink>
            <w:r>
              <w:rPr>
                <w:sz w:val="20"/>
              </w:rPr>
              <w:t>ets</w:t>
            </w:r>
            <w:hyperlink r:id="rId357">
              <w:r>
                <w:rPr>
                  <w:sz w:val="20"/>
                </w:rPr>
                <w:t>y.com/shop/YAMMBoutique</w:t>
              </w:r>
            </w:hyperlink>
          </w:p>
        </w:tc>
      </w:tr>
      <w:tr>
        <w:trPr>
          <w:trHeight w:val="287" w:hRule="atLeast"/>
        </w:trPr>
        <w:tc>
          <w:tcPr>
            <w:tcW w:w="960" w:type="dxa"/>
          </w:tcPr>
          <w:p>
            <w:pPr>
              <w:pStyle w:val="TableParagraph"/>
              <w:rPr>
                <w:sz w:val="20"/>
              </w:rPr>
            </w:pPr>
            <w:r>
              <w:rPr>
                <w:sz w:val="20"/>
              </w:rPr>
              <w:t>141</w:t>
            </w:r>
          </w:p>
        </w:tc>
        <w:tc>
          <w:tcPr>
            <w:tcW w:w="2461" w:type="dxa"/>
          </w:tcPr>
          <w:p>
            <w:pPr>
              <w:pStyle w:val="TableParagraph"/>
              <w:rPr>
                <w:sz w:val="20"/>
              </w:rPr>
            </w:pPr>
            <w:r>
              <w:rPr>
                <w:sz w:val="20"/>
              </w:rPr>
              <w:t>zoobizu</w:t>
            </w:r>
          </w:p>
        </w:tc>
        <w:tc>
          <w:tcPr>
            <w:tcW w:w="5044" w:type="dxa"/>
          </w:tcPr>
          <w:p>
            <w:pPr>
              <w:pStyle w:val="TableParagraph"/>
              <w:rPr>
                <w:sz w:val="20"/>
              </w:rPr>
            </w:pPr>
            <w:r>
              <w:rPr>
                <w:sz w:val="20"/>
              </w:rPr>
              <w:t>https</w:t>
            </w:r>
            <w:hyperlink r:id="rId358">
              <w:r>
                <w:rPr>
                  <w:sz w:val="20"/>
                </w:rPr>
                <w:t>://www.</w:t>
              </w:r>
            </w:hyperlink>
            <w:r>
              <w:rPr>
                <w:sz w:val="20"/>
              </w:rPr>
              <w:t>ets</w:t>
            </w:r>
            <w:hyperlink r:id="rId358">
              <w:r>
                <w:rPr>
                  <w:sz w:val="20"/>
                </w:rPr>
                <w:t>y.com/shop/zoobizu</w:t>
              </w:r>
            </w:hyperlink>
          </w:p>
        </w:tc>
      </w:tr>
      <w:tr>
        <w:trPr>
          <w:trHeight w:val="287" w:hRule="atLeast"/>
        </w:trPr>
        <w:tc>
          <w:tcPr>
            <w:tcW w:w="960" w:type="dxa"/>
          </w:tcPr>
          <w:p>
            <w:pPr>
              <w:pStyle w:val="TableParagraph"/>
              <w:rPr>
                <w:sz w:val="20"/>
              </w:rPr>
            </w:pPr>
            <w:r>
              <w:rPr>
                <w:sz w:val="20"/>
              </w:rPr>
              <w:t>142</w:t>
            </w:r>
          </w:p>
        </w:tc>
        <w:tc>
          <w:tcPr>
            <w:tcW w:w="2461" w:type="dxa"/>
          </w:tcPr>
          <w:p>
            <w:pPr>
              <w:pStyle w:val="TableParagraph"/>
              <w:rPr>
                <w:sz w:val="20"/>
              </w:rPr>
            </w:pPr>
            <w:r>
              <w:rPr>
                <w:sz w:val="20"/>
              </w:rPr>
              <w:t>ZygoMax</w:t>
            </w:r>
          </w:p>
        </w:tc>
        <w:tc>
          <w:tcPr>
            <w:tcW w:w="5044" w:type="dxa"/>
          </w:tcPr>
          <w:p>
            <w:pPr>
              <w:pStyle w:val="TableParagraph"/>
              <w:rPr>
                <w:sz w:val="20"/>
              </w:rPr>
            </w:pPr>
            <w:r>
              <w:rPr>
                <w:sz w:val="20"/>
              </w:rPr>
              <w:t>https</w:t>
            </w:r>
            <w:hyperlink r:id="rId359">
              <w:r>
                <w:rPr>
                  <w:sz w:val="20"/>
                </w:rPr>
                <w:t>://www.</w:t>
              </w:r>
            </w:hyperlink>
            <w:r>
              <w:rPr>
                <w:sz w:val="20"/>
              </w:rPr>
              <w:t>ets</w:t>
            </w:r>
            <w:hyperlink r:id="rId359">
              <w:r>
                <w:rPr>
                  <w:sz w:val="20"/>
                </w:rPr>
                <w:t>y.com/shop/ZygoMax</w:t>
              </w:r>
            </w:hyperlink>
          </w:p>
        </w:tc>
      </w:tr>
    </w:tbl>
    <w:p>
      <w:pPr>
        <w:spacing w:after="0"/>
        <w:rPr>
          <w:sz w:val="20"/>
        </w:rPr>
        <w:sectPr>
          <w:pgSz w:w="12240" w:h="15840"/>
          <w:pgMar w:header="718" w:footer="0" w:top="1320" w:bottom="280" w:left="1720" w:right="1020"/>
        </w:sectPr>
      </w:pPr>
    </w:p>
    <w:p>
      <w:pPr>
        <w:spacing w:before="80"/>
        <w:ind w:left="530" w:right="97" w:firstLine="0"/>
        <w:jc w:val="center"/>
        <w:rPr>
          <w:b/>
          <w:sz w:val="24"/>
        </w:rPr>
      </w:pPr>
      <w:r>
        <w:rPr>
          <w:b/>
          <w:sz w:val="24"/>
        </w:rPr>
        <w:t>ÖZ GEÇMİŞ</w:t>
      </w:r>
    </w:p>
    <w:p>
      <w:pPr>
        <w:spacing w:before="120"/>
        <w:ind w:left="530" w:right="6642" w:firstLine="0"/>
        <w:jc w:val="center"/>
        <w:rPr>
          <w:b/>
          <w:sz w:val="24"/>
        </w:rPr>
      </w:pPr>
      <w:r>
        <w:rPr>
          <w:b/>
          <w:sz w:val="24"/>
        </w:rPr>
        <w:t>KİMLİK BİLGİLERİ</w:t>
      </w:r>
    </w:p>
    <w:p>
      <w:pPr>
        <w:tabs>
          <w:tab w:pos="2675" w:val="left" w:leader="none"/>
        </w:tabs>
        <w:spacing w:before="120"/>
        <w:ind w:left="548" w:right="0" w:firstLine="0"/>
        <w:jc w:val="left"/>
        <w:rPr>
          <w:sz w:val="24"/>
        </w:rPr>
      </w:pPr>
      <w:r>
        <w:rPr>
          <w:b/>
          <w:sz w:val="24"/>
        </w:rPr>
        <w:t>Adı</w:t>
      </w:r>
      <w:r>
        <w:rPr>
          <w:b/>
          <w:spacing w:val="-1"/>
          <w:sz w:val="24"/>
        </w:rPr>
        <w:t> </w:t>
      </w:r>
      <w:r>
        <w:rPr>
          <w:b/>
          <w:sz w:val="24"/>
        </w:rPr>
        <w:t>Soyadı</w:t>
        <w:tab/>
        <w:t>: </w:t>
      </w:r>
      <w:r>
        <w:rPr>
          <w:sz w:val="24"/>
        </w:rPr>
        <w:t>Murat</w:t>
      </w:r>
      <w:r>
        <w:rPr>
          <w:spacing w:val="-1"/>
          <w:sz w:val="24"/>
        </w:rPr>
        <w:t> </w:t>
      </w:r>
      <w:r>
        <w:rPr>
          <w:sz w:val="24"/>
        </w:rPr>
        <w:t>KANTAR</w:t>
      </w:r>
    </w:p>
    <w:p>
      <w:pPr>
        <w:tabs>
          <w:tab w:pos="2675" w:val="left" w:leader="none"/>
        </w:tabs>
        <w:spacing w:before="120"/>
        <w:ind w:left="548" w:right="0" w:firstLine="0"/>
        <w:jc w:val="left"/>
        <w:rPr>
          <w:sz w:val="24"/>
        </w:rPr>
      </w:pPr>
      <w:r>
        <w:rPr>
          <w:b/>
          <w:sz w:val="24"/>
        </w:rPr>
        <w:t>Doğum</w:t>
      </w:r>
      <w:r>
        <w:rPr>
          <w:b/>
          <w:spacing w:val="-2"/>
          <w:sz w:val="24"/>
        </w:rPr>
        <w:t> </w:t>
      </w:r>
      <w:r>
        <w:rPr>
          <w:b/>
          <w:sz w:val="24"/>
        </w:rPr>
        <w:t>Yeri</w:t>
        <w:tab/>
        <w:t>:</w:t>
      </w:r>
      <w:r>
        <w:rPr>
          <w:b/>
          <w:spacing w:val="-1"/>
          <w:sz w:val="24"/>
        </w:rPr>
        <w:t> </w:t>
      </w:r>
      <w:r>
        <w:rPr>
          <w:sz w:val="24"/>
        </w:rPr>
        <w:t>Çorum</w:t>
      </w:r>
    </w:p>
    <w:p>
      <w:pPr>
        <w:tabs>
          <w:tab w:pos="2675" w:val="left" w:leader="none"/>
        </w:tabs>
        <w:spacing w:before="120"/>
        <w:ind w:left="548" w:right="0" w:firstLine="0"/>
        <w:jc w:val="left"/>
        <w:rPr>
          <w:sz w:val="24"/>
        </w:rPr>
      </w:pPr>
      <w:r>
        <w:rPr>
          <w:b/>
          <w:sz w:val="24"/>
        </w:rPr>
        <w:t>Doğum</w:t>
      </w:r>
      <w:r>
        <w:rPr>
          <w:b/>
          <w:spacing w:val="-1"/>
          <w:sz w:val="24"/>
        </w:rPr>
        <w:t> </w:t>
      </w:r>
      <w:r>
        <w:rPr>
          <w:b/>
          <w:sz w:val="24"/>
        </w:rPr>
        <w:t>Tarihi</w:t>
        <w:tab/>
        <w:t>:</w:t>
      </w:r>
      <w:r>
        <w:rPr>
          <w:b/>
          <w:spacing w:val="-1"/>
          <w:sz w:val="24"/>
        </w:rPr>
        <w:t> </w:t>
      </w:r>
      <w:r>
        <w:rPr>
          <w:sz w:val="24"/>
        </w:rPr>
        <w:t>26.10.1982</w:t>
      </w:r>
    </w:p>
    <w:p>
      <w:pPr>
        <w:tabs>
          <w:tab w:pos="2675" w:val="left" w:leader="none"/>
        </w:tabs>
        <w:spacing w:before="120"/>
        <w:ind w:left="548" w:right="0" w:firstLine="0"/>
        <w:jc w:val="left"/>
        <w:rPr>
          <w:sz w:val="24"/>
        </w:rPr>
      </w:pPr>
      <w:r>
        <w:rPr>
          <w:b/>
          <w:sz w:val="24"/>
        </w:rPr>
        <w:t>E-posta</w:t>
        <w:tab/>
        <w:t>:</w:t>
      </w:r>
      <w:r>
        <w:rPr>
          <w:b/>
          <w:spacing w:val="-2"/>
          <w:sz w:val="24"/>
        </w:rPr>
        <w:t> </w:t>
      </w:r>
      <w:hyperlink r:id="rId360">
        <w:r>
          <w:rPr>
            <w:sz w:val="24"/>
          </w:rPr>
          <w:t>mkantar@pau.edu.tr</w:t>
        </w:r>
      </w:hyperlink>
    </w:p>
    <w:p>
      <w:pPr>
        <w:pStyle w:val="BodyText"/>
        <w:ind w:left="0"/>
        <w:jc w:val="left"/>
        <w:rPr>
          <w:sz w:val="26"/>
        </w:rPr>
      </w:pPr>
    </w:p>
    <w:p>
      <w:pPr>
        <w:pStyle w:val="Heading1"/>
        <w:spacing w:before="217"/>
        <w:ind w:left="548" w:firstLine="0"/>
        <w:jc w:val="left"/>
      </w:pPr>
      <w:r>
        <w:rPr/>
        <w:t>EĞİTİM BİLGİLERİ</w:t>
      </w:r>
    </w:p>
    <w:p>
      <w:pPr>
        <w:pStyle w:val="BodyText"/>
        <w:tabs>
          <w:tab w:pos="2675" w:val="left" w:leader="none"/>
        </w:tabs>
        <w:spacing w:before="120"/>
        <w:jc w:val="left"/>
      </w:pPr>
      <w:r>
        <w:rPr>
          <w:b/>
        </w:rPr>
        <w:t>Lisans</w:t>
        <w:tab/>
        <w:t>: </w:t>
      </w:r>
      <w:r>
        <w:rPr/>
        <w:t>Çankaya Üniversitesi İşletme (Burslu)</w:t>
      </w:r>
      <w:r>
        <w:rPr>
          <w:spacing w:val="-3"/>
        </w:rPr>
        <w:t> </w:t>
      </w:r>
      <w:r>
        <w:rPr/>
        <w:t>(2011)</w:t>
      </w:r>
    </w:p>
    <w:p>
      <w:pPr>
        <w:pStyle w:val="BodyText"/>
        <w:tabs>
          <w:tab w:pos="2675" w:val="left" w:leader="none"/>
        </w:tabs>
        <w:spacing w:before="121"/>
        <w:ind w:left="2675" w:right="111" w:hanging="2127"/>
        <w:jc w:val="left"/>
      </w:pPr>
      <w:r>
        <w:rPr>
          <w:b/>
        </w:rPr>
        <w:t>Yüksek</w:t>
      </w:r>
      <w:r>
        <w:rPr>
          <w:b/>
          <w:spacing w:val="-2"/>
        </w:rPr>
        <w:t> </w:t>
      </w:r>
      <w:r>
        <w:rPr>
          <w:b/>
        </w:rPr>
        <w:t>Lisans</w:t>
        <w:tab/>
        <w:t>:</w:t>
      </w:r>
      <w:r>
        <w:rPr>
          <w:b/>
          <w:spacing w:val="-11"/>
        </w:rPr>
        <w:t> </w:t>
      </w:r>
      <w:r>
        <w:rPr/>
        <w:t>Pamukkale</w:t>
      </w:r>
      <w:r>
        <w:rPr>
          <w:spacing w:val="-11"/>
        </w:rPr>
        <w:t> </w:t>
      </w:r>
      <w:r>
        <w:rPr/>
        <w:t>Üniversitesi,</w:t>
      </w:r>
      <w:r>
        <w:rPr>
          <w:spacing w:val="-11"/>
        </w:rPr>
        <w:t> </w:t>
      </w:r>
      <w:r>
        <w:rPr/>
        <w:t>Sosyal</w:t>
      </w:r>
      <w:r>
        <w:rPr>
          <w:spacing w:val="-10"/>
        </w:rPr>
        <w:t> </w:t>
      </w:r>
      <w:r>
        <w:rPr/>
        <w:t>Bilimler</w:t>
      </w:r>
      <w:r>
        <w:rPr>
          <w:spacing w:val="-10"/>
        </w:rPr>
        <w:t> </w:t>
      </w:r>
      <w:r>
        <w:rPr/>
        <w:t>Enstitüsü,</w:t>
      </w:r>
      <w:r>
        <w:rPr>
          <w:spacing w:val="-10"/>
        </w:rPr>
        <w:t> </w:t>
      </w:r>
      <w:r>
        <w:rPr/>
        <w:t>Üretim</w:t>
      </w:r>
      <w:r>
        <w:rPr>
          <w:spacing w:val="-10"/>
        </w:rPr>
        <w:t> </w:t>
      </w:r>
      <w:r>
        <w:rPr/>
        <w:t>Yönetimi ve Pazarlama Tezli YL Programı</w:t>
      </w:r>
      <w:r>
        <w:rPr>
          <w:spacing w:val="-3"/>
        </w:rPr>
        <w:t> </w:t>
      </w:r>
      <w:r>
        <w:rPr/>
        <w:t>(2014)</w:t>
      </w:r>
    </w:p>
    <w:p>
      <w:pPr>
        <w:pStyle w:val="BodyText"/>
        <w:tabs>
          <w:tab w:pos="2675" w:val="left" w:leader="none"/>
        </w:tabs>
        <w:spacing w:before="120"/>
        <w:ind w:left="2675" w:right="117" w:hanging="2127"/>
        <w:jc w:val="left"/>
      </w:pPr>
      <w:r>
        <w:rPr>
          <w:b/>
        </w:rPr>
        <w:t>Doktora</w:t>
        <w:tab/>
        <w:t>:</w:t>
      </w:r>
      <w:r>
        <w:rPr/>
        <w:t>Pamukkale Üniversitesi, Sosyal Bilimler Enstitüsü, Genel İşletme Doktora Programı</w:t>
      </w:r>
      <w:r>
        <w:rPr>
          <w:spacing w:val="-2"/>
        </w:rPr>
        <w:t> </w:t>
      </w:r>
      <w:r>
        <w:rPr/>
        <w:t>(2020)</w:t>
      </w:r>
    </w:p>
    <w:p>
      <w:pPr>
        <w:pStyle w:val="BodyText"/>
        <w:ind w:left="0"/>
        <w:jc w:val="left"/>
        <w:rPr>
          <w:sz w:val="26"/>
        </w:rPr>
      </w:pPr>
    </w:p>
    <w:p>
      <w:pPr>
        <w:spacing w:before="217"/>
        <w:ind w:left="548" w:right="0" w:firstLine="0"/>
        <w:jc w:val="left"/>
        <w:rPr>
          <w:sz w:val="24"/>
        </w:rPr>
      </w:pPr>
      <w:r>
        <w:rPr>
          <w:b/>
          <w:sz w:val="24"/>
        </w:rPr>
        <w:t>Yabancı Dil ve Düzeyi: </w:t>
      </w:r>
      <w:r>
        <w:rPr>
          <w:sz w:val="24"/>
        </w:rPr>
        <w:t>İngilizce (YÖKDİL:</w:t>
      </w:r>
      <w:r>
        <w:rPr>
          <w:spacing w:val="-16"/>
          <w:sz w:val="24"/>
        </w:rPr>
        <w:t> </w:t>
      </w:r>
      <w:r>
        <w:rPr>
          <w:sz w:val="24"/>
        </w:rPr>
        <w:t>91,25)</w:t>
      </w:r>
    </w:p>
    <w:p>
      <w:pPr>
        <w:pStyle w:val="BodyText"/>
        <w:ind w:left="0"/>
        <w:jc w:val="left"/>
        <w:rPr>
          <w:sz w:val="26"/>
        </w:rPr>
      </w:pPr>
    </w:p>
    <w:p>
      <w:pPr>
        <w:pStyle w:val="BodyText"/>
        <w:tabs>
          <w:tab w:pos="2669" w:val="left" w:leader="none"/>
        </w:tabs>
        <w:spacing w:before="217"/>
        <w:ind w:left="2675" w:right="113" w:hanging="2127"/>
        <w:jc w:val="left"/>
      </w:pPr>
      <w:r>
        <w:rPr>
          <w:b/>
        </w:rPr>
        <w:t>İŞ</w:t>
      </w:r>
      <w:r>
        <w:rPr>
          <w:b/>
          <w:spacing w:val="-5"/>
        </w:rPr>
        <w:t> </w:t>
      </w:r>
      <w:r>
        <w:rPr>
          <w:b/>
        </w:rPr>
        <w:t>DENEYİMİ</w:t>
        <w:tab/>
        <w:t>: </w:t>
      </w:r>
      <w:r>
        <w:rPr/>
        <w:t>Araştırma Görevlisi-Pamukkale Üniversitesi, Uluslararası Ticaret</w:t>
      </w:r>
      <w:r>
        <w:rPr>
          <w:spacing w:val="-31"/>
        </w:rPr>
        <w:t> </w:t>
      </w:r>
      <w:r>
        <w:rPr/>
        <w:t>ve Finansman Bölümü</w:t>
      </w:r>
      <w:r>
        <w:rPr>
          <w:spacing w:val="-1"/>
        </w:rPr>
        <w:t> </w:t>
      </w:r>
      <w:r>
        <w:rPr/>
        <w:t>(2011-…)</w:t>
      </w:r>
    </w:p>
    <w:p>
      <w:pPr>
        <w:pStyle w:val="BodyText"/>
        <w:ind w:left="0"/>
        <w:jc w:val="left"/>
        <w:rPr>
          <w:sz w:val="26"/>
        </w:rPr>
      </w:pPr>
    </w:p>
    <w:p>
      <w:pPr>
        <w:pStyle w:val="BodyText"/>
        <w:ind w:left="0"/>
        <w:jc w:val="left"/>
        <w:rPr>
          <w:sz w:val="26"/>
        </w:rPr>
      </w:pPr>
    </w:p>
    <w:p>
      <w:pPr>
        <w:pStyle w:val="BodyText"/>
        <w:spacing w:before="4"/>
        <w:ind w:left="0"/>
        <w:jc w:val="left"/>
        <w:rPr>
          <w:sz w:val="27"/>
        </w:rPr>
      </w:pPr>
    </w:p>
    <w:p>
      <w:pPr>
        <w:pStyle w:val="Heading1"/>
        <w:ind w:left="548" w:firstLine="0"/>
        <w:jc w:val="left"/>
      </w:pPr>
      <w:r>
        <w:rPr/>
        <w:t>TEZDEN ÜRETİLEN TEBLİĞ VE YAYINLAR:</w:t>
      </w:r>
    </w:p>
    <w:p>
      <w:pPr>
        <w:pStyle w:val="BodyText"/>
        <w:spacing w:before="120"/>
        <w:ind w:left="1256" w:right="115" w:hanging="708"/>
      </w:pPr>
      <w:r>
        <w:rPr/>
        <w:t>Kantar,</w:t>
      </w:r>
      <w:r>
        <w:rPr>
          <w:spacing w:val="-11"/>
        </w:rPr>
        <w:t> </w:t>
      </w:r>
      <w:r>
        <w:rPr/>
        <w:t>M.,</w:t>
      </w:r>
      <w:r>
        <w:rPr>
          <w:spacing w:val="-11"/>
        </w:rPr>
        <w:t> </w:t>
      </w:r>
      <w:r>
        <w:rPr/>
        <w:t>&amp;</w:t>
      </w:r>
      <w:r>
        <w:rPr>
          <w:spacing w:val="-11"/>
        </w:rPr>
        <w:t> </w:t>
      </w:r>
      <w:r>
        <w:rPr/>
        <w:t>Bardakci,</w:t>
      </w:r>
      <w:r>
        <w:rPr>
          <w:spacing w:val="-8"/>
        </w:rPr>
        <w:t> </w:t>
      </w:r>
      <w:r>
        <w:rPr/>
        <w:t>A.</w:t>
      </w:r>
      <w:r>
        <w:rPr>
          <w:spacing w:val="-10"/>
        </w:rPr>
        <w:t> </w:t>
      </w:r>
      <w:r>
        <w:rPr/>
        <w:t>(2019).</w:t>
      </w:r>
      <w:r>
        <w:rPr>
          <w:spacing w:val="-12"/>
        </w:rPr>
        <w:t> </w:t>
      </w:r>
      <w:r>
        <w:rPr/>
        <w:t>The</w:t>
      </w:r>
      <w:r>
        <w:rPr>
          <w:spacing w:val="-10"/>
        </w:rPr>
        <w:t> </w:t>
      </w:r>
      <w:r>
        <w:rPr/>
        <w:t>Influence</w:t>
      </w:r>
      <w:r>
        <w:rPr>
          <w:spacing w:val="-10"/>
        </w:rPr>
        <w:t> </w:t>
      </w:r>
      <w:r>
        <w:rPr/>
        <w:t>of</w:t>
      </w:r>
      <w:r>
        <w:rPr>
          <w:spacing w:val="-12"/>
        </w:rPr>
        <w:t> </w:t>
      </w:r>
      <w:r>
        <w:rPr/>
        <w:t>The</w:t>
      </w:r>
      <w:r>
        <w:rPr>
          <w:spacing w:val="-12"/>
        </w:rPr>
        <w:t> </w:t>
      </w:r>
      <w:r>
        <w:rPr/>
        <w:t>Volume</w:t>
      </w:r>
      <w:r>
        <w:rPr>
          <w:spacing w:val="-9"/>
        </w:rPr>
        <w:t> </w:t>
      </w:r>
      <w:r>
        <w:rPr/>
        <w:t>and</w:t>
      </w:r>
      <w:r>
        <w:rPr>
          <w:spacing w:val="-11"/>
        </w:rPr>
        <w:t> </w:t>
      </w:r>
      <w:r>
        <w:rPr/>
        <w:t>The</w:t>
      </w:r>
      <w:r>
        <w:rPr>
          <w:spacing w:val="-8"/>
        </w:rPr>
        <w:t> </w:t>
      </w:r>
      <w:r>
        <w:rPr/>
        <w:t>Valence</w:t>
      </w:r>
      <w:r>
        <w:rPr>
          <w:spacing w:val="-11"/>
        </w:rPr>
        <w:t> </w:t>
      </w:r>
      <w:r>
        <w:rPr/>
        <w:t>of</w:t>
      </w:r>
      <w:r>
        <w:rPr>
          <w:spacing w:val="-12"/>
        </w:rPr>
        <w:t> </w:t>
      </w:r>
      <w:r>
        <w:rPr/>
        <w:t>Online Reviews: A Dynamic Panel Data Analysis. 48th EMAC Annual Conference, Hamburg.</w:t>
      </w:r>
    </w:p>
    <w:sectPr>
      <w:pgSz w:w="12240" w:h="15840"/>
      <w:pgMar w:header="718" w:footer="0" w:top="1320" w:bottom="280" w:left="17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Wingdings">
    <w:altName w:val="Wingdings"/>
    <w:charset w:val="2"/>
    <w:family w:val="auto"/>
    <w:pitch w:val="variable"/>
  </w:font>
  <w:font w:name="DejaVu Serif Condensed">
    <w:altName w:val="DejaVu Serif Condensed"/>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39.140015pt;margin-top:34.88451pt;width:19.4pt;height:13.05pt;mso-position-horizontal-relative:page;mso-position-vertical-relative:page;z-index:-21999104" type="#_x0000_t202" filled="false" stroked="false">
          <v:textbox inset="0,0,0,0">
            <w:txbxContent>
              <w:p>
                <w:pPr>
                  <w:spacing w:before="10"/>
                  <w:ind w:left="60" w:right="0" w:firstLine="0"/>
                  <w:jc w:val="left"/>
                  <w:rPr>
                    <w:sz w:val="20"/>
                  </w:rPr>
                </w:pPr>
                <w:r>
                  <w:rPr/>
                  <w:fldChar w:fldCharType="begin"/>
                </w:r>
                <w:r>
                  <w:rPr>
                    <w:sz w:val="20"/>
                  </w:rPr>
                  <w:instrText> PAGE  \* roman </w:instrText>
                </w:r>
                <w:r>
                  <w:rPr/>
                  <w:fldChar w:fldCharType="separate"/>
                </w:r>
                <w:r>
                  <w:rPr/>
                  <w:t>viii</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37.460022pt;margin-top:34.88451pt;width:21.15pt;height:13.05pt;mso-position-horizontal-relative:page;mso-position-vertical-relative:page;z-index:-21998592" type="#_x0000_t202" filled="false" stroked="false">
          <v:textbox inset="0,0,0,0">
            <w:txbxContent>
              <w:p>
                <w:pPr>
                  <w:spacing w:before="1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703.179993pt;margin-top:34.88451pt;width:21.15pt;height:13.05pt;mso-position-horizontal-relative:page;mso-position-vertical-relative:page;z-index:-21998080" type="#_x0000_t202" filled="false" stroked="false">
          <v:textbox inset="0,0,0,0">
            <w:txbxContent>
              <w:p>
                <w:pPr>
                  <w:spacing w:before="10"/>
                  <w:ind w:left="60" w:right="0" w:firstLine="0"/>
                  <w:jc w:val="left"/>
                  <w:rPr>
                    <w:sz w:val="20"/>
                  </w:rPr>
                </w:pPr>
                <w:r>
                  <w:rPr/>
                  <w:fldChar w:fldCharType="begin"/>
                </w:r>
                <w:r>
                  <w:rPr>
                    <w:sz w:val="20"/>
                  </w:rPr>
                  <w:instrText> PAGE </w:instrText>
                </w:r>
                <w:r>
                  <w:rPr/>
                  <w:fldChar w:fldCharType="separate"/>
                </w:r>
                <w:r>
                  <w:rPr/>
                  <w:t>145</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37.460022pt;margin-top:34.88451pt;width:21.15pt;height:13.05pt;mso-position-horizontal-relative:page;mso-position-vertical-relative:page;z-index:-21997568" type="#_x0000_t202" filled="false" stroked="false">
          <v:textbox inset="0,0,0,0">
            <w:txbxContent>
              <w:p>
                <w:pPr>
                  <w:spacing w:before="10"/>
                  <w:ind w:left="60" w:right="0" w:firstLine="0"/>
                  <w:jc w:val="left"/>
                  <w:rPr>
                    <w:sz w:val="20"/>
                  </w:rPr>
                </w:pPr>
                <w:r>
                  <w:rPr/>
                  <w:fldChar w:fldCharType="begin"/>
                </w:r>
                <w:r>
                  <w:rPr>
                    <w:sz w:val="20"/>
                  </w:rPr>
                  <w:instrText> PAGE </w:instrText>
                </w:r>
                <w:r>
                  <w:rPr/>
                  <w:fldChar w:fldCharType="separate"/>
                </w:r>
                <w:r>
                  <w:rPr/>
                  <w:t>153</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3"/>
      <w:numFmt w:val="decimal"/>
      <w:lvlText w:val="%1"/>
      <w:lvlJc w:val="left"/>
      <w:pPr>
        <w:ind w:left="1676" w:hanging="420"/>
        <w:jc w:val="left"/>
      </w:pPr>
      <w:rPr>
        <w:rFonts w:hint="default"/>
        <w:lang w:val="tr-TR" w:eastAsia="en-US" w:bidi="ar-SA"/>
      </w:rPr>
    </w:lvl>
    <w:lvl w:ilvl="1">
      <w:start w:val="1"/>
      <w:numFmt w:val="decimal"/>
      <w:lvlText w:val="%1.%2."/>
      <w:lvlJc w:val="left"/>
      <w:pPr>
        <w:ind w:left="1676" w:hanging="420"/>
        <w:jc w:val="left"/>
      </w:pPr>
      <w:rPr>
        <w:rFonts w:hint="default" w:ascii="Times New Roman" w:hAnsi="Times New Roman" w:eastAsia="Times New Roman" w:cs="Times New Roman"/>
        <w:b/>
        <w:bCs/>
        <w:w w:val="99"/>
        <w:sz w:val="24"/>
        <w:szCs w:val="24"/>
        <w:lang w:val="tr-TR" w:eastAsia="en-US" w:bidi="ar-SA"/>
      </w:rPr>
    </w:lvl>
    <w:lvl w:ilvl="2">
      <w:start w:val="1"/>
      <w:numFmt w:val="decimal"/>
      <w:lvlText w:val="%1.%2.%3."/>
      <w:lvlJc w:val="left"/>
      <w:pPr>
        <w:ind w:left="1856" w:hanging="600"/>
        <w:jc w:val="left"/>
      </w:pPr>
      <w:rPr>
        <w:rFonts w:hint="default" w:ascii="Times New Roman" w:hAnsi="Times New Roman" w:eastAsia="Times New Roman" w:cs="Times New Roman"/>
        <w:b/>
        <w:bCs/>
        <w:spacing w:val="-1"/>
        <w:w w:val="100"/>
        <w:sz w:val="24"/>
        <w:szCs w:val="24"/>
        <w:lang w:val="tr-TR" w:eastAsia="en-US" w:bidi="ar-SA"/>
      </w:rPr>
    </w:lvl>
    <w:lvl w:ilvl="3">
      <w:start w:val="1"/>
      <w:numFmt w:val="decimal"/>
      <w:lvlText w:val="%1.%2.%3.%4."/>
      <w:lvlJc w:val="left"/>
      <w:pPr>
        <w:ind w:left="2036" w:hanging="780"/>
        <w:jc w:val="left"/>
      </w:pPr>
      <w:rPr>
        <w:rFonts w:hint="default" w:ascii="Times New Roman" w:hAnsi="Times New Roman" w:eastAsia="Times New Roman" w:cs="Times New Roman"/>
        <w:b/>
        <w:bCs/>
        <w:spacing w:val="-2"/>
        <w:w w:val="100"/>
        <w:sz w:val="24"/>
        <w:szCs w:val="24"/>
        <w:lang w:val="tr-TR" w:eastAsia="en-US" w:bidi="ar-SA"/>
      </w:rPr>
    </w:lvl>
    <w:lvl w:ilvl="4">
      <w:start w:val="0"/>
      <w:numFmt w:val="bullet"/>
      <w:lvlText w:val="•"/>
      <w:lvlJc w:val="left"/>
      <w:pPr>
        <w:ind w:left="3955" w:hanging="780"/>
      </w:pPr>
      <w:rPr>
        <w:rFonts w:hint="default"/>
        <w:lang w:val="tr-TR" w:eastAsia="en-US" w:bidi="ar-SA"/>
      </w:rPr>
    </w:lvl>
    <w:lvl w:ilvl="5">
      <w:start w:val="0"/>
      <w:numFmt w:val="bullet"/>
      <w:lvlText w:val="•"/>
      <w:lvlJc w:val="left"/>
      <w:pPr>
        <w:ind w:left="4912" w:hanging="780"/>
      </w:pPr>
      <w:rPr>
        <w:rFonts w:hint="default"/>
        <w:lang w:val="tr-TR" w:eastAsia="en-US" w:bidi="ar-SA"/>
      </w:rPr>
    </w:lvl>
    <w:lvl w:ilvl="6">
      <w:start w:val="0"/>
      <w:numFmt w:val="bullet"/>
      <w:lvlText w:val="•"/>
      <w:lvlJc w:val="left"/>
      <w:pPr>
        <w:ind w:left="5870" w:hanging="780"/>
      </w:pPr>
      <w:rPr>
        <w:rFonts w:hint="default"/>
        <w:lang w:val="tr-TR" w:eastAsia="en-US" w:bidi="ar-SA"/>
      </w:rPr>
    </w:lvl>
    <w:lvl w:ilvl="7">
      <w:start w:val="0"/>
      <w:numFmt w:val="bullet"/>
      <w:lvlText w:val="•"/>
      <w:lvlJc w:val="left"/>
      <w:pPr>
        <w:ind w:left="6827" w:hanging="780"/>
      </w:pPr>
      <w:rPr>
        <w:rFonts w:hint="default"/>
        <w:lang w:val="tr-TR" w:eastAsia="en-US" w:bidi="ar-SA"/>
      </w:rPr>
    </w:lvl>
    <w:lvl w:ilvl="8">
      <w:start w:val="0"/>
      <w:numFmt w:val="bullet"/>
      <w:lvlText w:val="•"/>
      <w:lvlJc w:val="left"/>
      <w:pPr>
        <w:ind w:left="7785" w:hanging="780"/>
      </w:pPr>
      <w:rPr>
        <w:rFonts w:hint="default"/>
        <w:lang w:val="tr-TR" w:eastAsia="en-US" w:bidi="ar-SA"/>
      </w:rPr>
    </w:lvl>
  </w:abstractNum>
  <w:abstractNum w:abstractNumId="1">
    <w:multiLevelType w:val="hybridMultilevel"/>
    <w:lvl w:ilvl="0">
      <w:start w:val="2"/>
      <w:numFmt w:val="decimal"/>
      <w:lvlText w:val="%1"/>
      <w:lvlJc w:val="left"/>
      <w:pPr>
        <w:ind w:left="1676" w:hanging="420"/>
        <w:jc w:val="left"/>
      </w:pPr>
      <w:rPr>
        <w:rFonts w:hint="default"/>
        <w:lang w:val="tr-TR" w:eastAsia="en-US" w:bidi="ar-SA"/>
      </w:rPr>
    </w:lvl>
    <w:lvl w:ilvl="1">
      <w:start w:val="1"/>
      <w:numFmt w:val="decimal"/>
      <w:lvlText w:val="%1.%2."/>
      <w:lvlJc w:val="left"/>
      <w:pPr>
        <w:ind w:left="1676" w:hanging="420"/>
        <w:jc w:val="left"/>
      </w:pPr>
      <w:rPr>
        <w:rFonts w:hint="default" w:ascii="Times New Roman" w:hAnsi="Times New Roman" w:eastAsia="Times New Roman" w:cs="Times New Roman"/>
        <w:b/>
        <w:bCs/>
        <w:spacing w:val="-1"/>
        <w:w w:val="99"/>
        <w:sz w:val="24"/>
        <w:szCs w:val="24"/>
        <w:lang w:val="tr-TR" w:eastAsia="en-US" w:bidi="ar-SA"/>
      </w:rPr>
    </w:lvl>
    <w:lvl w:ilvl="2">
      <w:start w:val="1"/>
      <w:numFmt w:val="decimal"/>
      <w:lvlText w:val="%1.%2.%3."/>
      <w:lvlJc w:val="left"/>
      <w:pPr>
        <w:ind w:left="1856" w:hanging="600"/>
        <w:jc w:val="left"/>
      </w:pPr>
      <w:rPr>
        <w:rFonts w:hint="default" w:ascii="Times New Roman" w:hAnsi="Times New Roman" w:eastAsia="Times New Roman" w:cs="Times New Roman"/>
        <w:b/>
        <w:bCs/>
        <w:spacing w:val="-1"/>
        <w:w w:val="99"/>
        <w:sz w:val="24"/>
        <w:szCs w:val="24"/>
        <w:lang w:val="tr-TR" w:eastAsia="en-US" w:bidi="ar-SA"/>
      </w:rPr>
    </w:lvl>
    <w:lvl w:ilvl="3">
      <w:start w:val="1"/>
      <w:numFmt w:val="decimal"/>
      <w:lvlText w:val="%1.%2.%3.%4."/>
      <w:lvlJc w:val="left"/>
      <w:pPr>
        <w:ind w:left="2036" w:hanging="780"/>
        <w:jc w:val="left"/>
      </w:pPr>
      <w:rPr>
        <w:rFonts w:hint="default" w:ascii="Times New Roman" w:hAnsi="Times New Roman" w:eastAsia="Times New Roman" w:cs="Times New Roman"/>
        <w:b/>
        <w:bCs/>
        <w:spacing w:val="-2"/>
        <w:w w:val="100"/>
        <w:sz w:val="24"/>
        <w:szCs w:val="24"/>
        <w:lang w:val="tr-TR" w:eastAsia="en-US" w:bidi="ar-SA"/>
      </w:rPr>
    </w:lvl>
    <w:lvl w:ilvl="4">
      <w:start w:val="0"/>
      <w:numFmt w:val="bullet"/>
      <w:lvlText w:val="•"/>
      <w:lvlJc w:val="left"/>
      <w:pPr>
        <w:ind w:left="3955" w:hanging="780"/>
      </w:pPr>
      <w:rPr>
        <w:rFonts w:hint="default"/>
        <w:lang w:val="tr-TR" w:eastAsia="en-US" w:bidi="ar-SA"/>
      </w:rPr>
    </w:lvl>
    <w:lvl w:ilvl="5">
      <w:start w:val="0"/>
      <w:numFmt w:val="bullet"/>
      <w:lvlText w:val="•"/>
      <w:lvlJc w:val="left"/>
      <w:pPr>
        <w:ind w:left="4912" w:hanging="780"/>
      </w:pPr>
      <w:rPr>
        <w:rFonts w:hint="default"/>
        <w:lang w:val="tr-TR" w:eastAsia="en-US" w:bidi="ar-SA"/>
      </w:rPr>
    </w:lvl>
    <w:lvl w:ilvl="6">
      <w:start w:val="0"/>
      <w:numFmt w:val="bullet"/>
      <w:lvlText w:val="•"/>
      <w:lvlJc w:val="left"/>
      <w:pPr>
        <w:ind w:left="5870" w:hanging="780"/>
      </w:pPr>
      <w:rPr>
        <w:rFonts w:hint="default"/>
        <w:lang w:val="tr-TR" w:eastAsia="en-US" w:bidi="ar-SA"/>
      </w:rPr>
    </w:lvl>
    <w:lvl w:ilvl="7">
      <w:start w:val="0"/>
      <w:numFmt w:val="bullet"/>
      <w:lvlText w:val="•"/>
      <w:lvlJc w:val="left"/>
      <w:pPr>
        <w:ind w:left="6827" w:hanging="780"/>
      </w:pPr>
      <w:rPr>
        <w:rFonts w:hint="default"/>
        <w:lang w:val="tr-TR" w:eastAsia="en-US" w:bidi="ar-SA"/>
      </w:rPr>
    </w:lvl>
    <w:lvl w:ilvl="8">
      <w:start w:val="0"/>
      <w:numFmt w:val="bullet"/>
      <w:lvlText w:val="•"/>
      <w:lvlJc w:val="left"/>
      <w:pPr>
        <w:ind w:left="7785" w:hanging="780"/>
      </w:pPr>
      <w:rPr>
        <w:rFonts w:hint="default"/>
        <w:lang w:val="tr-TR" w:eastAsia="en-US" w:bidi="ar-SA"/>
      </w:rPr>
    </w:lvl>
  </w:abstractNum>
  <w:abstractNum w:abstractNumId="0">
    <w:multiLevelType w:val="hybridMultilevel"/>
    <w:lvl w:ilvl="0">
      <w:start w:val="1"/>
      <w:numFmt w:val="decimal"/>
      <w:lvlText w:val="%1"/>
      <w:lvlJc w:val="left"/>
      <w:pPr>
        <w:ind w:left="1676" w:hanging="420"/>
        <w:jc w:val="left"/>
      </w:pPr>
      <w:rPr>
        <w:rFonts w:hint="default"/>
        <w:lang w:val="tr-TR" w:eastAsia="en-US" w:bidi="ar-SA"/>
      </w:rPr>
    </w:lvl>
    <w:lvl w:ilvl="1">
      <w:start w:val="1"/>
      <w:numFmt w:val="decimal"/>
      <w:lvlText w:val="%1.%2."/>
      <w:lvlJc w:val="left"/>
      <w:pPr>
        <w:ind w:left="1676" w:hanging="420"/>
        <w:jc w:val="left"/>
      </w:pPr>
      <w:rPr>
        <w:rFonts w:hint="default" w:ascii="Times New Roman" w:hAnsi="Times New Roman" w:eastAsia="Times New Roman" w:cs="Times New Roman"/>
        <w:b/>
        <w:bCs/>
        <w:spacing w:val="-2"/>
        <w:w w:val="99"/>
        <w:sz w:val="24"/>
        <w:szCs w:val="24"/>
        <w:lang w:val="tr-TR" w:eastAsia="en-US" w:bidi="ar-SA"/>
      </w:rPr>
    </w:lvl>
    <w:lvl w:ilvl="2">
      <w:start w:val="1"/>
      <w:numFmt w:val="decimal"/>
      <w:lvlText w:val="%1.%2.%3."/>
      <w:lvlJc w:val="left"/>
      <w:pPr>
        <w:ind w:left="1856" w:hanging="600"/>
        <w:jc w:val="left"/>
      </w:pPr>
      <w:rPr>
        <w:rFonts w:hint="default" w:ascii="Times New Roman" w:hAnsi="Times New Roman" w:eastAsia="Times New Roman" w:cs="Times New Roman"/>
        <w:b/>
        <w:bCs/>
        <w:spacing w:val="-2"/>
        <w:w w:val="100"/>
        <w:sz w:val="24"/>
        <w:szCs w:val="24"/>
        <w:lang w:val="tr-TR" w:eastAsia="en-US" w:bidi="ar-SA"/>
      </w:rPr>
    </w:lvl>
    <w:lvl w:ilvl="3">
      <w:start w:val="1"/>
      <w:numFmt w:val="decimal"/>
      <w:lvlText w:val="%1.%2.%3.%4."/>
      <w:lvlJc w:val="left"/>
      <w:pPr>
        <w:ind w:left="2036" w:hanging="780"/>
        <w:jc w:val="left"/>
      </w:pPr>
      <w:rPr>
        <w:rFonts w:hint="default" w:ascii="Times New Roman" w:hAnsi="Times New Roman" w:eastAsia="Times New Roman" w:cs="Times New Roman"/>
        <w:b/>
        <w:bCs/>
        <w:spacing w:val="-3"/>
        <w:w w:val="100"/>
        <w:sz w:val="24"/>
        <w:szCs w:val="24"/>
        <w:lang w:val="tr-TR" w:eastAsia="en-US" w:bidi="ar-SA"/>
      </w:rPr>
    </w:lvl>
    <w:lvl w:ilvl="4">
      <w:start w:val="0"/>
      <w:numFmt w:val="bullet"/>
      <w:lvlText w:val="•"/>
      <w:lvlJc w:val="left"/>
      <w:pPr>
        <w:ind w:left="3955" w:hanging="780"/>
      </w:pPr>
      <w:rPr>
        <w:rFonts w:hint="default"/>
        <w:lang w:val="tr-TR" w:eastAsia="en-US" w:bidi="ar-SA"/>
      </w:rPr>
    </w:lvl>
    <w:lvl w:ilvl="5">
      <w:start w:val="0"/>
      <w:numFmt w:val="bullet"/>
      <w:lvlText w:val="•"/>
      <w:lvlJc w:val="left"/>
      <w:pPr>
        <w:ind w:left="4912" w:hanging="780"/>
      </w:pPr>
      <w:rPr>
        <w:rFonts w:hint="default"/>
        <w:lang w:val="tr-TR" w:eastAsia="en-US" w:bidi="ar-SA"/>
      </w:rPr>
    </w:lvl>
    <w:lvl w:ilvl="6">
      <w:start w:val="0"/>
      <w:numFmt w:val="bullet"/>
      <w:lvlText w:val="•"/>
      <w:lvlJc w:val="left"/>
      <w:pPr>
        <w:ind w:left="5870" w:hanging="780"/>
      </w:pPr>
      <w:rPr>
        <w:rFonts w:hint="default"/>
        <w:lang w:val="tr-TR" w:eastAsia="en-US" w:bidi="ar-SA"/>
      </w:rPr>
    </w:lvl>
    <w:lvl w:ilvl="7">
      <w:start w:val="0"/>
      <w:numFmt w:val="bullet"/>
      <w:lvlText w:val="•"/>
      <w:lvlJc w:val="left"/>
      <w:pPr>
        <w:ind w:left="6827" w:hanging="780"/>
      </w:pPr>
      <w:rPr>
        <w:rFonts w:hint="default"/>
        <w:lang w:val="tr-TR" w:eastAsia="en-US" w:bidi="ar-SA"/>
      </w:rPr>
    </w:lvl>
    <w:lvl w:ilvl="8">
      <w:start w:val="0"/>
      <w:numFmt w:val="bullet"/>
      <w:lvlText w:val="•"/>
      <w:lvlJc w:val="left"/>
      <w:pPr>
        <w:ind w:left="7785" w:hanging="780"/>
      </w:pPr>
      <w:rPr>
        <w:rFonts w:hint="default"/>
        <w:lang w:val="tr-TR"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tr-TR" w:eastAsia="en-US" w:bidi="ar-SA"/>
    </w:rPr>
  </w:style>
  <w:style w:styleId="BodyText" w:type="paragraph">
    <w:name w:val="Body Text"/>
    <w:basedOn w:val="Normal"/>
    <w:uiPriority w:val="1"/>
    <w:qFormat/>
    <w:pPr>
      <w:ind w:left="548"/>
      <w:jc w:val="both"/>
    </w:pPr>
    <w:rPr>
      <w:rFonts w:ascii="Times New Roman" w:hAnsi="Times New Roman" w:eastAsia="Times New Roman" w:cs="Times New Roman"/>
      <w:sz w:val="24"/>
      <w:szCs w:val="24"/>
      <w:lang w:val="tr-TR" w:eastAsia="en-US" w:bidi="ar-SA"/>
    </w:rPr>
  </w:style>
  <w:style w:styleId="Heading1" w:type="paragraph">
    <w:name w:val="Heading 1"/>
    <w:basedOn w:val="Normal"/>
    <w:uiPriority w:val="1"/>
    <w:qFormat/>
    <w:pPr>
      <w:ind w:left="1856" w:hanging="601"/>
      <w:jc w:val="both"/>
      <w:outlineLvl w:val="1"/>
    </w:pPr>
    <w:rPr>
      <w:rFonts w:ascii="Times New Roman" w:hAnsi="Times New Roman" w:eastAsia="Times New Roman" w:cs="Times New Roman"/>
      <w:b/>
      <w:bCs/>
      <w:sz w:val="24"/>
      <w:szCs w:val="24"/>
      <w:lang w:val="tr-TR" w:eastAsia="en-US" w:bidi="ar-SA"/>
    </w:rPr>
  </w:style>
  <w:style w:styleId="ListParagraph" w:type="paragraph">
    <w:name w:val="List Paragraph"/>
    <w:basedOn w:val="Normal"/>
    <w:uiPriority w:val="1"/>
    <w:qFormat/>
    <w:pPr>
      <w:spacing w:before="159"/>
      <w:ind w:left="1856" w:hanging="601"/>
      <w:jc w:val="both"/>
    </w:pPr>
    <w:rPr>
      <w:rFonts w:ascii="Times New Roman" w:hAnsi="Times New Roman" w:eastAsia="Times New Roman" w:cs="Times New Roman"/>
      <w:lang w:val="tr-TR"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eg"/><Relationship Id="rId20" Type="http://schemas.openxmlformats.org/officeDocument/2006/relationships/hyperlink" Target="http://www.versionmuseum.com/images/websites/amazon-website/amazon-" TargetMode="External"/><Relationship Id="rId21" Type="http://schemas.openxmlformats.org/officeDocument/2006/relationships/image" Target="media/image14.jpeg"/><Relationship Id="rId22" Type="http://schemas.openxmlformats.org/officeDocument/2006/relationships/hyperlink" Target="http://www.amazon.com/" TargetMode="External"/><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hyperlink" Target="http://www.etsy.com/" TargetMode="External"/><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hyperlink" Target="https://doi.org/10.1002/dir.20082" TargetMode="External"/><Relationship Id="rId31" Type="http://schemas.openxmlformats.org/officeDocument/2006/relationships/hyperlink" Target="http://www.journalism.org/2012/11/28/role-social-media-arab-" TargetMode="External"/><Relationship Id="rId32" Type="http://schemas.openxmlformats.org/officeDocument/2006/relationships/hyperlink" Target="http://www.ethicalconsumer.org/ethicalcampaigns/boycotts/history-successful-" TargetMode="External"/><Relationship Id="rId33" Type="http://schemas.openxmlformats.org/officeDocument/2006/relationships/hyperlink" Target="http://www.haberturk.com/amazon-turkiye-acildi-iste-tum-ozellikleri-2147761-" TargetMode="External"/><Relationship Id="rId34" Type="http://schemas.openxmlformats.org/officeDocument/2006/relationships/hyperlink" Target="http://www.britannica.com/topic/Etsy" TargetMode="External"/><Relationship Id="rId35" Type="http://schemas.openxmlformats.org/officeDocument/2006/relationships/hyperlink" Target="http://www.fastcompany.com/3018043/most-innovative-" TargetMode="External"/><Relationship Id="rId36" Type="http://schemas.openxmlformats.org/officeDocument/2006/relationships/hyperlink" Target="http://www.nytimes.com/2017/11/25/business/etsy-josh-silverman.html" TargetMode="External"/><Relationship Id="rId37" Type="http://schemas.openxmlformats.org/officeDocument/2006/relationships/hyperlink" Target="http://www.britannica.com/topic/Amazoncom" TargetMode="External"/><Relationship Id="rId38" Type="http://schemas.openxmlformats.org/officeDocument/2006/relationships/hyperlink" Target="http://www.businessinsider.com/amazon-review-system-abuse-2018-4" TargetMode="External"/><Relationship Id="rId39" Type="http://schemas.openxmlformats.org/officeDocument/2006/relationships/hyperlink" Target="http://www.cnbc.com/2019/06/11/amazon-beats-" TargetMode="External"/><Relationship Id="rId40" Type="http://schemas.openxmlformats.org/officeDocument/2006/relationships/hyperlink" Target="http://www.history.com/this-day-in-" TargetMode="External"/><Relationship Id="rId41" Type="http://schemas.openxmlformats.org/officeDocument/2006/relationships/hyperlink" Target="http://www.sabah.com.tr/yazarlar/kadak/2018/12/15/rekor-buyumenin-sirri-" TargetMode="External"/><Relationship Id="rId42" Type="http://schemas.openxmlformats.org/officeDocument/2006/relationships/hyperlink" Target="http://www.hurriyet.com.tr/ekonomi/hepsiburadadan-pazaryeri-atagi-40074816" TargetMode="External"/><Relationship Id="rId43" Type="http://schemas.openxmlformats.org/officeDocument/2006/relationships/hyperlink" Target="http://www.builtinnyc.com/2015/11/04/brief-history-etsy" TargetMode="External"/><Relationship Id="rId44" Type="http://schemas.openxmlformats.org/officeDocument/2006/relationships/hyperlink" Target="http://www.phocuswire.com/TripAdvisor-" TargetMode="External"/><Relationship Id="rId45" Type="http://schemas.openxmlformats.org/officeDocument/2006/relationships/hyperlink" Target="https://doi.org/10.1509/jmkr.43.4.680" TargetMode="External"/><Relationship Id="rId46" Type="http://schemas.openxmlformats.org/officeDocument/2006/relationships/hyperlink" Target="https://doi.org/10.1086/208556" TargetMode="External"/><Relationship Id="rId47" Type="http://schemas.openxmlformats.org/officeDocument/2006/relationships/hyperlink" Target="http://www.nerdwallet.com/blog/shopping/etsys-star-rating-review-" TargetMode="External"/><Relationship Id="rId48" Type="http://schemas.openxmlformats.org/officeDocument/2006/relationships/hyperlink" Target="http://www.nielsen.com/wp-content/uploads/sites/3/2019/04/global-" TargetMode="External"/><Relationship Id="rId49" Type="http://schemas.openxmlformats.org/officeDocument/2006/relationships/hyperlink" Target="http://www.feedough.com/history-of-amazon/" TargetMode="External"/><Relationship Id="rId50" Type="http://schemas.openxmlformats.org/officeDocument/2006/relationships/hyperlink" Target="http://www.theweek.co.uk/people/57553/top-billionaires-who-richest-" TargetMode="External"/><Relationship Id="rId51" Type="http://schemas.openxmlformats.org/officeDocument/2006/relationships/hyperlink" Target="http://www.theguardian.com/money/2019/jul/14/five-" TargetMode="External"/><Relationship Id="rId52" Type="http://schemas.openxmlformats.org/officeDocument/2006/relationships/hyperlink" Target="http://www.vox.com/the-goods/2019/9/4/20841475/etsy-free-shipping-amazon-" TargetMode="External"/><Relationship Id="rId53" Type="http://schemas.openxmlformats.org/officeDocument/2006/relationships/hyperlink" Target="http://www.usatoday.com/story/tech/news/2017/03/20/review-you-wrote-amazon-" TargetMode="External"/><Relationship Id="rId54" Type="http://schemas.openxmlformats.org/officeDocument/2006/relationships/hyperlink" Target="http://www.forbes.com/sites/emmawoollacott/2019/04/16/amazons-fake-" TargetMode="External"/><Relationship Id="rId55" Type="http://schemas.openxmlformats.org/officeDocument/2006/relationships/header" Target="header3.xml"/><Relationship Id="rId56" Type="http://schemas.openxmlformats.org/officeDocument/2006/relationships/hyperlink" Target="http://www.amazon.com/Acer-Aspire-E5-575G-53VG-15-6-Inch-" TargetMode="External"/><Relationship Id="rId57" Type="http://schemas.openxmlformats.org/officeDocument/2006/relationships/hyperlink" Target="http://www.amazon.com/Acer-Aspire-Gaming-GeForce-VX5-591G-" TargetMode="External"/><Relationship Id="rId58" Type="http://schemas.openxmlformats.org/officeDocument/2006/relationships/hyperlink" Target="http://www.amazon.com/Acer-Aspire-i3-6100U-Windows-ES1-572-" TargetMode="External"/><Relationship Id="rId59" Type="http://schemas.openxmlformats.org/officeDocument/2006/relationships/hyperlink" Target="http://www.amazon.com/Acer-Chromebook-15-6-inch-Celeron-CB5-571-" TargetMode="External"/><Relationship Id="rId60" Type="http://schemas.openxmlformats.org/officeDocument/2006/relationships/hyperlink" Target="http://www.amazon.com/Acer-Chromebook-Aluminum-Quad-Core-CB3-431-" TargetMode="External"/><Relationship Id="rId61" Type="http://schemas.openxmlformats.org/officeDocument/2006/relationships/hyperlink" Target="http://www.amazon.com/Acer-E5-575-33BM-15-6-Inch-Processor-" TargetMode="External"/><Relationship Id="rId62" Type="http://schemas.openxmlformats.org/officeDocument/2006/relationships/hyperlink" Target="http://www.amazon.com/Acer-E5-575G-57D4-15-6-Inches-Notebook-i5-" TargetMode="External"/><Relationship Id="rId63" Type="http://schemas.openxmlformats.org/officeDocument/2006/relationships/hyperlink" Target="http://www.amazon.com/Alienware-AW13R2-10011SLV-Touchscreen-Generation-" TargetMode="External"/><Relationship Id="rId64" Type="http://schemas.openxmlformats.org/officeDocument/2006/relationships/hyperlink" Target="http://www.amazon.com/Alienware-AW15R2-8469SLV-15-6-Inch-Generation-" TargetMode="External"/><Relationship Id="rId65" Type="http://schemas.openxmlformats.org/officeDocument/2006/relationships/hyperlink" Target="http://www.amazon.com/Alienware-AW15R3-3831SLV-Generation-GeForce-" TargetMode="External"/><Relationship Id="rId66" Type="http://schemas.openxmlformats.org/officeDocument/2006/relationships/hyperlink" Target="http://www.amazon.com/Alienware-AW15R3-7003SLV-PUS-Gaming-Laptop-" TargetMode="External"/><Relationship Id="rId67" Type="http://schemas.openxmlformats.org/officeDocument/2006/relationships/hyperlink" Target="http://www.amazon.com/Alienware-AW17R4-7345SLV-PUS-Laptop-Generation-" TargetMode="External"/><Relationship Id="rId68" Type="http://schemas.openxmlformats.org/officeDocument/2006/relationships/hyperlink" Target="http://www.amazon.com/Alienware-Touchscreen-i7-6700HQ-802-11ac-" TargetMode="External"/><Relationship Id="rId69" Type="http://schemas.openxmlformats.org/officeDocument/2006/relationships/hyperlink" Target="http://www.amazon.com/Apple-MacBook-13-3-Inch-Laptop-Capitan/dp/B015WXL0C6/" TargetMode="External"/><Relationship Id="rId70" Type="http://schemas.openxmlformats.org/officeDocument/2006/relationships/hyperlink" Target="http://www.amazon.com/Apple-MacBook-13-inch-Laptop-1-6GHz/dp/B01M5D520H/" TargetMode="External"/><Relationship Id="rId71" Type="http://schemas.openxmlformats.org/officeDocument/2006/relationships/hyperlink" Target="http://www.amazon.com/Apple-MacBook-MF840LL-13-3-Inch-" TargetMode="External"/><Relationship Id="rId72" Type="http://schemas.openxmlformats.org/officeDocument/2006/relationships/hyperlink" Target="http://www.amazon.com/Apple-Macbook-MJLQ2LL-15-inch-" TargetMode="External"/><Relationship Id="rId73" Type="http://schemas.openxmlformats.org/officeDocument/2006/relationships/hyperlink" Target="http://www.amazon.com/Apple-MacBook-MLH42LL-15-4-inch-quad-" TargetMode="External"/><Relationship Id="rId74" Type="http://schemas.openxmlformats.org/officeDocument/2006/relationships/hyperlink" Target="http://www.amazon.com/Apple-MacBook-MLH72LL-12-Inch-Display/dp/B01EIQDGDO/" TargetMode="External"/><Relationship Id="rId75" Type="http://schemas.openxmlformats.org/officeDocument/2006/relationships/hyperlink" Target="http://www.amazon.com/Apple-MD101LL-MacBook-2-5GHz-Wireless/dp/B008BEYEL8/" TargetMode="External"/><Relationship Id="rId76" Type="http://schemas.openxmlformats.org/officeDocument/2006/relationships/hyperlink" Target="http://www.amazon.com/Apple-MMGF2LL-MacBook-13-3-Inch-" TargetMode="External"/><Relationship Id="rId77" Type="http://schemas.openxmlformats.org/officeDocument/2006/relationships/hyperlink" Target="http://www.amazon.com/C201PA-DS02-Chromebook-1-8GHz-Quad-Core-" TargetMode="External"/><Relationship Id="rId78" Type="http://schemas.openxmlformats.org/officeDocument/2006/relationships/hyperlink" Target="http://www.amazon.com/Chromebook-C202SA-YS02-Ruggedized-Resistant-" TargetMode="External"/><Relationship Id="rId79" Type="http://schemas.openxmlformats.org/officeDocument/2006/relationships/hyperlink" Target="http://www.amazon.com/Dell-15-6-Inch-Touchscreen-RealSense-" TargetMode="External"/><Relationship Id="rId80" Type="http://schemas.openxmlformats.org/officeDocument/2006/relationships/hyperlink" Target="http://www.amazon.com/Dell-9350-1340SLV-Laptop-Microsoft-" TargetMode="External"/><Relationship Id="rId81" Type="http://schemas.openxmlformats.org/officeDocument/2006/relationships/hyperlink" Target="http://www.amazon.com/Dell-Inspiron-Gaming-Laptop-i5577-7359BLK-" TargetMode="External"/><Relationship Id="rId82" Type="http://schemas.openxmlformats.org/officeDocument/2006/relationships/hyperlink" Target="http://www.amazon.com/Dell-Inspiron-Touchscreen-i5-6200U-10-" TargetMode="External"/><Relationship Id="rId83" Type="http://schemas.openxmlformats.org/officeDocument/2006/relationships/hyperlink" Target="http://www.amazon.com/Dell-i3552-3240BLK-Pentium-Processor-" TargetMode="External"/><Relationship Id="rId84" Type="http://schemas.openxmlformats.org/officeDocument/2006/relationships/hyperlink" Target="http://www.amazon.com/Dell-Touchscreen-I3558-5501BLK-Processor-" TargetMode="External"/><Relationship Id="rId85" Type="http://schemas.openxmlformats.org/officeDocument/2006/relationships/hyperlink" Target="http://www.amazon.com/Dell-XPS9360-4841SLV-Laptop-Generation-" TargetMode="External"/><Relationship Id="rId86" Type="http://schemas.openxmlformats.org/officeDocument/2006/relationships/hyperlink" Target="http://www.amazon.com/Dell-XPS9560-7001SLV-PUS-Laptop-Nvidia-" TargetMode="External"/><Relationship Id="rId87" Type="http://schemas.openxmlformats.org/officeDocument/2006/relationships/hyperlink" Target="http://www.amazon.com/F556UA-AB32-15-6-inch-Full-HD-Laptop-" TargetMode="External"/><Relationship Id="rId88" Type="http://schemas.openxmlformats.org/officeDocument/2006/relationships/hyperlink" Target="http://www.amazon.com/MSI-7RK-290US-Workstation-i7-7700HQ-" TargetMode="External"/><Relationship Id="rId89" Type="http://schemas.openxmlformats.org/officeDocument/2006/relationships/hyperlink" Target="http://www.amazon.com/MSI-GL72-7RD-028-Performance-i7-7700HQ/dp/B01MS1T197/" TargetMode="External"/><Relationship Id="rId90" Type="http://schemas.openxmlformats.org/officeDocument/2006/relationships/hyperlink" Target="http://www.amazon.com/MSI-GS63VR-Stealth-Pro-230-i7-7700HQ/dp/B01N5JUPWO/" TargetMode="External"/><Relationship Id="rId91" Type="http://schemas.openxmlformats.org/officeDocument/2006/relationships/hyperlink" Target="http://www.amazon.com/MSI-GT72VR-Dominator-Powerful-i7-" TargetMode="External"/><Relationship Id="rId92" Type="http://schemas.openxmlformats.org/officeDocument/2006/relationships/hyperlink" Target="http://www.amazon.com/MSI-GT73VR-TITAN-4K-479-i7-7820HK/dp/B01N0V9O6N/" TargetMode="External"/><Relationship Id="rId93" Type="http://schemas.openxmlformats.org/officeDocument/2006/relationships/hyperlink" Target="http://www.amazon.com/MSI-GT73VR-TITAN-4K-480-i7-7820HK/dp/B01N5JUX3N/" TargetMode="External"/><Relationship Id="rId94" Type="http://schemas.openxmlformats.org/officeDocument/2006/relationships/hyperlink" Target="http://www.amazon.com/Portable-Lightweight-Processor-Microsoft-" TargetMode="External"/><Relationship Id="rId95" Type="http://schemas.openxmlformats.org/officeDocument/2006/relationships/hyperlink" Target="http://www.amazon.com/UX330UA-AH54-13-3-inch-Ultra-Slim-Processor-" TargetMode="External"/><Relationship Id="rId96" Type="http://schemas.openxmlformats.org/officeDocument/2006/relationships/hyperlink" Target="http://www.amazon.com/50510-Zanthe-Sectional-Polished-Microfiber/dp/B00AILXPWG/" TargetMode="External"/><Relationship Id="rId97" Type="http://schemas.openxmlformats.org/officeDocument/2006/relationships/hyperlink" Target="http://www.amazon.com/57028-Hamar-Adjustable-Chocolate-Finish/dp/B0082A18FQ/" TargetMode="External"/><Relationship Id="rId98" Type="http://schemas.openxmlformats.org/officeDocument/2006/relationships/hyperlink" Target="http://www.amazon.com/ACME-05674-Tufted-Adjustable-Brown/dp/B004D38KFW/" TargetMode="External"/><Relationship Id="rId99" Type="http://schemas.openxmlformats.org/officeDocument/2006/relationships/hyperlink" Target="http://www.amazon.com/ACME-15062B-Platinum-Sleeper-Leather/dp/B009S5OP9U/" TargetMode="External"/><Relationship Id="rId100" Type="http://schemas.openxmlformats.org/officeDocument/2006/relationships/hyperlink" Target="http://www.amazon.com/ACME-15095-Bonded-Leather-White/dp/B004HM6E5M/" TargetMode="External"/><Relationship Id="rId101" Type="http://schemas.openxmlformats.org/officeDocument/2006/relationships/hyperlink" Target="http://www.amazon.com/ACME-57071-Edana-Adjustable-Pillows/dp/B00ALT71BQ/" TargetMode="External"/><Relationship Id="rId102" Type="http://schemas.openxmlformats.org/officeDocument/2006/relationships/hyperlink" Target="http://www.amazon.com/ACME-Reversible-Chaise-Sectional-Chocolate/dp/B004D38KD4/" TargetMode="External"/><Relationship Id="rId103" Type="http://schemas.openxmlformats.org/officeDocument/2006/relationships/hyperlink" Target="http://www.amazon.com/ACME-Reversible-Sectional-Chocolate-" TargetMode="External"/><Relationship Id="rId104" Type="http://schemas.openxmlformats.org/officeDocument/2006/relationships/hyperlink" Target="http://www.amazon.com/Atrana-Grey-Leather-Stationary-Sofa/dp/B01009D4SA/" TargetMode="External"/><Relationship Id="rId105" Type="http://schemas.openxmlformats.org/officeDocument/2006/relationships/hyperlink" Target="http://www.amazon.com/Matera-Collection-Brown-Leather-Stationary/dp/B01009DA3O/" TargetMode="External"/><Relationship Id="rId106" Type="http://schemas.openxmlformats.org/officeDocument/2006/relationships/hyperlink" Target="http://www.amazon.com/Natuzzi-RE-VIVE-Performance-Recliner-" TargetMode="External"/><Relationship Id="rId107" Type="http://schemas.openxmlformats.org/officeDocument/2006/relationships/hyperlink" Target="http://www.amazon.com/Serta-Artesia-Collection-Sofa-Ivory/dp/B06X1G4RVR/" TargetMode="External"/><Relationship Id="rId108" Type="http://schemas.openxmlformats.org/officeDocument/2006/relationships/hyperlink" Target="http://www.amazon.com/Serta-Charcoal-Grey-Boca-Sofa/dp/B00AQ8DO2M/" TargetMode="External"/><Relationship Id="rId109" Type="http://schemas.openxmlformats.org/officeDocument/2006/relationships/hyperlink" Target="http://www.amazon.com/Serta-Copenhagen-Collection-Sofa-Brown/dp/B00EUU5LA0/" TargetMode="External"/><Relationship Id="rId110" Type="http://schemas.openxmlformats.org/officeDocument/2006/relationships/hyperlink" Target="http://www.amazon.com/Serta-Copenhagen-Collection-Sofa-Marzipan/dp/B00EUU5L5A/" TargetMode="External"/><Relationship Id="rId111" Type="http://schemas.openxmlformats.org/officeDocument/2006/relationships/hyperlink" Target="http://www.amazon.com/Serta-Palisades-Collection-Flagstone-Beige/dp/B00EUU5JDY/" TargetMode="External"/><Relationship Id="rId112" Type="http://schemas.openxmlformats.org/officeDocument/2006/relationships/hyperlink" Target="http://www.amazon.com/Serta-Palisades-Collection-Loveseat-" TargetMode="External"/><Relationship Id="rId113" Type="http://schemas.openxmlformats.org/officeDocument/2006/relationships/hyperlink" Target="http://www.amazon.com/Serta-Sierra-Collection-Loveseat-Ivory/dp/B06W9PGCKJ/" TargetMode="External"/><Relationship Id="rId114" Type="http://schemas.openxmlformats.org/officeDocument/2006/relationships/hyperlink" Target="http://www.amazon.com/Ashley-B346-46-Saveaha-Five-Drawer/dp/B00EUEL50G/" TargetMode="External"/><Relationship Id="rId115" Type="http://schemas.openxmlformats.org/officeDocument/2006/relationships/hyperlink" Target="http://www.amazon.com/Ashley-Bittersweet-5-Drawer-Replicated-" TargetMode="External"/><Relationship Id="rId116" Type="http://schemas.openxmlformats.org/officeDocument/2006/relationships/hyperlink" Target="http://www.amazon.com/Ashley-Greensburg-Collection-B671-48-" TargetMode="External"/><Relationship Id="rId117" Type="http://schemas.openxmlformats.org/officeDocument/2006/relationships/hyperlink" Target="http://www.amazon.com/Ashley-Juararo-5-Drawer-Replicated-Pewter-" TargetMode="External"/><Relationship Id="rId118" Type="http://schemas.openxmlformats.org/officeDocument/2006/relationships/hyperlink" Target="http://www.amazon.com/Ashley-Ledelle-Parquetry-Dovetail-Construction/dp/B00BLP6FJI/" TargetMode="External"/><Relationship Id="rId119" Type="http://schemas.openxmlformats.org/officeDocument/2006/relationships/hyperlink" Target="http://www.amazon.com/Ashley-Trinell-B446-21-6-Drawer-Replicated/dp/B010FJ1S4M/" TargetMode="External"/><Relationship Id="rId120" Type="http://schemas.openxmlformats.org/officeDocument/2006/relationships/hyperlink" Target="http://www.amazon.com/Bush-Business-Furniture-WC24426-Series/dp/B00006RSQF/" TargetMode="External"/><Relationship Id="rId121" Type="http://schemas.openxmlformats.org/officeDocument/2006/relationships/hyperlink" Target="http://www.amazon.com/Bush-Business-Furniture-WC24436-Series/dp/B00006RSQG/" TargetMode="External"/><Relationship Id="rId122" Type="http://schemas.openxmlformats.org/officeDocument/2006/relationships/hyperlink" Target="http://www.amazon.com/Bush-Business-Furniture-WC57448-Series/dp/B000W8LERI/" TargetMode="External"/><Relationship Id="rId123" Type="http://schemas.openxmlformats.org/officeDocument/2006/relationships/hyperlink" Target="http://www.amazon.com/Bush-Business-Furniture-WC8436A-Series/dp/B000W8OXCG/" TargetMode="External"/><Relationship Id="rId124" Type="http://schemas.openxmlformats.org/officeDocument/2006/relationships/hyperlink" Target="http://www.amazon.com/Bush-Business-Furniture-WC90460A-Series/dp/B000W8N2J6/" TargetMode="External"/><Relationship Id="rId125" Type="http://schemas.openxmlformats.org/officeDocument/2006/relationships/hyperlink" Target="http://www.amazon.com/Bush-Business-Furniture-WC94472-Series/dp/B000W8I1D8/" TargetMode="External"/><Relationship Id="rId126" Type="http://schemas.openxmlformats.org/officeDocument/2006/relationships/hyperlink" Target="http://www.amazon.com/Coaster-103061-Home-Furnishings-Chestnut/dp/B00J9YT99G/" TargetMode="External"/><Relationship Id="rId127" Type="http://schemas.openxmlformats.org/officeDocument/2006/relationships/hyperlink" Target="http://www.amazon.com/Coaster-Counter-Height-Extension-Cappuccino/dp/B0054H3ZO2/" TargetMode="External"/><Relationship Id="rId128" Type="http://schemas.openxmlformats.org/officeDocument/2006/relationships/hyperlink" Target="http://www.amazon.com/Coaster-Country-Butcher-Finish-Dining/dp/B0002KNMJO/" TargetMode="External"/><Relationship Id="rId129" Type="http://schemas.openxmlformats.org/officeDocument/2006/relationships/hyperlink" Target="http://www.amazon.com/Coaster-Home-Furnishings-101071-included/dp/B00RHPL7ZS/" TargetMode="External"/><Relationship Id="rId130" Type="http://schemas.openxmlformats.org/officeDocument/2006/relationships/hyperlink" Target="http://www.amazon.com/Coaster-Rectangular-Casual-Dining-" TargetMode="External"/><Relationship Id="rId131" Type="http://schemas.openxmlformats.org/officeDocument/2006/relationships/hyperlink" Target="http://www.amazon.com/Demarlos-Parchment-White-Night-Table/dp/B00IRY4WSM/" TargetMode="External"/><Relationship Id="rId132" Type="http://schemas.openxmlformats.org/officeDocument/2006/relationships/hyperlink" Target="http://www.amazon.com/East-West-Furniture-AVT-BLK-TP-Butterfly/dp/B00TV475QS/" TargetMode="External"/><Relationship Id="rId133" Type="http://schemas.openxmlformats.org/officeDocument/2006/relationships/hyperlink" Target="http://www.amazon.com/East-West-Furniture-DLT-WHI-TP-9-Inch/dp/B00TV47AA4/" TargetMode="External"/><Relationship Id="rId134" Type="http://schemas.openxmlformats.org/officeDocument/2006/relationships/hyperlink" Target="http://www.amazon.com/East-West-Furniture-HLT-CAP-T-Cappuccino/dp/B00TV47CQQ/" TargetMode="External"/><Relationship Id="rId135" Type="http://schemas.openxmlformats.org/officeDocument/2006/relationships/hyperlink" Target="http://www.amazon.com/East-West-Furniture-KET-ESP-TP-Butterfly/dp/B01GTQF3B4/" TargetMode="External"/><Relationship Id="rId136" Type="http://schemas.openxmlformats.org/officeDocument/2006/relationships/hyperlink" Target="http://www.amazon.com/East-West-Furniture-LYT-CAP-T-Rectangular/dp/B00TV47CV6/" TargetMode="External"/><Relationship Id="rId137" Type="http://schemas.openxmlformats.org/officeDocument/2006/relationships/hyperlink" Target="http://www.amazon.com/East-West-Furniture-TRT-BLK-TP-Trenton/dp/B01GTQCUS8/" TargetMode="External"/><Relationship Id="rId138" Type="http://schemas.openxmlformats.org/officeDocument/2006/relationships/hyperlink" Target="http://www.amazon.com/Ikea-Computer-Desk-Table-Multi-use/dp/B0055IXLW6/" TargetMode="External"/><Relationship Id="rId139" Type="http://schemas.openxmlformats.org/officeDocument/2006/relationships/hyperlink" Target="http://www.amazon.com/Ikea-Computer-Workstation-MICKE-902-143-" TargetMode="External"/><Relationship Id="rId140" Type="http://schemas.openxmlformats.org/officeDocument/2006/relationships/hyperlink" Target="http://www.amazon.com/Ikea-Desk-black-brown-226-5145-2230/dp/B01IQT662C/" TargetMode="External"/><Relationship Id="rId141" Type="http://schemas.openxmlformats.org/officeDocument/2006/relationships/hyperlink" Target="http://www.amazon.com/Ikea-Desk-White-MICKE-802-130-74/dp/B00DR4F4T8/" TargetMode="External"/><Relationship Id="rId142" Type="http://schemas.openxmlformats.org/officeDocument/2006/relationships/hyperlink" Target="http://www.amazon.com/Ikea-Linnmon-Adils-Purpose-White/dp/B01FUZ6P3K/" TargetMode="External"/><Relationship Id="rId143" Type="http://schemas.openxmlformats.org/officeDocument/2006/relationships/hyperlink" Target="http://www.amazon.com/Ikea-Micke-Desk-Black-Brown/dp/B00BVU8XIY/" TargetMode="External"/><Relationship Id="rId144" Type="http://schemas.openxmlformats.org/officeDocument/2006/relationships/hyperlink" Target="http://www.amazon.com/Ikea-Office-black-brown-Floor-protectors/dp/B01GGR8VRY/" TargetMode="External"/><Relationship Id="rId145" Type="http://schemas.openxmlformats.org/officeDocument/2006/relationships/hyperlink" Target="http://www.amazon.com/Ikea-Workstation-Black-brown-MICKE-602-447-" TargetMode="External"/><Relationship Id="rId146" Type="http://schemas.openxmlformats.org/officeDocument/2006/relationships/hyperlink" Target="http://www.amazon.com/International-Concepts-30-Inch-Cinnemon-" TargetMode="External"/><Relationship Id="rId147" Type="http://schemas.openxmlformats.org/officeDocument/2006/relationships/hyperlink" Target="http://www.amazon.com/International-Concepts-36-Inch-Round-30-" TargetMode="External"/><Relationship Id="rId148" Type="http://schemas.openxmlformats.org/officeDocument/2006/relationships/hyperlink" Target="http://www.amazon.com/International-Concepts-Counter-Mission-" TargetMode="External"/><Relationship Id="rId149" Type="http://schemas.openxmlformats.org/officeDocument/2006/relationships/hyperlink" Target="http://www.amazon.com/International-Concepts-Dining-Shaker-30-Inch/dp/B00ANJPHRO/" TargetMode="External"/><Relationship Id="rId150" Type="http://schemas.openxmlformats.org/officeDocument/2006/relationships/hyperlink" Target="http://www.amazon.com/International-Concepts-Dining-Shaker-30-Inch/dp/B00ANJPJJU/" TargetMode="External"/><Relationship Id="rId151" Type="http://schemas.openxmlformats.org/officeDocument/2006/relationships/hyperlink" Target="http://www.amazon.com/International-Concepts-Spencer-Server-Table/dp/B00CDI4F26/" TargetMode="External"/><Relationship Id="rId152" Type="http://schemas.openxmlformats.org/officeDocument/2006/relationships/hyperlink" Target="http://www.amazon.com/International-Concepts-T04-42DP-42-inch-" TargetMode="External"/><Relationship Id="rId153" Type="http://schemas.openxmlformats.org/officeDocument/2006/relationships/hyperlink" Target="http://www.amazon.com/International-Concepts-T15-3048GS-Shaker-" TargetMode="External"/><Relationship Id="rId154" Type="http://schemas.openxmlformats.org/officeDocument/2006/relationships/hyperlink" Target="http://www.amazon.com/International-Concepts-T-2236D-Drop-leaf-" TargetMode="External"/><Relationship Id="rId155" Type="http://schemas.openxmlformats.org/officeDocument/2006/relationships/hyperlink" Target="http://www.amazon.com/International-Concepts-T-36DP-36-Inch-" TargetMode="External"/><Relationship Id="rId156" Type="http://schemas.openxmlformats.org/officeDocument/2006/relationships/hyperlink" Target="http://www.amazon.com/Linnmon-Ikea-Desk-Upgraded-Square/dp/B01H2LYTNS/" TargetMode="External"/><Relationship Id="rId157" Type="http://schemas.openxmlformats.org/officeDocument/2006/relationships/hyperlink" Target="http://www.amazon.com/MICKE-75x73x50cm-Modern-Computer-" TargetMode="External"/><Relationship Id="rId158" Type="http://schemas.openxmlformats.org/officeDocument/2006/relationships/hyperlink" Target="http://www.amazon.com/Modus-Drawer-Double-Dresser-Espresso/dp/B003AVSFJ4/" TargetMode="External"/><Relationship Id="rId159" Type="http://schemas.openxmlformats.org/officeDocument/2006/relationships/hyperlink" Target="http://www.amazon.com/Modus-Furniture-3F4182-Meadow-Dresser/dp/B00FHP57ME/" TargetMode="External"/><Relationship Id="rId160" Type="http://schemas.openxmlformats.org/officeDocument/2006/relationships/hyperlink" Target="http://www.amazon.com/Modus-Furniture-4G2282-Element-Chocolate/dp/B008C7D71W/" TargetMode="External"/><Relationship Id="rId161" Type="http://schemas.openxmlformats.org/officeDocument/2006/relationships/hyperlink" Target="http://www.amazon.com/Modus-Furniture-4N3582-Paragon-8-Drawer/dp/B00ASJKWWE/" TargetMode="External"/><Relationship Id="rId162" Type="http://schemas.openxmlformats.org/officeDocument/2006/relationships/hyperlink" Target="http://www.amazon.com/Modus-Furniture-Meadow-Drawer-Solid/dp/B00FHP59SG/" TargetMode="External"/><Relationship Id="rId163" Type="http://schemas.openxmlformats.org/officeDocument/2006/relationships/hyperlink" Target="http://www.amazon.com/Modus-Furniture-NV2382-Dresser-Espresso/dp/B002VWKD3E/" TargetMode="External"/><Relationship Id="rId164" Type="http://schemas.openxmlformats.org/officeDocument/2006/relationships/hyperlink" Target="http://www.amazon.com/Modus-Furniture-NV2384-Drawer-Espresso/dp/B002VWKD4I/" TargetMode="External"/><Relationship Id="rId165" Type="http://schemas.openxmlformats.org/officeDocument/2006/relationships/hyperlink" Target="http://www.amazon.com/Modus-Furniture-RV2682-6-Drawer-Chocolate/dp/B00ASJJSFG/" TargetMode="External"/><Relationship Id="rId166" Type="http://schemas.openxmlformats.org/officeDocument/2006/relationships/hyperlink" Target="http://www.amazon.com/Modus-Furniture-RV2684-5-Drawer-Chocolate/dp/B00ASJJT78/" TargetMode="External"/><Relationship Id="rId167" Type="http://schemas.openxmlformats.org/officeDocument/2006/relationships/hyperlink" Target="http://www.amazon.com/Pulaski-8960-010-Celestial-Drawer-Dresser/dp/B01FU5KOAA/" TargetMode="External"/><Relationship Id="rId168" Type="http://schemas.openxmlformats.org/officeDocument/2006/relationships/hyperlink" Target="http://www.amazon.com/Pulaski-DS-P017033-Traditional-Curved-" TargetMode="External"/><Relationship Id="rId169" Type="http://schemas.openxmlformats.org/officeDocument/2006/relationships/hyperlink" Target="http://www.amazon.com/Pulaski-DS-P017065-Traditional-Accent-" TargetMode="External"/><Relationship Id="rId170" Type="http://schemas.openxmlformats.org/officeDocument/2006/relationships/hyperlink" Target="http://www.amazon.com/Pulaski-Painted-Bombay-Chest-Drawer/dp/B01HJ7XRO2/" TargetMode="External"/><Relationship Id="rId171" Type="http://schemas.openxmlformats.org/officeDocument/2006/relationships/hyperlink" Target="http://www.amazon.com/Pulaski-Veronica-Mirrored-Accent-34-Inch/dp/B0032E6O06/" TargetMode="External"/><Relationship Id="rId172" Type="http://schemas.openxmlformats.org/officeDocument/2006/relationships/hyperlink" Target="http://www.amazon.com/Saratoga-Executive-Collection-Managers-Desk/dp/B000W8OTTI/" TargetMode="External"/><Relationship Id="rId173" Type="http://schemas.openxmlformats.org/officeDocument/2006/relationships/hyperlink" Target="http://www.amazon.com/Sauder-413072-Beginnings-Desk-Cherry/dp/B008V8A8CS/" TargetMode="External"/><Relationship Id="rId174" Type="http://schemas.openxmlformats.org/officeDocument/2006/relationships/hyperlink" Target="http://www.amazon.com/Sauder-Beginnings-Computer-Cinnamon-" TargetMode="External"/><Relationship Id="rId175" Type="http://schemas.openxmlformats.org/officeDocument/2006/relationships/hyperlink" Target="http://www.amazon.com/Sauder-Beginnings-Corner-Computer-Cherry/dp/B005OY7LWC/" TargetMode="External"/><Relationship Id="rId176" Type="http://schemas.openxmlformats.org/officeDocument/2006/relationships/hyperlink" Target="http://www.amazon.com/Sauder-Beginnings-Writing-Table-Cherry/dp/B00AJE8R6G/" TargetMode="External"/><Relationship Id="rId177" Type="http://schemas.openxmlformats.org/officeDocument/2006/relationships/hyperlink" Target="http://www.amazon.com/Sauder-Carson-Washington-Cherry-Finish/dp/B008GV1KJU/" TargetMode="External"/><Relationship Id="rId178" Type="http://schemas.openxmlformats.org/officeDocument/2006/relationships/hyperlink" Target="http://www.amazon.com/Sauder-Computer-Brushed-Maple-Finish/dp/B004G7RN1C/" TargetMode="External"/><Relationship Id="rId179" Type="http://schemas.openxmlformats.org/officeDocument/2006/relationships/hyperlink" Target="http://www.amazon.com/Sauder-Graham-Autumn-Maple-Finish/dp/B002QGQH9O/" TargetMode="External"/><Relationship Id="rId180" Type="http://schemas.openxmlformats.org/officeDocument/2006/relationships/hyperlink" Target="http://www.amazon.com/Sauder-Harbor-Computer-Antiqued-Finish/dp/B001DNZ0H6/" TargetMode="External"/><Relationship Id="rId181" Type="http://schemas.openxmlformats.org/officeDocument/2006/relationships/hyperlink" Target="http://www.amazon.com/Sauder-Shoal-Computer-Jamocha-Finish/dp/B003RB9CY4/" TargetMode="External"/><Relationship Id="rId182" Type="http://schemas.openxmlformats.org/officeDocument/2006/relationships/hyperlink" Target="http://www.amazon.com/Sauder-Water-Executive-Chalked-Chestnut/dp/B010EAI4DA/" TargetMode="External"/><Relationship Id="rId183" Type="http://schemas.openxmlformats.org/officeDocument/2006/relationships/hyperlink" Target="http://www.amazon.com/Series-A-48W-Corner-Desk/dp/B000W8JO9S/" TargetMode="External"/><Relationship Id="rId184" Type="http://schemas.openxmlformats.org/officeDocument/2006/relationships/hyperlink" Target="http://www.amazon.com/Series-C-66-inch-Desk-Shell/dp/B000W8N0HK/" TargetMode="External"/><Relationship Id="rId185" Type="http://schemas.openxmlformats.org/officeDocument/2006/relationships/hyperlink" Target="http://www.amazon.com/Series-C-Bow-Front-Desk/dp/B000W8N1UQ/" TargetMode="External"/><Relationship Id="rId186" Type="http://schemas.openxmlformats.org/officeDocument/2006/relationships/hyperlink" Target="http://www.amazon.com/dp/B01MRBT8CV/" TargetMode="External"/><Relationship Id="rId187" Type="http://schemas.openxmlformats.org/officeDocument/2006/relationships/hyperlink" Target="http://www.amazon.com/dp/B01N284JCN/" TargetMode="External"/><Relationship Id="rId188" Type="http://schemas.openxmlformats.org/officeDocument/2006/relationships/hyperlink" Target="http://www.amazon.com/LG-Electronics-43LJ5000-43-Inch-1080p/dp/B01N2849E3/" TargetMode="External"/><Relationship Id="rId189" Type="http://schemas.openxmlformats.org/officeDocument/2006/relationships/hyperlink" Target="http://www.amazon.com/LG-Electronics-OLED65C7P-65-Inch-Ultra/dp/B01NAYM1TP/" TargetMode="External"/><Relationship Id="rId190" Type="http://schemas.openxmlformats.org/officeDocument/2006/relationships/hyperlink" Target="http://www.amazon.com/Samsung-Electronics-UN49MU8000-49-Inch-" TargetMode="External"/><Relationship Id="rId191" Type="http://schemas.openxmlformats.org/officeDocument/2006/relationships/hyperlink" Target="http://www.amazon.com/Samsung-Electronics-UN55MU8500-Curved-55-" TargetMode="External"/><Relationship Id="rId192" Type="http://schemas.openxmlformats.org/officeDocument/2006/relationships/hyperlink" Target="http://www.amazon.com/Samsung-Electronics-UN65MU8500-Curved-65-" TargetMode="External"/><Relationship Id="rId193" Type="http://schemas.openxmlformats.org/officeDocument/2006/relationships/hyperlink" Target="http://www.amazon.com/Samsung-Electronics-UN65MU9000-65-Inch-" TargetMode="External"/><Relationship Id="rId194" Type="http://schemas.openxmlformats.org/officeDocument/2006/relationships/hyperlink" Target="http://www.amazon.com/Sceptre-1080p-True-black-E505BV-FMQC/dp/B06Y16YM9S/" TargetMode="External"/><Relationship Id="rId195" Type="http://schemas.openxmlformats.org/officeDocument/2006/relationships/hyperlink" Target="http://www.amazon.com/Sceptre-32-720p-TV-X328BV-SR/dp/B06XNMQQCP/" TargetMode="External"/><Relationship Id="rId196" Type="http://schemas.openxmlformats.org/officeDocument/2006/relationships/hyperlink" Target="http://www.amazon.com/Sceptre-E195BD-SRR-19-Inch-720P-Black/dp/B01MY87FWG/" TargetMode="External"/><Relationship Id="rId197" Type="http://schemas.openxmlformats.org/officeDocument/2006/relationships/hyperlink" Target="http://www.amazon.com/Sceptre-E245BD-FHD-Display-1920x1080-" TargetMode="External"/><Relationship Id="rId198" Type="http://schemas.openxmlformats.org/officeDocument/2006/relationships/hyperlink" Target="http://www.amazon.com/Sceptre-E505BV-FMQK-50-Inch-1080p-HDTV/dp/B01138JKJO/" TargetMode="External"/><Relationship Id="rId199" Type="http://schemas.openxmlformats.org/officeDocument/2006/relationships/hyperlink" Target="http://www.amazon.com/Sceptre-U658CV-UMC-Ultra-3840x2160-" TargetMode="External"/><Relationship Id="rId200" Type="http://schemas.openxmlformats.org/officeDocument/2006/relationships/hyperlink" Target="http://www.amazon.com/Sceptre-X415BV-FMQR-40-Inch-Full-" TargetMode="External"/><Relationship Id="rId201" Type="http://schemas.openxmlformats.org/officeDocument/2006/relationships/hyperlink" Target="http://www.amazon.com/Sony-XBR55X900E-55-Inch-Ultra-Smart/dp/B01MUG21R7/" TargetMode="External"/><Relationship Id="rId202" Type="http://schemas.openxmlformats.org/officeDocument/2006/relationships/hyperlink" Target="http://www.amazon.com/Sony-XBR65X750D-64-5-Ultra-Smart/dp/B01FWIEMVW/" TargetMode="External"/><Relationship Id="rId203" Type="http://schemas.openxmlformats.org/officeDocument/2006/relationships/hyperlink" Target="http://www.amazon.com/Sony-XBR65X930E-65-Inch-Ultra-Model/dp/B01NAMGEHP/" TargetMode="External"/><Relationship Id="rId204" Type="http://schemas.openxmlformats.org/officeDocument/2006/relationships/hyperlink" Target="http://www.amazon.com/Sony-XBR75X900E-75-Inch-Ultra-Smart/dp/B01N7XLYRF/" TargetMode="External"/><Relationship Id="rId205" Type="http://schemas.openxmlformats.org/officeDocument/2006/relationships/hyperlink" Target="http://www.amazon.com/Sony-XBR75Z9D-75-Inch-Ultra-Smart/dp/B01HY6W1WW/" TargetMode="External"/><Relationship Id="rId206" Type="http://schemas.openxmlformats.org/officeDocument/2006/relationships/hyperlink" Target="http://www.amazon.com/TCL-28S305-28-Inch-Smart-Model/dp/B01N5G7GNR/" TargetMode="External"/><Relationship Id="rId207" Type="http://schemas.openxmlformats.org/officeDocument/2006/relationships/hyperlink" Target="http://www.amazon.com/TCL-32D100-32-Inch-720p-Model/dp/B01LVZAUMM/" TargetMode="External"/><Relationship Id="rId208" Type="http://schemas.openxmlformats.org/officeDocument/2006/relationships/hyperlink" Target="http://www.amazon.com/TCL-32S305-32-Inch-Smart-Model/dp/B01MU1GBLL/" TargetMode="External"/><Relationship Id="rId209" Type="http://schemas.openxmlformats.org/officeDocument/2006/relationships/hyperlink" Target="http://www.amazon.com/TCL-40D100-40-Inch-1080p-Model/dp/B01LZZIKLZ/" TargetMode="External"/><Relationship Id="rId210" Type="http://schemas.openxmlformats.org/officeDocument/2006/relationships/hyperlink" Target="http://www.amazon.com/TCL-40S305-40-Inch-1080p-Smart/dp/B01N2UQ43P/" TargetMode="External"/><Relationship Id="rId211" Type="http://schemas.openxmlformats.org/officeDocument/2006/relationships/hyperlink" Target="http://www.amazon.com/TCL-49D100-49-Inch-1080-Model/dp/B01LW4G71Y/" TargetMode="External"/><Relationship Id="rId212" Type="http://schemas.openxmlformats.org/officeDocument/2006/relationships/hyperlink" Target="http://www.amazon.com/TCL-49S305-49-Inch-1080p-Smart/dp/B01N6HNA8T/" TargetMode="External"/><Relationship Id="rId213" Type="http://schemas.openxmlformats.org/officeDocument/2006/relationships/hyperlink" Target="http://www.amazon.com/VIZIO-D32-D1-Class-Array-Smart/dp/B019PZDJEE/" TargetMode="External"/><Relationship Id="rId214" Type="http://schemas.openxmlformats.org/officeDocument/2006/relationships/hyperlink" Target="http://www.amazon.com/VIZIO-D50-D1-50-Inch-1080p-Smart/dp/B01A0LGUOI/" TargetMode="External"/><Relationship Id="rId215" Type="http://schemas.openxmlformats.org/officeDocument/2006/relationships/hyperlink" Target="http://www.amazon.com/Vizio-D24HN-E1-24-Edge-Lit-LED/dp/B01N4ULLGB/" TargetMode="External"/><Relationship Id="rId216" Type="http://schemas.openxmlformats.org/officeDocument/2006/relationships/hyperlink" Target="http://www.amazon.com/Vizio-SMART-23-54IN-RETURNS-D24H-E1/dp/B06XQW5FJH/" TargetMode="External"/><Relationship Id="rId217" Type="http://schemas.openxmlformats.org/officeDocument/2006/relationships/header" Target="header4.xml"/><Relationship Id="rId218" Type="http://schemas.openxmlformats.org/officeDocument/2006/relationships/hyperlink" Target="http://www.etsy.com/shop/1CreativeMastermind" TargetMode="External"/><Relationship Id="rId219" Type="http://schemas.openxmlformats.org/officeDocument/2006/relationships/hyperlink" Target="http://www.etsy.com/shop/4KdesignWall" TargetMode="External"/><Relationship Id="rId220" Type="http://schemas.openxmlformats.org/officeDocument/2006/relationships/hyperlink" Target="http://www.etsy.com/shop/AbeloCustomSigns" TargetMode="External"/><Relationship Id="rId221" Type="http://schemas.openxmlformats.org/officeDocument/2006/relationships/hyperlink" Target="http://www.etsy.com/shop/AdornAnewVintage" TargetMode="External"/><Relationship Id="rId222" Type="http://schemas.openxmlformats.org/officeDocument/2006/relationships/hyperlink" Target="http://www.etsy.com/shop/akcaturkmen" TargetMode="External"/><Relationship Id="rId223" Type="http://schemas.openxmlformats.org/officeDocument/2006/relationships/hyperlink" Target="http://www.etsy.com/shop/ALIFEINCOLOURS" TargetMode="External"/><Relationship Id="rId224" Type="http://schemas.openxmlformats.org/officeDocument/2006/relationships/hyperlink" Target="http://www.etsy.com/shop/ALTboutique" TargetMode="External"/><Relationship Id="rId225" Type="http://schemas.openxmlformats.org/officeDocument/2006/relationships/hyperlink" Target="http://www.etsy.com/shop/AlyaPersonalized" TargetMode="External"/><Relationship Id="rId226" Type="http://schemas.openxmlformats.org/officeDocument/2006/relationships/hyperlink" Target="http://www.etsy.com/shop/Anglehome" TargetMode="External"/><Relationship Id="rId227" Type="http://schemas.openxmlformats.org/officeDocument/2006/relationships/hyperlink" Target="http://www.etsy.com/shop/AniJewelryDesign" TargetMode="External"/><Relationship Id="rId228" Type="http://schemas.openxmlformats.org/officeDocument/2006/relationships/hyperlink" Target="http://www.etsy.com/shop/AnnKirillartPlace" TargetMode="External"/><Relationship Id="rId229" Type="http://schemas.openxmlformats.org/officeDocument/2006/relationships/hyperlink" Target="http://www.etsy.com/shop/AtelierPofuduk" TargetMode="External"/><Relationship Id="rId230" Type="http://schemas.openxmlformats.org/officeDocument/2006/relationships/hyperlink" Target="http://www.etsy.com/shop/BackToTheToys" TargetMode="External"/><Relationship Id="rId231" Type="http://schemas.openxmlformats.org/officeDocument/2006/relationships/hyperlink" Target="http://www.etsy.com/shop/BagsofSuziErit" TargetMode="External"/><Relationship Id="rId232" Type="http://schemas.openxmlformats.org/officeDocument/2006/relationships/hyperlink" Target="http://www.etsy.com/shop/Balasagun" TargetMode="External"/><Relationship Id="rId233" Type="http://schemas.openxmlformats.org/officeDocument/2006/relationships/hyperlink" Target="http://www.etsy.com/shop/BlackFigDesigns" TargetMode="External"/><Relationship Id="rId234" Type="http://schemas.openxmlformats.org/officeDocument/2006/relationships/hyperlink" Target="http://www.etsy.com/shop/BohoBlissCreations" TargetMode="External"/><Relationship Id="rId235" Type="http://schemas.openxmlformats.org/officeDocument/2006/relationships/hyperlink" Target="http://www.etsy.com/shop/BornInTheSoviet" TargetMode="External"/><Relationship Id="rId236" Type="http://schemas.openxmlformats.org/officeDocument/2006/relationships/hyperlink" Target="http://www.etsy.com/shop/BukharaTreasures" TargetMode="External"/><Relationship Id="rId237" Type="http://schemas.openxmlformats.org/officeDocument/2006/relationships/hyperlink" Target="http://www.etsy.com/shop/ByBarva" TargetMode="External"/><Relationship Id="rId238" Type="http://schemas.openxmlformats.org/officeDocument/2006/relationships/hyperlink" Target="http://www.etsy.com/shop/CarnavalShop" TargetMode="External"/><Relationship Id="rId239" Type="http://schemas.openxmlformats.org/officeDocument/2006/relationships/hyperlink" Target="http://www.etsy.com/shop/ChasingSunshineCo" TargetMode="External"/><Relationship Id="rId240" Type="http://schemas.openxmlformats.org/officeDocument/2006/relationships/hyperlink" Target="http://www.etsy.com/shop/ClassicArtStudio" TargetMode="External"/><Relationship Id="rId241" Type="http://schemas.openxmlformats.org/officeDocument/2006/relationships/hyperlink" Target="http://www.etsy.com/shop/Crafteri" TargetMode="External"/><Relationship Id="rId242" Type="http://schemas.openxmlformats.org/officeDocument/2006/relationships/hyperlink" Target="http://www.etsy.com/shop/CraftPaperWoodShop" TargetMode="External"/><Relationship Id="rId243" Type="http://schemas.openxmlformats.org/officeDocument/2006/relationships/hyperlink" Target="http://www.etsy.com/shop/CrayCases" TargetMode="External"/><Relationship Id="rId244" Type="http://schemas.openxmlformats.org/officeDocument/2006/relationships/hyperlink" Target="http://www.etsy.com/shop/Crowsdream" TargetMode="External"/><Relationship Id="rId245" Type="http://schemas.openxmlformats.org/officeDocument/2006/relationships/hyperlink" Target="http://www.etsy.com/shop/CurlyQsCounter" TargetMode="External"/><Relationship Id="rId246" Type="http://schemas.openxmlformats.org/officeDocument/2006/relationships/hyperlink" Target="http://www.etsy.com/shop/Dariacreative" TargetMode="External"/><Relationship Id="rId247" Type="http://schemas.openxmlformats.org/officeDocument/2006/relationships/hyperlink" Target="http://www.etsy.com/shop/Denizmum" TargetMode="External"/><Relationship Id="rId248" Type="http://schemas.openxmlformats.org/officeDocument/2006/relationships/hyperlink" Target="http://www.etsy.com/shop/DesignedbySeda" TargetMode="External"/><Relationship Id="rId249" Type="http://schemas.openxmlformats.org/officeDocument/2006/relationships/hyperlink" Target="http://www.etsy.com/shop/DesignWoodenGadget" TargetMode="External"/><Relationship Id="rId250" Type="http://schemas.openxmlformats.org/officeDocument/2006/relationships/hyperlink" Target="http://www.etsy.com/shop/DoodleDojo" TargetMode="External"/><Relationship Id="rId251" Type="http://schemas.openxmlformats.org/officeDocument/2006/relationships/hyperlink" Target="http://www.etsy.com/shop/EarnCrochet" TargetMode="External"/><Relationship Id="rId252" Type="http://schemas.openxmlformats.org/officeDocument/2006/relationships/hyperlink" Target="http://www.etsy.com/shop/ElegantCabinets" TargetMode="External"/><Relationship Id="rId253" Type="http://schemas.openxmlformats.org/officeDocument/2006/relationships/hyperlink" Target="http://www.etsy.com/shop/EliteElishi" TargetMode="External"/><Relationship Id="rId254" Type="http://schemas.openxmlformats.org/officeDocument/2006/relationships/hyperlink" Target="http://www.etsy.com/shop/EloraJewelry" TargetMode="External"/><Relationship Id="rId255" Type="http://schemas.openxmlformats.org/officeDocument/2006/relationships/hyperlink" Target="http://www.etsy.com/shop/EmaxTees" TargetMode="External"/><Relationship Id="rId256" Type="http://schemas.openxmlformats.org/officeDocument/2006/relationships/hyperlink" Target="http://www.etsy.com/shop/EpicTees4You" TargetMode="External"/><Relationship Id="rId257" Type="http://schemas.openxmlformats.org/officeDocument/2006/relationships/hyperlink" Target="http://www.etsy.com/shop/epiqueepoque" TargetMode="External"/><Relationship Id="rId258" Type="http://schemas.openxmlformats.org/officeDocument/2006/relationships/hyperlink" Target="http://www.etsy.com/shop/Esnelle" TargetMode="External"/><Relationship Id="rId259" Type="http://schemas.openxmlformats.org/officeDocument/2006/relationships/hyperlink" Target="http://www.etsy.com/shop/EtteTete" TargetMode="External"/><Relationship Id="rId260" Type="http://schemas.openxmlformats.org/officeDocument/2006/relationships/hyperlink" Target="http://www.etsy.com/shop/FeltMkr" TargetMode="External"/><Relationship Id="rId261" Type="http://schemas.openxmlformats.org/officeDocument/2006/relationships/hyperlink" Target="http://www.etsy.com/shop/FlipflopBottlecaps" TargetMode="External"/><Relationship Id="rId262" Type="http://schemas.openxmlformats.org/officeDocument/2006/relationships/hyperlink" Target="http://www.etsy.com/shop/frills4you" TargetMode="External"/><Relationship Id="rId263" Type="http://schemas.openxmlformats.org/officeDocument/2006/relationships/hyperlink" Target="http://www.etsy.com/shop/FULYAK" TargetMode="External"/><Relationship Id="rId264" Type="http://schemas.openxmlformats.org/officeDocument/2006/relationships/hyperlink" Target="http://www.etsy.com/shop/funky3Dfaces" TargetMode="External"/><Relationship Id="rId265" Type="http://schemas.openxmlformats.org/officeDocument/2006/relationships/hyperlink" Target="http://www.etsy.com/shop/GagaKidz" TargetMode="External"/><Relationship Id="rId266" Type="http://schemas.openxmlformats.org/officeDocument/2006/relationships/hyperlink" Target="http://www.etsy.com/shop/GCbazaar" TargetMode="External"/><Relationship Id="rId267" Type="http://schemas.openxmlformats.org/officeDocument/2006/relationships/hyperlink" Target="http://www.etsy.com/shop/GFMODE" TargetMode="External"/><Relationship Id="rId268" Type="http://schemas.openxmlformats.org/officeDocument/2006/relationships/hyperlink" Target="http://www.etsy.com/shop/GiftShopVintage" TargetMode="External"/><Relationship Id="rId269" Type="http://schemas.openxmlformats.org/officeDocument/2006/relationships/hyperlink" Target="http://www.etsy.com/shop/GreatLifeTees" TargetMode="External"/><Relationship Id="rId270" Type="http://schemas.openxmlformats.org/officeDocument/2006/relationships/hyperlink" Target="http://www.etsy.com/shop/habitationBoheme" TargetMode="External"/><Relationship Id="rId271" Type="http://schemas.openxmlformats.org/officeDocument/2006/relationships/hyperlink" Target="http://www.etsy.com/shop/HairpinLegCo" TargetMode="External"/><Relationship Id="rId272" Type="http://schemas.openxmlformats.org/officeDocument/2006/relationships/hyperlink" Target="http://www.etsy.com/shop/HanabuKidsDecor" TargetMode="External"/><Relationship Id="rId273" Type="http://schemas.openxmlformats.org/officeDocument/2006/relationships/hyperlink" Target="http://www.etsy.com/shop/HandMadeByMMartynova" TargetMode="External"/><Relationship Id="rId274" Type="http://schemas.openxmlformats.org/officeDocument/2006/relationships/hyperlink" Target="http://www.etsy.com/shop/HANDSONHIPS" TargetMode="External"/><Relationship Id="rId275" Type="http://schemas.openxmlformats.org/officeDocument/2006/relationships/hyperlink" Target="http://www.etsy.com/shop/HoskinsLaserMade" TargetMode="External"/><Relationship Id="rId276" Type="http://schemas.openxmlformats.org/officeDocument/2006/relationships/hyperlink" Target="http://www.etsy.com/shop/IDAMETAL" TargetMode="External"/><Relationship Id="rId277" Type="http://schemas.openxmlformats.org/officeDocument/2006/relationships/hyperlink" Target="http://www.etsy.com/shop/IfDollsCouldDream" TargetMode="External"/><Relationship Id="rId278" Type="http://schemas.openxmlformats.org/officeDocument/2006/relationships/hyperlink" Target="http://www.etsy.com/shop/InTePro" TargetMode="External"/><Relationship Id="rId279" Type="http://schemas.openxmlformats.org/officeDocument/2006/relationships/hyperlink" Target="http://www.etsy.com/shop/IslamicBazaar" TargetMode="External"/><Relationship Id="rId280" Type="http://schemas.openxmlformats.org/officeDocument/2006/relationships/hyperlink" Target="http://www.etsy.com/shop/IstanbulSouvenirShop" TargetMode="External"/><Relationship Id="rId281" Type="http://schemas.openxmlformats.org/officeDocument/2006/relationships/hyperlink" Target="http://www.etsy.com/shop/infigohome" TargetMode="External"/><Relationship Id="rId282" Type="http://schemas.openxmlformats.org/officeDocument/2006/relationships/hyperlink" Target="http://www.etsy.com/shop/JewelryByKimBoutique" TargetMode="External"/><Relationship Id="rId283" Type="http://schemas.openxmlformats.org/officeDocument/2006/relationships/hyperlink" Target="http://www.etsy.com/shop/JujuAndJake" TargetMode="External"/><Relationship Id="rId284" Type="http://schemas.openxmlformats.org/officeDocument/2006/relationships/hyperlink" Target="http://www.etsy.com/shop/Kilimikea" TargetMode="External"/><Relationship Id="rId285" Type="http://schemas.openxmlformats.org/officeDocument/2006/relationships/hyperlink" Target="http://www.etsy.com/shop/KnitDjin" TargetMode="External"/><Relationship Id="rId286" Type="http://schemas.openxmlformats.org/officeDocument/2006/relationships/hyperlink" Target="http://www.etsy.com/shop/kordelyacostume" TargetMode="External"/><Relationship Id="rId287" Type="http://schemas.openxmlformats.org/officeDocument/2006/relationships/hyperlink" Target="http://www.etsy.com/shop/LAHFabrics" TargetMode="External"/><Relationship Id="rId288" Type="http://schemas.openxmlformats.org/officeDocument/2006/relationships/hyperlink" Target="http://www.etsy.com/shop/LaletDesign" TargetMode="External"/><Relationship Id="rId289" Type="http://schemas.openxmlformats.org/officeDocument/2006/relationships/hyperlink" Target="http://www.etsy.com/shop/LilNells" TargetMode="External"/><Relationship Id="rId290" Type="http://schemas.openxmlformats.org/officeDocument/2006/relationships/hyperlink" Target="http://www.etsy.com/shop/LoveBuiltShop" TargetMode="External"/><Relationship Id="rId291" Type="http://schemas.openxmlformats.org/officeDocument/2006/relationships/hyperlink" Target="http://www.etsy.com/shop/LoveJoyCreate" TargetMode="External"/><Relationship Id="rId292" Type="http://schemas.openxmlformats.org/officeDocument/2006/relationships/hyperlink" Target="http://www.etsy.com/shop/LOVEKNITCROCHET" TargetMode="External"/><Relationship Id="rId293" Type="http://schemas.openxmlformats.org/officeDocument/2006/relationships/hyperlink" Target="http://www.etsy.com/shop/LunaSavita" TargetMode="External"/><Relationship Id="rId294" Type="http://schemas.openxmlformats.org/officeDocument/2006/relationships/hyperlink" Target="http://www.etsy.com/shop/MagicalBeansHome" TargetMode="External"/><Relationship Id="rId295" Type="http://schemas.openxmlformats.org/officeDocument/2006/relationships/hyperlink" Target="http://www.etsy.com/shop/MareWeddingJewelry" TargetMode="External"/><Relationship Id="rId296" Type="http://schemas.openxmlformats.org/officeDocument/2006/relationships/hyperlink" Target="http://www.etsy.com/shop/Marumakids" TargetMode="External"/><Relationship Id="rId297" Type="http://schemas.openxmlformats.org/officeDocument/2006/relationships/hyperlink" Target="http://www.etsy.com/shop/mertakkul" TargetMode="External"/><Relationship Id="rId298" Type="http://schemas.openxmlformats.org/officeDocument/2006/relationships/hyperlink" Target="http://www.etsy.com/shop/Miaudesignco" TargetMode="External"/><Relationship Id="rId299" Type="http://schemas.openxmlformats.org/officeDocument/2006/relationships/hyperlink" Target="http://www.etsy.com/shop/MimiandGigiGifts" TargetMode="External"/><Relationship Id="rId300" Type="http://schemas.openxmlformats.org/officeDocument/2006/relationships/hyperlink" Target="http://www.etsy.com/shop/Minicamplt" TargetMode="External"/><Relationship Id="rId301" Type="http://schemas.openxmlformats.org/officeDocument/2006/relationships/hyperlink" Target="http://www.etsy.com/shop/missJoyka" TargetMode="External"/><Relationship Id="rId302" Type="http://schemas.openxmlformats.org/officeDocument/2006/relationships/hyperlink" Target="http://www.etsy.com/shop/mkclassyprints" TargetMode="External"/><Relationship Id="rId303" Type="http://schemas.openxmlformats.org/officeDocument/2006/relationships/hyperlink" Target="http://www.etsy.com/shop/MKNapparel" TargetMode="External"/><Relationship Id="rId304" Type="http://schemas.openxmlformats.org/officeDocument/2006/relationships/hyperlink" Target="http://www.etsy.com/shop/MolaxChopa" TargetMode="External"/><Relationship Id="rId305" Type="http://schemas.openxmlformats.org/officeDocument/2006/relationships/hyperlink" Target="http://www.etsy.com/shop/MoreUnusualTheBetter" TargetMode="External"/><Relationship Id="rId306" Type="http://schemas.openxmlformats.org/officeDocument/2006/relationships/hyperlink" Target="http://www.etsy.com/shop/MyFamilyDesign" TargetMode="External"/><Relationship Id="rId307" Type="http://schemas.openxmlformats.org/officeDocument/2006/relationships/hyperlink" Target="http://www.etsy.com/shop/namedesignstudio" TargetMode="External"/><Relationship Id="rId308" Type="http://schemas.openxmlformats.org/officeDocument/2006/relationships/hyperlink" Target="http://www.etsy.com/shop/neduk" TargetMode="External"/><Relationship Id="rId309" Type="http://schemas.openxmlformats.org/officeDocument/2006/relationships/hyperlink" Target="http://www.etsy.com/shop/NeslisHandcrafts" TargetMode="External"/><Relationship Id="rId310" Type="http://schemas.openxmlformats.org/officeDocument/2006/relationships/hyperlink" Target="http://www.etsy.com/shop/ohannescorlu" TargetMode="External"/><Relationship Id="rId311" Type="http://schemas.openxmlformats.org/officeDocument/2006/relationships/hyperlink" Target="http://www.etsy.com/shop/OhBettyLu" TargetMode="External"/><Relationship Id="rId312" Type="http://schemas.openxmlformats.org/officeDocument/2006/relationships/hyperlink" Target="http://www.etsy.com/shop/OldOdditiesAndMore" TargetMode="External"/><Relationship Id="rId313" Type="http://schemas.openxmlformats.org/officeDocument/2006/relationships/hyperlink" Target="http://www.etsy.com/shop/oldUSSRvintage" TargetMode="External"/><Relationship Id="rId314" Type="http://schemas.openxmlformats.org/officeDocument/2006/relationships/hyperlink" Target="http://www.etsy.com/shop/OLGABRAVARD" TargetMode="External"/><Relationship Id="rId315" Type="http://schemas.openxmlformats.org/officeDocument/2006/relationships/hyperlink" Target="http://www.etsy.com/shop/Omanie" TargetMode="External"/><Relationship Id="rId316" Type="http://schemas.openxmlformats.org/officeDocument/2006/relationships/hyperlink" Target="http://www.etsy.com/shop/orcunshop" TargetMode="External"/><Relationship Id="rId317" Type="http://schemas.openxmlformats.org/officeDocument/2006/relationships/hyperlink" Target="http://www.etsy.com/shop/PaiBai" TargetMode="External"/><Relationship Id="rId318" Type="http://schemas.openxmlformats.org/officeDocument/2006/relationships/hyperlink" Target="http://www.etsy.com/shop/PeggyLynnCreations" TargetMode="External"/><Relationship Id="rId319" Type="http://schemas.openxmlformats.org/officeDocument/2006/relationships/hyperlink" Target="http://www.etsy.com/shop/PeraStore" TargetMode="External"/><Relationship Id="rId320" Type="http://schemas.openxmlformats.org/officeDocument/2006/relationships/hyperlink" Target="http://www.etsy.com/shop/pErixShop" TargetMode="External"/><Relationship Id="rId321" Type="http://schemas.openxmlformats.org/officeDocument/2006/relationships/hyperlink" Target="http://www.etsy.com/shop/PESHCETurkey" TargetMode="External"/><Relationship Id="rId322" Type="http://schemas.openxmlformats.org/officeDocument/2006/relationships/hyperlink" Target="http://www.etsy.com/shop/PetitesPierres" TargetMode="External"/><Relationship Id="rId323" Type="http://schemas.openxmlformats.org/officeDocument/2006/relationships/hyperlink" Target="http://www.etsy.com/shop/Plans4Wood" TargetMode="External"/><Relationship Id="rId324" Type="http://schemas.openxmlformats.org/officeDocument/2006/relationships/hyperlink" Target="http://www.etsy.com/shop/Popdesigners" TargetMode="External"/><Relationship Id="rId325" Type="http://schemas.openxmlformats.org/officeDocument/2006/relationships/hyperlink" Target="http://www.etsy.com/shop/PrettyTurkishThings" TargetMode="External"/><Relationship Id="rId326" Type="http://schemas.openxmlformats.org/officeDocument/2006/relationships/hyperlink" Target="http://www.etsy.com/shop/PRINTABLELOVEArt" TargetMode="External"/><Relationship Id="rId327" Type="http://schemas.openxmlformats.org/officeDocument/2006/relationships/hyperlink" Target="http://www.etsy.com/shop/PticaDolls" TargetMode="External"/><Relationship Id="rId328" Type="http://schemas.openxmlformats.org/officeDocument/2006/relationships/hyperlink" Target="http://www.etsy.com/shop/PureAsBaby" TargetMode="External"/><Relationship Id="rId329" Type="http://schemas.openxmlformats.org/officeDocument/2006/relationships/hyperlink" Target="http://www.etsy.com/shop/quoteshirt" TargetMode="External"/><Relationship Id="rId330" Type="http://schemas.openxmlformats.org/officeDocument/2006/relationships/hyperlink" Target="http://www.etsy.com/shop/Rachsfunkyts" TargetMode="External"/><Relationship Id="rId331" Type="http://schemas.openxmlformats.org/officeDocument/2006/relationships/hyperlink" Target="http://www.etsy.com/shop/RestoredRose" TargetMode="External"/><Relationship Id="rId332" Type="http://schemas.openxmlformats.org/officeDocument/2006/relationships/hyperlink" Target="http://www.etsy.com/shop/RibbedShop" TargetMode="External"/><Relationship Id="rId333" Type="http://schemas.openxmlformats.org/officeDocument/2006/relationships/hyperlink" Target="http://www.etsy.com/shop/RiffRafCrafts" TargetMode="External"/><Relationship Id="rId334" Type="http://schemas.openxmlformats.org/officeDocument/2006/relationships/hyperlink" Target="http://www.etsy.com/shop/sabahnur" TargetMode="External"/><Relationship Id="rId335" Type="http://schemas.openxmlformats.org/officeDocument/2006/relationships/hyperlink" Target="http://www.etsy.com/shop/SakuraTurkey" TargetMode="External"/><Relationship Id="rId336" Type="http://schemas.openxmlformats.org/officeDocument/2006/relationships/hyperlink" Target="http://www.etsy.com/shop/ScarfClub" TargetMode="External"/><Relationship Id="rId337" Type="http://schemas.openxmlformats.org/officeDocument/2006/relationships/hyperlink" Target="http://www.etsy.com/shop/SewSweetSydney" TargetMode="External"/><Relationship Id="rId338" Type="http://schemas.openxmlformats.org/officeDocument/2006/relationships/hyperlink" Target="http://www.etsy.com/shop/ShadywoodSigns" TargetMode="External"/><Relationship Id="rId339" Type="http://schemas.openxmlformats.org/officeDocument/2006/relationships/hyperlink" Target="http://www.etsy.com/shop/shelleyberelli" TargetMode="External"/><Relationship Id="rId340" Type="http://schemas.openxmlformats.org/officeDocument/2006/relationships/hyperlink" Target="http://www.etsy.com/shop/simplycreativeliving" TargetMode="External"/><Relationship Id="rId341" Type="http://schemas.openxmlformats.org/officeDocument/2006/relationships/hyperlink" Target="http://www.etsy.com/shop/SolukWorkshop" TargetMode="External"/><Relationship Id="rId342" Type="http://schemas.openxmlformats.org/officeDocument/2006/relationships/hyperlink" Target="http://www.etsy.com/shop/SOrugsandtextiles" TargetMode="External"/><Relationship Id="rId343" Type="http://schemas.openxmlformats.org/officeDocument/2006/relationships/hyperlink" Target="http://www.etsy.com/shop/SpecialWoodwork" TargetMode="External"/><Relationship Id="rId344" Type="http://schemas.openxmlformats.org/officeDocument/2006/relationships/hyperlink" Target="http://www.etsy.com/shop/StarHomeStudio" TargetMode="External"/><Relationship Id="rId345" Type="http://schemas.openxmlformats.org/officeDocument/2006/relationships/hyperlink" Target="http://www.etsy.com/shop/StarsWear" TargetMode="External"/><Relationship Id="rId346" Type="http://schemas.openxmlformats.org/officeDocument/2006/relationships/hyperlink" Target="http://www.etsy.com/shop/TeeHeeHeeShirt" TargetMode="External"/><Relationship Id="rId347" Type="http://schemas.openxmlformats.org/officeDocument/2006/relationships/hyperlink" Target="http://www.etsy.com/shop/TimelesstradesLLC" TargetMode="External"/><Relationship Id="rId348" Type="http://schemas.openxmlformats.org/officeDocument/2006/relationships/hyperlink" Target="http://www.etsy.com/shop/tribaloldsilver" TargetMode="External"/><Relationship Id="rId349" Type="http://schemas.openxmlformats.org/officeDocument/2006/relationships/hyperlink" Target="http://www.etsy.com/shop/TURKMANSILVER" TargetMode="External"/><Relationship Id="rId350" Type="http://schemas.openxmlformats.org/officeDocument/2006/relationships/hyperlink" Target="http://www.etsy.com/shop/TwistedSkrews" TargetMode="External"/><Relationship Id="rId351" Type="http://schemas.openxmlformats.org/officeDocument/2006/relationships/hyperlink" Target="http://www.etsy.com/shop/Twistmo" TargetMode="External"/><Relationship Id="rId352" Type="http://schemas.openxmlformats.org/officeDocument/2006/relationships/hyperlink" Target="http://www.etsy.com/shop/Vegacity" TargetMode="External"/><Relationship Id="rId353" Type="http://schemas.openxmlformats.org/officeDocument/2006/relationships/hyperlink" Target="http://www.etsy.com/shop/VenexiaJewelry" TargetMode="External"/><Relationship Id="rId354" Type="http://schemas.openxmlformats.org/officeDocument/2006/relationships/hyperlink" Target="http://www.etsy.com/shop/Waen" TargetMode="External"/><Relationship Id="rId355" Type="http://schemas.openxmlformats.org/officeDocument/2006/relationships/hyperlink" Target="http://www.etsy.com/shop/WaldenGoods" TargetMode="External"/><Relationship Id="rId356" Type="http://schemas.openxmlformats.org/officeDocument/2006/relationships/hyperlink" Target="http://www.etsy.com/shop/WallKnot" TargetMode="External"/><Relationship Id="rId357" Type="http://schemas.openxmlformats.org/officeDocument/2006/relationships/hyperlink" Target="http://www.etsy.com/shop/YAMMBoutique" TargetMode="External"/><Relationship Id="rId358" Type="http://schemas.openxmlformats.org/officeDocument/2006/relationships/hyperlink" Target="http://www.etsy.com/shop/zoobizu" TargetMode="External"/><Relationship Id="rId359" Type="http://schemas.openxmlformats.org/officeDocument/2006/relationships/hyperlink" Target="http://www.etsy.com/shop/ZygoMax" TargetMode="External"/><Relationship Id="rId360" Type="http://schemas.openxmlformats.org/officeDocument/2006/relationships/hyperlink" Target="mailto:mkantar@pau.edu.tr" TargetMode="External"/><Relationship Id="rId3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dc:creator>
  <dcterms:created xsi:type="dcterms:W3CDTF">2020-07-27T13:04:28Z</dcterms:created>
  <dcterms:modified xsi:type="dcterms:W3CDTF">2020-07-27T13:04:28Z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2020-07-24T00:00:00Z</vt:filetime>
  </property>
  <property fmtid="{D5CDD505-2E9C-101B-9397-08002B2CF9AE}" pid="3" name="Creator">
    <vt:lpwstr>Microsoft® Word 2016</vt:lpwstr>
  </property>
  <property fmtid="{D5CDD505-2E9C-101B-9397-08002B2CF9AE}" pid="4" name="LastSaved">
    <vt:filetime>2020-07-27T00:00:00Z</vt:filetime>
  </property>
</Properties>
</file>