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E5249" w14:textId="77777777" w:rsidR="00C14148" w:rsidRPr="000954C1" w:rsidRDefault="00C14148" w:rsidP="00C14148">
      <w:pPr>
        <w:jc w:val="center"/>
        <w:rPr>
          <w:rFonts w:cs="Times New Roman"/>
          <w:b/>
          <w:bCs/>
          <w:sz w:val="28"/>
          <w:szCs w:val="32"/>
          <w:lang w:val="en-US"/>
        </w:rPr>
      </w:pPr>
      <w:r w:rsidRPr="000954C1">
        <w:rPr>
          <w:rFonts w:cs="Times New Roman"/>
          <w:b/>
          <w:bCs/>
          <w:sz w:val="28"/>
          <w:szCs w:val="32"/>
          <w:lang w:val="en-US"/>
        </w:rPr>
        <w:t>Comparison of Ground Motion Prediction Equations with Ground Motion Data from Earthquakes in Southern Aegean Area</w:t>
      </w:r>
    </w:p>
    <w:p w14:paraId="45F7890B" w14:textId="77777777" w:rsidR="00C14148" w:rsidRPr="000954C1" w:rsidRDefault="00C14148" w:rsidP="00C14148">
      <w:pPr>
        <w:jc w:val="center"/>
        <w:rPr>
          <w:rFonts w:cs="Times New Roman"/>
          <w:lang w:val="en-US"/>
        </w:rPr>
      </w:pPr>
    </w:p>
    <w:p w14:paraId="0E24B917" w14:textId="36C6CF87" w:rsidR="00AE70C0" w:rsidRPr="000954C1" w:rsidRDefault="00B05A08" w:rsidP="0095514E">
      <w:pPr>
        <w:jc w:val="center"/>
        <w:rPr>
          <w:rFonts w:eastAsia="Arial" w:cs="Times New Roman"/>
          <w:b/>
          <w:szCs w:val="22"/>
          <w:lang w:val="en-US"/>
        </w:rPr>
      </w:pPr>
      <w:r w:rsidRPr="000954C1">
        <w:rPr>
          <w:rFonts w:eastAsia="Arial" w:cs="Times New Roman"/>
          <w:b/>
          <w:szCs w:val="22"/>
          <w:lang w:val="en-US"/>
        </w:rPr>
        <w:t>Aykut Semerci</w:t>
      </w:r>
      <w:r w:rsidR="00502DBF" w:rsidRPr="000954C1">
        <w:rPr>
          <w:rFonts w:eastAsia="Arial" w:cs="Times New Roman"/>
          <w:b/>
          <w:szCs w:val="22"/>
          <w:vertAlign w:val="superscript"/>
          <w:lang w:val="en-US"/>
        </w:rPr>
        <w:t>1</w:t>
      </w:r>
      <w:r w:rsidR="002F1FD5" w:rsidRPr="000954C1">
        <w:rPr>
          <w:rFonts w:eastAsia="Arial" w:cs="Times New Roman"/>
          <w:b/>
          <w:szCs w:val="22"/>
          <w:lang w:val="en-US"/>
        </w:rPr>
        <w:t xml:space="preserve">, </w:t>
      </w:r>
      <w:r w:rsidRPr="000954C1">
        <w:rPr>
          <w:rFonts w:eastAsia="Arial" w:cs="Times New Roman"/>
          <w:b/>
          <w:szCs w:val="22"/>
          <w:lang w:val="en-US"/>
        </w:rPr>
        <w:t>Ebru Harmandar</w:t>
      </w:r>
      <w:r w:rsidR="009A50F2" w:rsidRPr="000954C1">
        <w:rPr>
          <w:rFonts w:eastAsia="Arial" w:cs="Times New Roman"/>
          <w:b/>
          <w:szCs w:val="22"/>
          <w:vertAlign w:val="superscript"/>
          <w:lang w:val="en-US"/>
        </w:rPr>
        <w:t>2</w:t>
      </w:r>
      <w:r w:rsidRPr="000954C1">
        <w:rPr>
          <w:sz w:val="20"/>
          <w:lang w:val="en-US"/>
        </w:rPr>
        <w:t>*</w:t>
      </w:r>
    </w:p>
    <w:p w14:paraId="311A3153" w14:textId="77777777" w:rsidR="0095514E" w:rsidRPr="000954C1" w:rsidRDefault="0095514E" w:rsidP="0095514E">
      <w:pPr>
        <w:jc w:val="center"/>
        <w:rPr>
          <w:rFonts w:eastAsia="Arial" w:cs="Times New Roman"/>
          <w:b/>
          <w:szCs w:val="22"/>
          <w:lang w:val="en-US"/>
        </w:rPr>
      </w:pPr>
    </w:p>
    <w:p w14:paraId="4BA21DDE" w14:textId="09B6A477" w:rsidR="005611CA" w:rsidRPr="000954C1" w:rsidRDefault="005611CA" w:rsidP="00C62C0C">
      <w:pPr>
        <w:pStyle w:val="Els-Affiliation"/>
        <w:rPr>
          <w:noProof w:val="0"/>
          <w:color w:val="000000" w:themeColor="text1"/>
          <w:sz w:val="20"/>
          <w:lang w:eastAsia="ja-JP"/>
        </w:rPr>
      </w:pPr>
      <w:r w:rsidRPr="000954C1">
        <w:rPr>
          <w:noProof w:val="0"/>
          <w:color w:val="000000" w:themeColor="text1"/>
          <w:sz w:val="20"/>
          <w:vertAlign w:val="superscript"/>
          <w:lang w:eastAsia="ja-JP"/>
        </w:rPr>
        <w:t>1</w:t>
      </w:r>
      <w:r w:rsidR="00B05A08" w:rsidRPr="000954C1">
        <w:rPr>
          <w:noProof w:val="0"/>
          <w:color w:val="000000" w:themeColor="text1"/>
          <w:sz w:val="20"/>
        </w:rPr>
        <w:t xml:space="preserve">Department of Architecture and City Planning Department, </w:t>
      </w:r>
      <w:proofErr w:type="spellStart"/>
      <w:r w:rsidR="00B05A08" w:rsidRPr="000954C1">
        <w:rPr>
          <w:noProof w:val="0"/>
          <w:color w:val="000000" w:themeColor="text1"/>
          <w:sz w:val="20"/>
        </w:rPr>
        <w:t>Pamukkale</w:t>
      </w:r>
      <w:proofErr w:type="spellEnd"/>
      <w:r w:rsidR="00B05A08" w:rsidRPr="000954C1">
        <w:rPr>
          <w:noProof w:val="0"/>
          <w:color w:val="000000" w:themeColor="text1"/>
          <w:sz w:val="20"/>
        </w:rPr>
        <w:t xml:space="preserve"> University</w:t>
      </w:r>
    </w:p>
    <w:p w14:paraId="2560B8CC" w14:textId="2F0B8C5E" w:rsidR="005611CA" w:rsidRPr="000954C1" w:rsidRDefault="005611CA" w:rsidP="00C62C0C">
      <w:pPr>
        <w:pStyle w:val="Els-Affiliation"/>
        <w:rPr>
          <w:noProof w:val="0"/>
          <w:color w:val="000000" w:themeColor="text1"/>
          <w:sz w:val="20"/>
          <w:lang w:eastAsia="ja-JP"/>
        </w:rPr>
      </w:pPr>
      <w:r w:rsidRPr="000954C1">
        <w:rPr>
          <w:noProof w:val="0"/>
          <w:color w:val="000000" w:themeColor="text1"/>
          <w:sz w:val="20"/>
          <w:vertAlign w:val="superscript"/>
          <w:lang w:eastAsia="ja-JP"/>
        </w:rPr>
        <w:t>2</w:t>
      </w:r>
      <w:r w:rsidR="00B05A08" w:rsidRPr="000954C1">
        <w:rPr>
          <w:noProof w:val="0"/>
          <w:color w:val="000000" w:themeColor="text1"/>
          <w:sz w:val="20"/>
        </w:rPr>
        <w:t xml:space="preserve">Department of Civil Engineering, </w:t>
      </w:r>
      <w:proofErr w:type="spellStart"/>
      <w:r w:rsidR="00B05A08" w:rsidRPr="000954C1">
        <w:rPr>
          <w:noProof w:val="0"/>
          <w:color w:val="000000" w:themeColor="text1"/>
          <w:sz w:val="20"/>
        </w:rPr>
        <w:t>Muğla</w:t>
      </w:r>
      <w:proofErr w:type="spellEnd"/>
      <w:r w:rsidR="00B05A08" w:rsidRPr="000954C1">
        <w:rPr>
          <w:noProof w:val="0"/>
          <w:color w:val="000000" w:themeColor="text1"/>
          <w:sz w:val="20"/>
        </w:rPr>
        <w:t xml:space="preserve"> </w:t>
      </w:r>
      <w:proofErr w:type="spellStart"/>
      <w:r w:rsidR="00B05A08" w:rsidRPr="000954C1">
        <w:rPr>
          <w:noProof w:val="0"/>
          <w:color w:val="000000" w:themeColor="text1"/>
          <w:sz w:val="20"/>
        </w:rPr>
        <w:t>Sıtkı</w:t>
      </w:r>
      <w:proofErr w:type="spellEnd"/>
      <w:r w:rsidR="00B05A08" w:rsidRPr="000954C1">
        <w:rPr>
          <w:noProof w:val="0"/>
          <w:color w:val="000000" w:themeColor="text1"/>
          <w:sz w:val="20"/>
        </w:rPr>
        <w:t xml:space="preserve"> </w:t>
      </w:r>
      <w:proofErr w:type="spellStart"/>
      <w:r w:rsidR="00B05A08" w:rsidRPr="000954C1">
        <w:rPr>
          <w:noProof w:val="0"/>
          <w:color w:val="000000" w:themeColor="text1"/>
          <w:sz w:val="20"/>
        </w:rPr>
        <w:t>Koçman</w:t>
      </w:r>
      <w:proofErr w:type="spellEnd"/>
      <w:r w:rsidR="00B05A08" w:rsidRPr="000954C1">
        <w:rPr>
          <w:noProof w:val="0"/>
          <w:color w:val="000000" w:themeColor="text1"/>
          <w:sz w:val="20"/>
        </w:rPr>
        <w:t xml:space="preserve"> University</w:t>
      </w:r>
    </w:p>
    <w:p w14:paraId="7615D5FE" w14:textId="5C3ECD76" w:rsidR="00970ACC" w:rsidRPr="000954C1" w:rsidRDefault="005611CA" w:rsidP="00012C37">
      <w:pPr>
        <w:pStyle w:val="Els-Affiliation"/>
        <w:spacing w:line="240" w:lineRule="auto"/>
        <w:rPr>
          <w:noProof w:val="0"/>
          <w:color w:val="000000" w:themeColor="text1"/>
          <w:sz w:val="20"/>
        </w:rPr>
      </w:pPr>
      <w:r w:rsidRPr="000954C1">
        <w:rPr>
          <w:noProof w:val="0"/>
          <w:color w:val="000000" w:themeColor="text1"/>
          <w:sz w:val="20"/>
        </w:rPr>
        <w:t xml:space="preserve">*Corresponding </w:t>
      </w:r>
      <w:proofErr w:type="spellStart"/>
      <w:r w:rsidRPr="000954C1">
        <w:rPr>
          <w:noProof w:val="0"/>
          <w:color w:val="000000" w:themeColor="text1"/>
          <w:sz w:val="20"/>
        </w:rPr>
        <w:t>author</w:t>
      </w:r>
      <w:r w:rsidR="00B05A08" w:rsidRPr="000954C1">
        <w:rPr>
          <w:noProof w:val="0"/>
          <w:color w:val="000000" w:themeColor="text1"/>
          <w:sz w:val="20"/>
        </w:rPr>
        <w:t>:ebruharmandar@mu.edu.tr</w:t>
      </w:r>
      <w:proofErr w:type="spellEnd"/>
    </w:p>
    <w:p w14:paraId="3C6AA63A" w14:textId="6277D1CA" w:rsidR="00012C37" w:rsidRPr="000954C1" w:rsidRDefault="00012C37" w:rsidP="00012C37">
      <w:pPr>
        <w:rPr>
          <w:rFonts w:eastAsia="Arial" w:cs="Times New Roman"/>
          <w:b/>
          <w:szCs w:val="22"/>
          <w:lang w:val="en-US"/>
        </w:rPr>
      </w:pPr>
    </w:p>
    <w:p w14:paraId="29B8209B" w14:textId="3F06D03D" w:rsidR="00012C37" w:rsidRPr="000954C1" w:rsidRDefault="00012C37" w:rsidP="00012C37">
      <w:pPr>
        <w:rPr>
          <w:rFonts w:eastAsia="Arial" w:cs="Times New Roman"/>
          <w:b/>
          <w:szCs w:val="22"/>
          <w:lang w:val="en-US"/>
        </w:rPr>
      </w:pPr>
    </w:p>
    <w:p w14:paraId="036F8623" w14:textId="77777777" w:rsidR="00012C37" w:rsidRPr="000954C1" w:rsidRDefault="00012C37" w:rsidP="00012C37">
      <w:pPr>
        <w:rPr>
          <w:rFonts w:eastAsia="Arial" w:cs="Times New Roman"/>
          <w:b/>
          <w:szCs w:val="22"/>
          <w:lang w:val="en-US"/>
        </w:rPr>
      </w:pPr>
    </w:p>
    <w:p w14:paraId="5F039E7C" w14:textId="07ABFE4F" w:rsidR="00AE70C0" w:rsidRPr="000954C1" w:rsidRDefault="001514B3" w:rsidP="00012C37">
      <w:pPr>
        <w:rPr>
          <w:rFonts w:eastAsia="Arial" w:cs="Times New Roman"/>
          <w:b/>
          <w:sz w:val="28"/>
          <w:szCs w:val="22"/>
          <w:lang w:val="en-US"/>
        </w:rPr>
      </w:pPr>
      <w:r w:rsidRPr="000954C1">
        <w:rPr>
          <w:rFonts w:eastAsia="Arial" w:cs="Times New Roman"/>
          <w:b/>
          <w:sz w:val="28"/>
          <w:szCs w:val="22"/>
          <w:lang w:val="en-US"/>
        </w:rPr>
        <w:t>Abstract</w:t>
      </w:r>
    </w:p>
    <w:p w14:paraId="6C47D63E" w14:textId="77777777" w:rsidR="001D4971" w:rsidRPr="000954C1" w:rsidRDefault="001D4971" w:rsidP="00012C37">
      <w:pPr>
        <w:rPr>
          <w:rFonts w:eastAsia="Times New Roman" w:cs="Times New Roman"/>
          <w:b/>
          <w:szCs w:val="22"/>
          <w:lang w:val="en-US"/>
        </w:rPr>
      </w:pPr>
    </w:p>
    <w:p w14:paraId="1645DB7F" w14:textId="112CC3AC" w:rsidR="009A50F2" w:rsidRPr="000954C1" w:rsidRDefault="009A50F2" w:rsidP="009A50F2">
      <w:pPr>
        <w:rPr>
          <w:rFonts w:cs="Times New Roman"/>
          <w:lang w:val="en-US"/>
        </w:rPr>
      </w:pPr>
      <w:r w:rsidRPr="000954C1">
        <w:rPr>
          <w:rFonts w:cs="Times New Roman"/>
          <w:lang w:val="en-US"/>
        </w:rPr>
        <w:t>Ground</w:t>
      </w:r>
      <w:r w:rsidRPr="000954C1">
        <w:rPr>
          <w:rFonts w:ascii="PMingLiU-ExtB" w:eastAsia="PMingLiU-ExtB" w:hAnsi="PMingLiU-ExtB" w:cs="PMingLiU-ExtB" w:hint="eastAsia"/>
          <w:lang w:val="en-US"/>
        </w:rPr>
        <w:t xml:space="preserve"> </w:t>
      </w:r>
      <w:r w:rsidRPr="000954C1">
        <w:rPr>
          <w:rFonts w:cs="Times New Roman"/>
          <w:lang w:val="en-US"/>
        </w:rPr>
        <w:t xml:space="preserve">motion prediction equations are used to estimate ground motion parameters in seismic hazard analyses. The validity of these equations has been probed for local regions. The aim of this study is </w:t>
      </w:r>
      <w:r w:rsidR="00475A4C" w:rsidRPr="000954C1">
        <w:rPr>
          <w:rFonts w:cs="Times New Roman"/>
          <w:lang w:val="en-US"/>
        </w:rPr>
        <w:t>investigating</w:t>
      </w:r>
      <w:r w:rsidRPr="000954C1">
        <w:rPr>
          <w:rFonts w:cs="Times New Roman"/>
          <w:lang w:val="en-US"/>
        </w:rPr>
        <w:t xml:space="preserve"> the compatibility of ground motion prediction equations selected in international and national projects with respect to magnitude, distance, and site scaling implied by ground motion data from Southern Aegean Area. This province is one of the most seismically active areas of the Eastern Mediterranean region. Comparisons are done for estimations from the ground motion prediction equations developed in the Next Generation Attenuation (NGA) project for application to shallow crustal zones and subduction zones. The observed data recorded by 160 strong motion stations in the National Strong Ground Motion Network (operated by the Earthquake Department of the Disaster and Emergency Management Presidency, AFAD)</w:t>
      </w:r>
      <w:r w:rsidR="003932DC" w:rsidRPr="003932DC">
        <w:rPr>
          <w:sz w:val="20"/>
          <w:szCs w:val="20"/>
          <w:lang w:val="en-US"/>
        </w:rPr>
        <w:t xml:space="preserve"> </w:t>
      </w:r>
      <w:r w:rsidR="003932DC" w:rsidRPr="003932DC">
        <w:rPr>
          <w:szCs w:val="22"/>
          <w:lang w:val="en-US"/>
        </w:rPr>
        <w:t>(</w:t>
      </w:r>
      <w:proofErr w:type="spellStart"/>
      <w:r w:rsidR="003932DC" w:rsidRPr="003932DC">
        <w:rPr>
          <w:szCs w:val="22"/>
          <w:lang w:val="en-US"/>
        </w:rPr>
        <w:t>Mercuri</w:t>
      </w:r>
      <w:proofErr w:type="spellEnd"/>
      <w:r w:rsidR="003932DC" w:rsidRPr="003932DC">
        <w:rPr>
          <w:szCs w:val="22"/>
          <w:lang w:val="en-US"/>
        </w:rPr>
        <w:t xml:space="preserve"> et al. 2013)</w:t>
      </w:r>
      <w:r w:rsidRPr="003932DC">
        <w:rPr>
          <w:rFonts w:cs="Times New Roman"/>
          <w:sz w:val="28"/>
          <w:szCs w:val="32"/>
          <w:lang w:val="en-US"/>
        </w:rPr>
        <w:t xml:space="preserve"> </w:t>
      </w:r>
      <w:r w:rsidRPr="000954C1">
        <w:rPr>
          <w:rFonts w:cs="Times New Roman"/>
          <w:lang w:val="en-US"/>
        </w:rPr>
        <w:t xml:space="preserve">triggered by earthquakes with magnitude greater than 5 are used in terms of peak ground acceleration and spectral acceleration.  </w:t>
      </w:r>
    </w:p>
    <w:p w14:paraId="3F3D298D" w14:textId="286FE7C8" w:rsidR="0095514E" w:rsidRPr="000954C1" w:rsidRDefault="0095514E" w:rsidP="00B15130">
      <w:pPr>
        <w:rPr>
          <w:rFonts w:cs="Times New Roman"/>
          <w:szCs w:val="22"/>
          <w:lang w:val="en-US"/>
        </w:rPr>
      </w:pPr>
    </w:p>
    <w:p w14:paraId="341E4BCF" w14:textId="77777777" w:rsidR="009A50F2" w:rsidRPr="000954C1" w:rsidRDefault="00E94B73" w:rsidP="009A50F2">
      <w:pPr>
        <w:rPr>
          <w:rFonts w:cs="Times New Roman"/>
          <w:lang w:val="en-US"/>
        </w:rPr>
      </w:pPr>
      <w:r w:rsidRPr="000954C1">
        <w:rPr>
          <w:rFonts w:cs="Times New Roman"/>
          <w:b/>
          <w:szCs w:val="22"/>
          <w:lang w:val="en-US"/>
        </w:rPr>
        <w:t>Keywords:</w:t>
      </w:r>
      <w:r w:rsidRPr="000954C1">
        <w:rPr>
          <w:rFonts w:cs="Times New Roman"/>
          <w:szCs w:val="22"/>
          <w:lang w:val="en-US"/>
        </w:rPr>
        <w:t xml:space="preserve"> </w:t>
      </w:r>
      <w:r w:rsidR="009A50F2" w:rsidRPr="000954C1">
        <w:rPr>
          <w:rFonts w:cs="Times New Roman"/>
          <w:lang w:val="en-US"/>
        </w:rPr>
        <w:t>Strong ground motion data, ground motion prediction equations, Southern Aegean Area</w:t>
      </w:r>
    </w:p>
    <w:p w14:paraId="094F1AAC" w14:textId="77777777" w:rsidR="009A50F2" w:rsidRPr="000954C1" w:rsidRDefault="009A50F2" w:rsidP="009A50F2">
      <w:pPr>
        <w:ind w:firstLine="708"/>
        <w:rPr>
          <w:rFonts w:cs="Times New Roman"/>
          <w:lang w:val="en-US"/>
        </w:rPr>
      </w:pPr>
    </w:p>
    <w:p w14:paraId="670834DF" w14:textId="77777777" w:rsidR="00FA65B7" w:rsidRPr="000954C1" w:rsidRDefault="00FA65B7" w:rsidP="00FA65B7">
      <w:pPr>
        <w:rPr>
          <w:rFonts w:eastAsia="Arial" w:cs="Times New Roman"/>
          <w:b/>
          <w:sz w:val="28"/>
          <w:szCs w:val="22"/>
          <w:lang w:val="en-US"/>
        </w:rPr>
      </w:pPr>
      <w:r w:rsidRPr="000954C1">
        <w:rPr>
          <w:rFonts w:eastAsia="Arial" w:cs="Times New Roman"/>
          <w:b/>
          <w:sz w:val="28"/>
          <w:szCs w:val="22"/>
          <w:lang w:val="en-US"/>
        </w:rPr>
        <w:t>Introduction</w:t>
      </w:r>
    </w:p>
    <w:p w14:paraId="40E12C5F" w14:textId="77777777" w:rsidR="00FA65B7" w:rsidRPr="000954C1" w:rsidRDefault="00FA65B7" w:rsidP="00FA65B7">
      <w:pPr>
        <w:rPr>
          <w:rFonts w:eastAsia="Arial" w:cs="Times New Roman"/>
          <w:b/>
          <w:szCs w:val="22"/>
          <w:lang w:val="en-US"/>
        </w:rPr>
      </w:pPr>
    </w:p>
    <w:p w14:paraId="67D8B76B" w14:textId="01AF59B0" w:rsidR="00836592" w:rsidRPr="0074029F" w:rsidRDefault="00E738B5" w:rsidP="00FA65B7">
      <w:pPr>
        <w:pStyle w:val="NormalWeb"/>
        <w:rPr>
          <w:bCs/>
          <w:sz w:val="22"/>
          <w:szCs w:val="22"/>
          <w:lang w:val="en-US"/>
        </w:rPr>
      </w:pPr>
      <w:r w:rsidRPr="0074029F">
        <w:rPr>
          <w:bCs/>
          <w:sz w:val="22"/>
          <w:szCs w:val="22"/>
          <w:lang w:val="en-US"/>
        </w:rPr>
        <w:t>Ground motion prediction equations (GMPEs) involve the characterization of earthquake ground motion for engineering applications. Characterization of earthquake ground motion is defined in terms of peak acceleration, spectral acceleration or duration, magnitude, site-source distance, site condition and other parameters</w:t>
      </w:r>
      <w:r w:rsidR="0074029F" w:rsidRPr="0074029F">
        <w:rPr>
          <w:sz w:val="22"/>
          <w:szCs w:val="22"/>
        </w:rPr>
        <w:t xml:space="preserve"> (</w:t>
      </w:r>
      <w:proofErr w:type="spellStart"/>
      <w:r w:rsidR="0074029F" w:rsidRPr="0074029F">
        <w:rPr>
          <w:sz w:val="22"/>
          <w:szCs w:val="22"/>
        </w:rPr>
        <w:t>Scassera</w:t>
      </w:r>
      <w:proofErr w:type="spellEnd"/>
      <w:r w:rsidR="0074029F" w:rsidRPr="0074029F">
        <w:rPr>
          <w:sz w:val="22"/>
          <w:szCs w:val="22"/>
        </w:rPr>
        <w:t xml:space="preserve"> et al., 2008)</w:t>
      </w:r>
      <w:r w:rsidRPr="0074029F">
        <w:rPr>
          <w:bCs/>
          <w:sz w:val="22"/>
          <w:szCs w:val="22"/>
          <w:lang w:val="en-US"/>
        </w:rPr>
        <w:t xml:space="preserve">. </w:t>
      </w:r>
      <w:r w:rsidR="009C392D" w:rsidRPr="0074029F">
        <w:rPr>
          <w:bCs/>
          <w:sz w:val="22"/>
          <w:szCs w:val="22"/>
          <w:lang w:val="en-US"/>
        </w:rPr>
        <w:t>Next Generation Attenuation (NGA) project advanced a series of GMPE’s applications to shallow cru</w:t>
      </w:r>
      <w:r w:rsidR="00836592" w:rsidRPr="0074029F">
        <w:rPr>
          <w:bCs/>
          <w:sz w:val="22"/>
          <w:szCs w:val="22"/>
          <w:lang w:val="en-US"/>
        </w:rPr>
        <w:t>stal zones and subduction zones</w:t>
      </w:r>
      <w:r w:rsidR="001B3F81" w:rsidRPr="0074029F">
        <w:rPr>
          <w:bCs/>
          <w:sz w:val="22"/>
          <w:szCs w:val="22"/>
          <w:lang w:val="en-US"/>
        </w:rPr>
        <w:t>.</w:t>
      </w:r>
      <w:r w:rsidR="00836592" w:rsidRPr="0074029F">
        <w:rPr>
          <w:bCs/>
          <w:sz w:val="22"/>
          <w:szCs w:val="22"/>
          <w:lang w:val="en-US"/>
        </w:rPr>
        <w:t xml:space="preserve"> </w:t>
      </w:r>
      <w:r w:rsidR="001B3F81" w:rsidRPr="0074029F">
        <w:rPr>
          <w:bCs/>
          <w:sz w:val="22"/>
          <w:szCs w:val="22"/>
          <w:lang w:val="en-US"/>
        </w:rPr>
        <w:t>Some of the</w:t>
      </w:r>
      <w:r w:rsidRPr="0074029F">
        <w:rPr>
          <w:bCs/>
          <w:sz w:val="22"/>
          <w:szCs w:val="22"/>
          <w:lang w:val="en-US"/>
        </w:rPr>
        <w:t xml:space="preserve"> </w:t>
      </w:r>
      <w:proofErr w:type="spellStart"/>
      <w:r w:rsidR="009C392D" w:rsidRPr="0074029F">
        <w:rPr>
          <w:bCs/>
          <w:sz w:val="22"/>
          <w:szCs w:val="22"/>
          <w:lang w:val="en-US"/>
        </w:rPr>
        <w:t>Akkar</w:t>
      </w:r>
      <w:proofErr w:type="spellEnd"/>
      <w:r w:rsidR="009C392D" w:rsidRPr="0074029F">
        <w:rPr>
          <w:bCs/>
          <w:sz w:val="22"/>
          <w:szCs w:val="22"/>
          <w:lang w:val="en-US"/>
        </w:rPr>
        <w:t xml:space="preserve"> </w:t>
      </w:r>
      <w:r w:rsidR="00CE76F7" w:rsidRPr="0074029F">
        <w:rPr>
          <w:bCs/>
          <w:sz w:val="22"/>
          <w:szCs w:val="22"/>
          <w:lang w:val="en-US"/>
        </w:rPr>
        <w:t xml:space="preserve">et al. (2014), Zhao et al. (2006), Lin and Lee (2008), Garcia et al. (2005) and Megawati and Pan (2010). </w:t>
      </w:r>
    </w:p>
    <w:p w14:paraId="53B64FC6" w14:textId="77777777" w:rsidR="00836592" w:rsidRPr="000954C1" w:rsidRDefault="00836592" w:rsidP="00FA65B7">
      <w:pPr>
        <w:pStyle w:val="NormalWeb"/>
        <w:rPr>
          <w:bCs/>
          <w:sz w:val="22"/>
          <w:szCs w:val="22"/>
          <w:lang w:val="en-US"/>
        </w:rPr>
      </w:pPr>
    </w:p>
    <w:p w14:paraId="19701ECB" w14:textId="15221E00" w:rsidR="00943621" w:rsidRPr="000954C1" w:rsidRDefault="00E738B5" w:rsidP="00943621">
      <w:pPr>
        <w:pStyle w:val="NormalWeb"/>
        <w:rPr>
          <w:sz w:val="22"/>
          <w:szCs w:val="22"/>
          <w:lang w:val="en-US"/>
        </w:rPr>
      </w:pPr>
      <w:r w:rsidRPr="000954C1">
        <w:rPr>
          <w:bCs/>
          <w:sz w:val="22"/>
          <w:szCs w:val="22"/>
          <w:lang w:val="en-US"/>
        </w:rPr>
        <w:t>This study aims to investigate the compatibility of ground prediction equations selected in international and national projects concerning magnitude, distance, and site scaling implied by ground motion data from the Southern Aegean area.</w:t>
      </w:r>
    </w:p>
    <w:p w14:paraId="7D5A02E5" w14:textId="392307DD" w:rsidR="00FA65B7" w:rsidRPr="000954C1" w:rsidRDefault="00FA65B7" w:rsidP="006633A7">
      <w:pPr>
        <w:pStyle w:val="NormalWeb"/>
        <w:jc w:val="center"/>
        <w:rPr>
          <w:sz w:val="22"/>
          <w:szCs w:val="22"/>
          <w:lang w:val="en-US"/>
        </w:rPr>
      </w:pPr>
    </w:p>
    <w:p w14:paraId="012E1164" w14:textId="77777777" w:rsidR="00FA65B7" w:rsidRPr="000954C1" w:rsidRDefault="00FA65B7" w:rsidP="00FA65B7">
      <w:pPr>
        <w:rPr>
          <w:rFonts w:eastAsia="Arial" w:cs="Times New Roman"/>
          <w:b/>
          <w:sz w:val="28"/>
          <w:szCs w:val="22"/>
          <w:lang w:val="en-US"/>
        </w:rPr>
      </w:pPr>
      <w:r w:rsidRPr="000954C1">
        <w:rPr>
          <w:rFonts w:eastAsia="Arial" w:cs="Times New Roman"/>
          <w:b/>
          <w:sz w:val="28"/>
          <w:szCs w:val="22"/>
          <w:lang w:val="en-US"/>
        </w:rPr>
        <w:t>Active Fault System in Southern Aegean and Seismicity</w:t>
      </w:r>
    </w:p>
    <w:p w14:paraId="5F5DE917" w14:textId="77777777" w:rsidR="00FA65B7" w:rsidRPr="000954C1" w:rsidRDefault="00FA65B7" w:rsidP="00FA65B7">
      <w:pPr>
        <w:rPr>
          <w:rFonts w:eastAsia="Arial" w:cs="Times New Roman"/>
          <w:b/>
          <w:szCs w:val="20"/>
          <w:lang w:val="en-US"/>
        </w:rPr>
      </w:pPr>
    </w:p>
    <w:p w14:paraId="4F9E8567" w14:textId="6FB6EEBC" w:rsidR="001B3F81" w:rsidRPr="000954C1" w:rsidRDefault="001B3F81" w:rsidP="001B3F81">
      <w:pPr>
        <w:pStyle w:val="NormalWeb"/>
        <w:rPr>
          <w:bCs/>
          <w:sz w:val="22"/>
          <w:szCs w:val="22"/>
          <w:lang w:val="en-US"/>
        </w:rPr>
      </w:pPr>
      <w:r w:rsidRPr="000954C1">
        <w:rPr>
          <w:bCs/>
          <w:sz w:val="22"/>
          <w:szCs w:val="22"/>
          <w:lang w:val="en-US"/>
        </w:rPr>
        <w:t>The Southern Aegean area</w:t>
      </w:r>
      <w:r w:rsidR="00E738B5" w:rsidRPr="000954C1">
        <w:rPr>
          <w:bCs/>
          <w:sz w:val="22"/>
          <w:szCs w:val="22"/>
          <w:lang w:val="en-US"/>
        </w:rPr>
        <w:t xml:space="preserve"> </w:t>
      </w:r>
      <w:r w:rsidR="007C3030" w:rsidRPr="000954C1">
        <w:rPr>
          <w:bCs/>
          <w:sz w:val="22"/>
          <w:szCs w:val="22"/>
          <w:lang w:val="en-US"/>
        </w:rPr>
        <w:t>is located</w:t>
      </w:r>
      <w:r w:rsidRPr="000954C1">
        <w:rPr>
          <w:bCs/>
          <w:sz w:val="22"/>
          <w:szCs w:val="22"/>
          <w:lang w:val="en-US"/>
        </w:rPr>
        <w:t xml:space="preserve"> at </w:t>
      </w:r>
      <w:proofErr w:type="spellStart"/>
      <w:r w:rsidRPr="000954C1">
        <w:rPr>
          <w:bCs/>
          <w:sz w:val="22"/>
          <w:szCs w:val="22"/>
          <w:lang w:val="en-US"/>
        </w:rPr>
        <w:t>Bornova</w:t>
      </w:r>
      <w:proofErr w:type="spellEnd"/>
      <w:r w:rsidRPr="000954C1">
        <w:rPr>
          <w:bCs/>
          <w:sz w:val="22"/>
          <w:szCs w:val="22"/>
          <w:lang w:val="en-US"/>
        </w:rPr>
        <w:t xml:space="preserve"> Flysch Zone, Menderes Massif. Figure 1 represents the </w:t>
      </w:r>
      <w:proofErr w:type="spellStart"/>
      <w:r w:rsidRPr="000954C1">
        <w:rPr>
          <w:bCs/>
          <w:sz w:val="22"/>
          <w:szCs w:val="22"/>
          <w:lang w:val="en-US"/>
        </w:rPr>
        <w:t>seismo</w:t>
      </w:r>
      <w:proofErr w:type="spellEnd"/>
      <w:r w:rsidRPr="000954C1">
        <w:rPr>
          <w:bCs/>
          <w:sz w:val="22"/>
          <w:szCs w:val="22"/>
          <w:lang w:val="en-US"/>
        </w:rPr>
        <w:t>-tectonic and geological setting.</w:t>
      </w:r>
    </w:p>
    <w:p w14:paraId="0F708E92" w14:textId="77777777" w:rsidR="001B3F81" w:rsidRPr="000954C1" w:rsidRDefault="001B3F81" w:rsidP="001B3F81">
      <w:pPr>
        <w:pStyle w:val="NormalWeb"/>
        <w:rPr>
          <w:bCs/>
          <w:sz w:val="22"/>
          <w:szCs w:val="22"/>
          <w:lang w:val="en-US"/>
        </w:rPr>
      </w:pPr>
    </w:p>
    <w:p w14:paraId="192BB487" w14:textId="77777777" w:rsidR="00BA6EC1" w:rsidRPr="000954C1" w:rsidRDefault="00BA6EC1" w:rsidP="00311162">
      <w:pPr>
        <w:pStyle w:val="NormalWeb"/>
        <w:rPr>
          <w:b/>
          <w:sz w:val="22"/>
          <w:szCs w:val="28"/>
          <w:lang w:val="en-US"/>
        </w:rPr>
      </w:pPr>
      <w:r w:rsidRPr="000954C1">
        <w:rPr>
          <w:b/>
          <w:sz w:val="22"/>
          <w:szCs w:val="28"/>
          <w:lang w:val="en-US"/>
        </w:rPr>
        <w:t>Aegean Depression System</w:t>
      </w:r>
    </w:p>
    <w:p w14:paraId="3CB951D8" w14:textId="77777777" w:rsidR="00BA6EC1" w:rsidRPr="000954C1" w:rsidRDefault="00BA6EC1" w:rsidP="00BA6EC1">
      <w:pPr>
        <w:rPr>
          <w:rFonts w:cs="Times New Roman"/>
          <w:szCs w:val="22"/>
          <w:lang w:val="en-US"/>
        </w:rPr>
      </w:pPr>
    </w:p>
    <w:p w14:paraId="2C85AB27" w14:textId="436D0649" w:rsidR="00BA6EC1" w:rsidRPr="000954C1" w:rsidRDefault="00E738B5" w:rsidP="00BA6EC1">
      <w:pPr>
        <w:pStyle w:val="NormalWeb"/>
        <w:rPr>
          <w:rFonts w:eastAsia="Times New Roman"/>
          <w:sz w:val="22"/>
          <w:szCs w:val="22"/>
          <w:shd w:val="clear" w:color="auto" w:fill="FFFFFF"/>
          <w:lang w:val="en-US" w:eastAsia="tr-TR"/>
        </w:rPr>
      </w:pPr>
      <w:r w:rsidRPr="000954C1">
        <w:rPr>
          <w:sz w:val="22"/>
          <w:szCs w:val="22"/>
          <w:lang w:val="en-US"/>
        </w:rPr>
        <w:t>The Aegea</w:t>
      </w:r>
      <w:r w:rsidR="009C7F4C" w:rsidRPr="000954C1">
        <w:rPr>
          <w:sz w:val="22"/>
          <w:szCs w:val="22"/>
          <w:lang w:val="en-US"/>
        </w:rPr>
        <w:t xml:space="preserve">n Area consists of many blocks and </w:t>
      </w:r>
      <w:r w:rsidRPr="000954C1">
        <w:rPr>
          <w:sz w:val="22"/>
          <w:szCs w:val="22"/>
          <w:lang w:val="en-US"/>
        </w:rPr>
        <w:t>has an activity of normal fault mechanism in E-W direction. The region is generally under the influence of a PPE-SSW-pulling regime. The main NNE-SSW expansion direction dominating the area is the focal mechanism of these earthquakes.</w:t>
      </w:r>
      <w:r w:rsidR="00BA6EC1" w:rsidRPr="000954C1">
        <w:rPr>
          <w:sz w:val="22"/>
          <w:szCs w:val="22"/>
          <w:lang w:val="en-US"/>
        </w:rPr>
        <w:t xml:space="preserve"> It has been obtained as a result of solutions and shows compatibility with T axis directions. These areas are </w:t>
      </w:r>
      <w:proofErr w:type="spellStart"/>
      <w:r w:rsidR="00BA6EC1" w:rsidRPr="000954C1">
        <w:rPr>
          <w:sz w:val="22"/>
          <w:szCs w:val="22"/>
          <w:lang w:val="en-US"/>
        </w:rPr>
        <w:t>Bakırçay-Simav</w:t>
      </w:r>
      <w:proofErr w:type="spellEnd"/>
      <w:r w:rsidR="00BA6EC1" w:rsidRPr="000954C1">
        <w:rPr>
          <w:sz w:val="22"/>
          <w:szCs w:val="22"/>
          <w:lang w:val="en-US"/>
        </w:rPr>
        <w:t xml:space="preserve"> depression (</w:t>
      </w:r>
      <w:proofErr w:type="spellStart"/>
      <w:r w:rsidR="00BA6EC1" w:rsidRPr="000954C1">
        <w:rPr>
          <w:sz w:val="22"/>
          <w:szCs w:val="22"/>
          <w:lang w:val="en-US"/>
        </w:rPr>
        <w:t>Edremit</w:t>
      </w:r>
      <w:proofErr w:type="spellEnd"/>
      <w:r w:rsidR="00BA6EC1" w:rsidRPr="000954C1">
        <w:rPr>
          <w:sz w:val="22"/>
          <w:szCs w:val="22"/>
          <w:lang w:val="en-US"/>
        </w:rPr>
        <w:t xml:space="preserve"> Bay), </w:t>
      </w:r>
      <w:proofErr w:type="spellStart"/>
      <w:r w:rsidR="00BA6EC1" w:rsidRPr="000954C1">
        <w:rPr>
          <w:sz w:val="22"/>
          <w:szCs w:val="22"/>
          <w:lang w:val="en-US"/>
        </w:rPr>
        <w:t>Gediz-Küçük</w:t>
      </w:r>
      <w:proofErr w:type="spellEnd"/>
      <w:r w:rsidR="00BA6EC1" w:rsidRPr="000954C1">
        <w:rPr>
          <w:sz w:val="22"/>
          <w:szCs w:val="22"/>
          <w:lang w:val="en-US"/>
        </w:rPr>
        <w:t xml:space="preserve">, Menderes depression, </w:t>
      </w:r>
      <w:proofErr w:type="spellStart"/>
      <w:r w:rsidR="00BA6EC1" w:rsidRPr="000954C1">
        <w:rPr>
          <w:sz w:val="22"/>
          <w:szCs w:val="22"/>
          <w:lang w:val="en-US"/>
        </w:rPr>
        <w:t>Büyük</w:t>
      </w:r>
      <w:proofErr w:type="spellEnd"/>
      <w:r w:rsidR="00BA6EC1" w:rsidRPr="000954C1">
        <w:rPr>
          <w:sz w:val="22"/>
          <w:szCs w:val="22"/>
          <w:lang w:val="en-US"/>
        </w:rPr>
        <w:t xml:space="preserve"> Menderes and </w:t>
      </w:r>
      <w:proofErr w:type="spellStart"/>
      <w:r w:rsidR="00BA6EC1" w:rsidRPr="000954C1">
        <w:rPr>
          <w:sz w:val="22"/>
          <w:szCs w:val="22"/>
          <w:lang w:val="en-US"/>
        </w:rPr>
        <w:t>Gökova</w:t>
      </w:r>
      <w:proofErr w:type="spellEnd"/>
      <w:r w:rsidR="00BA6EC1" w:rsidRPr="000954C1">
        <w:rPr>
          <w:sz w:val="22"/>
          <w:szCs w:val="22"/>
          <w:lang w:val="en-US"/>
        </w:rPr>
        <w:t xml:space="preserve"> Bay depressions (</w:t>
      </w:r>
      <w:r w:rsidR="00BA6EC1" w:rsidRPr="000954C1">
        <w:rPr>
          <w:rFonts w:eastAsia="Times New Roman"/>
          <w:sz w:val="22"/>
          <w:szCs w:val="22"/>
          <w:shd w:val="clear" w:color="auto" w:fill="FFFFFF"/>
          <w:lang w:val="en-US" w:eastAsia="tr-TR"/>
        </w:rPr>
        <w:t>Figure 2).</w:t>
      </w:r>
    </w:p>
    <w:p w14:paraId="6C1A3BD2" w14:textId="77777777" w:rsidR="001B3F81" w:rsidRPr="000954C1" w:rsidRDefault="001B3F81" w:rsidP="001B3F81">
      <w:pPr>
        <w:pStyle w:val="NormalWeb"/>
        <w:jc w:val="center"/>
        <w:rPr>
          <w:sz w:val="22"/>
          <w:szCs w:val="22"/>
          <w:lang w:val="en-US"/>
        </w:rPr>
      </w:pPr>
      <w:r w:rsidRPr="000954C1">
        <w:rPr>
          <w:noProof/>
          <w:sz w:val="22"/>
          <w:szCs w:val="22"/>
          <w:lang w:val="en-US" w:eastAsia="en-US"/>
        </w:rPr>
        <w:lastRenderedPageBreak/>
        <w:drawing>
          <wp:inline distT="0" distB="0" distL="0" distR="0" wp14:anchorId="18926EE4" wp14:editId="69841429">
            <wp:extent cx="3458471" cy="2051612"/>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2.jpg"/>
                    <pic:cNvPicPr/>
                  </pic:nvPicPr>
                  <pic:blipFill>
                    <a:blip r:embed="rId8">
                      <a:extLst>
                        <a:ext uri="{28A0092B-C50C-407E-A947-70E740481C1C}">
                          <a14:useLocalDpi xmlns:a14="http://schemas.microsoft.com/office/drawing/2010/main" val="0"/>
                        </a:ext>
                      </a:extLst>
                    </a:blip>
                    <a:stretch>
                      <a:fillRect/>
                    </a:stretch>
                  </pic:blipFill>
                  <pic:spPr>
                    <a:xfrm>
                      <a:off x="0" y="0"/>
                      <a:ext cx="3459567" cy="2052262"/>
                    </a:xfrm>
                    <a:prstGeom prst="rect">
                      <a:avLst/>
                    </a:prstGeom>
                  </pic:spPr>
                </pic:pic>
              </a:graphicData>
            </a:graphic>
          </wp:inline>
        </w:drawing>
      </w:r>
    </w:p>
    <w:p w14:paraId="72375400" w14:textId="5828A171" w:rsidR="001B3F81" w:rsidRPr="000954C1" w:rsidRDefault="001B3F81" w:rsidP="001B3F81">
      <w:pPr>
        <w:jc w:val="center"/>
        <w:rPr>
          <w:szCs w:val="22"/>
          <w:lang w:val="en-US"/>
        </w:rPr>
      </w:pPr>
      <w:r w:rsidRPr="000954C1">
        <w:rPr>
          <w:szCs w:val="22"/>
          <w:lang w:val="en-US"/>
        </w:rPr>
        <w:t xml:space="preserve">Figure 1. </w:t>
      </w:r>
      <w:proofErr w:type="spellStart"/>
      <w:r w:rsidR="00B128C1" w:rsidRPr="000954C1">
        <w:rPr>
          <w:bCs/>
          <w:szCs w:val="22"/>
          <w:lang w:val="en-US"/>
        </w:rPr>
        <w:t>Seismo</w:t>
      </w:r>
      <w:proofErr w:type="spellEnd"/>
      <w:r w:rsidR="00B128C1" w:rsidRPr="000954C1">
        <w:rPr>
          <w:bCs/>
          <w:szCs w:val="22"/>
          <w:lang w:val="en-US"/>
        </w:rPr>
        <w:t>-tectonic and Geology Map of Turkey</w:t>
      </w:r>
      <w:r w:rsidRPr="000954C1">
        <w:rPr>
          <w:bCs/>
          <w:szCs w:val="22"/>
          <w:lang w:val="en-US"/>
        </w:rPr>
        <w:t xml:space="preserve"> </w:t>
      </w:r>
      <w:r w:rsidRPr="000954C1">
        <w:rPr>
          <w:szCs w:val="22"/>
          <w:lang w:val="en-US"/>
        </w:rPr>
        <w:t>(Aral Okay, 2005)</w:t>
      </w:r>
    </w:p>
    <w:p w14:paraId="16166F5B" w14:textId="77777777" w:rsidR="001B3F81" w:rsidRPr="000954C1" w:rsidRDefault="001B3F81" w:rsidP="001B3F81">
      <w:pPr>
        <w:rPr>
          <w:rFonts w:eastAsia="Arial" w:cs="Times New Roman"/>
          <w:szCs w:val="20"/>
          <w:lang w:val="en-US"/>
        </w:rPr>
      </w:pPr>
    </w:p>
    <w:p w14:paraId="408B0CA5" w14:textId="672548BD" w:rsidR="00A9569B" w:rsidRPr="000954C1" w:rsidRDefault="00A9569B" w:rsidP="00A9569B">
      <w:pPr>
        <w:jc w:val="center"/>
        <w:rPr>
          <w:rFonts w:eastAsia="Times New Roman" w:cs="Times New Roman"/>
          <w:sz w:val="24"/>
          <w:lang w:val="en-US" w:eastAsia="tr-TR"/>
        </w:rPr>
      </w:pPr>
      <w:r w:rsidRPr="000954C1">
        <w:rPr>
          <w:rFonts w:eastAsia="Times New Roman" w:cs="Times New Roman"/>
          <w:sz w:val="24"/>
          <w:lang w:val="en-US" w:eastAsia="tr-TR"/>
        </w:rPr>
        <w:fldChar w:fldCharType="begin"/>
      </w:r>
      <w:r w:rsidRPr="000954C1">
        <w:rPr>
          <w:rFonts w:eastAsia="Times New Roman" w:cs="Times New Roman"/>
          <w:sz w:val="24"/>
          <w:lang w:val="en-US" w:eastAsia="tr-TR"/>
        </w:rPr>
        <w:instrText xml:space="preserve"> INCLUDEPICTURE "/var/folders/sl/y1m_20n10q3cx3qtsf5jm30r0000gn/T/com.microsoft.Word/WebArchiveCopyPasteTempFiles/Generalized-geologic-map-of-western-Turkey-showing-major-fault-zones-and-locations-of.png" \* MERGEFORMATINET </w:instrText>
      </w:r>
      <w:r w:rsidRPr="000954C1">
        <w:rPr>
          <w:rFonts w:eastAsia="Times New Roman" w:cs="Times New Roman"/>
          <w:sz w:val="24"/>
          <w:lang w:val="en-US" w:eastAsia="tr-TR"/>
        </w:rPr>
        <w:fldChar w:fldCharType="separate"/>
      </w:r>
      <w:r w:rsidRPr="000954C1">
        <w:rPr>
          <w:rFonts w:eastAsia="Times New Roman" w:cs="Times New Roman"/>
          <w:noProof/>
          <w:sz w:val="24"/>
          <w:lang w:val="en-US" w:eastAsia="en-US"/>
        </w:rPr>
        <w:drawing>
          <wp:inline distT="0" distB="0" distL="0" distR="0" wp14:anchorId="5AEC9132" wp14:editId="5DBDA4D5">
            <wp:extent cx="2025613" cy="2926479"/>
            <wp:effectExtent l="0" t="0" r="6985" b="0"/>
            <wp:docPr id="4" name="Resim 4" descr="Active Fault System in Southern Aegean İN TURKEY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Fault System in Southern Aegean İN TURKEY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162" cy="2967725"/>
                    </a:xfrm>
                    <a:prstGeom prst="rect">
                      <a:avLst/>
                    </a:prstGeom>
                    <a:noFill/>
                    <a:ln>
                      <a:noFill/>
                    </a:ln>
                  </pic:spPr>
                </pic:pic>
              </a:graphicData>
            </a:graphic>
          </wp:inline>
        </w:drawing>
      </w:r>
      <w:r w:rsidRPr="000954C1">
        <w:rPr>
          <w:rFonts w:eastAsia="Times New Roman" w:cs="Times New Roman"/>
          <w:sz w:val="24"/>
          <w:lang w:val="en-US" w:eastAsia="tr-TR"/>
        </w:rPr>
        <w:fldChar w:fldCharType="end"/>
      </w:r>
    </w:p>
    <w:p w14:paraId="1C6466DC" w14:textId="77777777" w:rsidR="00A9569B" w:rsidRPr="000954C1" w:rsidRDefault="00A9569B" w:rsidP="00A9569B">
      <w:pPr>
        <w:jc w:val="center"/>
        <w:rPr>
          <w:rFonts w:eastAsia="Times New Roman" w:cs="Times New Roman"/>
          <w:sz w:val="24"/>
          <w:lang w:val="en-US" w:eastAsia="tr-TR"/>
        </w:rPr>
      </w:pPr>
    </w:p>
    <w:p w14:paraId="465AE7DF" w14:textId="66410952" w:rsidR="0090213B" w:rsidRPr="000954C1" w:rsidRDefault="00A9569B" w:rsidP="00A9569B">
      <w:pPr>
        <w:jc w:val="center"/>
        <w:rPr>
          <w:rFonts w:eastAsia="Times New Roman" w:cs="Times New Roman"/>
          <w:szCs w:val="22"/>
          <w:shd w:val="clear" w:color="auto" w:fill="FFFFFF"/>
          <w:lang w:val="en-US" w:eastAsia="tr-TR"/>
        </w:rPr>
      </w:pPr>
      <w:r w:rsidRPr="000954C1">
        <w:rPr>
          <w:rFonts w:eastAsia="Times New Roman" w:cs="Times New Roman"/>
          <w:szCs w:val="22"/>
          <w:shd w:val="clear" w:color="auto" w:fill="FFFFFF"/>
          <w:lang w:val="en-US" w:eastAsia="tr-TR"/>
        </w:rPr>
        <w:t xml:space="preserve">Figure </w:t>
      </w:r>
      <w:r w:rsidR="0016277D" w:rsidRPr="000954C1">
        <w:rPr>
          <w:rFonts w:eastAsia="Times New Roman" w:cs="Times New Roman"/>
          <w:szCs w:val="22"/>
          <w:shd w:val="clear" w:color="auto" w:fill="FFFFFF"/>
          <w:lang w:val="en-US" w:eastAsia="tr-TR"/>
        </w:rPr>
        <w:t>2</w:t>
      </w:r>
      <w:r w:rsidRPr="000954C1">
        <w:rPr>
          <w:rFonts w:eastAsia="Times New Roman" w:cs="Times New Roman"/>
          <w:szCs w:val="22"/>
          <w:shd w:val="clear" w:color="auto" w:fill="FFFFFF"/>
          <w:lang w:val="en-US" w:eastAsia="tr-TR"/>
        </w:rPr>
        <w:t xml:space="preserve">. </w:t>
      </w:r>
      <w:r w:rsidR="0016277D" w:rsidRPr="000954C1">
        <w:rPr>
          <w:rFonts w:eastAsia="Times New Roman" w:cs="Times New Roman"/>
          <w:szCs w:val="22"/>
          <w:shd w:val="clear" w:color="auto" w:fill="FFFFFF"/>
          <w:lang w:val="en-US" w:eastAsia="tr-TR"/>
        </w:rPr>
        <w:t xml:space="preserve">Geologic Map of Western </w:t>
      </w:r>
      <w:r w:rsidRPr="000954C1">
        <w:rPr>
          <w:rFonts w:eastAsia="Times New Roman" w:cs="Times New Roman"/>
          <w:szCs w:val="22"/>
          <w:shd w:val="clear" w:color="auto" w:fill="FFFFFF"/>
          <w:lang w:val="en-US" w:eastAsia="tr-TR"/>
        </w:rPr>
        <w:t xml:space="preserve">Turkey </w:t>
      </w:r>
      <w:r w:rsidR="00A82E2B" w:rsidRPr="000954C1">
        <w:rPr>
          <w:rFonts w:eastAsia="Times New Roman" w:cs="Times New Roman"/>
          <w:szCs w:val="22"/>
          <w:shd w:val="clear" w:color="auto" w:fill="FFFFFF"/>
          <w:lang w:val="en-US" w:eastAsia="tr-TR"/>
        </w:rPr>
        <w:t>with</w:t>
      </w:r>
      <w:r w:rsidR="0016277D" w:rsidRPr="000954C1">
        <w:rPr>
          <w:rFonts w:eastAsia="Times New Roman" w:cs="Times New Roman"/>
          <w:szCs w:val="22"/>
          <w:shd w:val="clear" w:color="auto" w:fill="FFFFFF"/>
          <w:lang w:val="en-US" w:eastAsia="tr-TR"/>
        </w:rPr>
        <w:t xml:space="preserve"> Major Fault Zones</w:t>
      </w:r>
      <w:r w:rsidRPr="000954C1">
        <w:rPr>
          <w:rFonts w:eastAsia="Times New Roman" w:cs="Times New Roman"/>
          <w:szCs w:val="22"/>
          <w:shd w:val="clear" w:color="auto" w:fill="FFFFFF"/>
          <w:lang w:val="en-US" w:eastAsia="tr-TR"/>
        </w:rPr>
        <w:t xml:space="preserve"> </w:t>
      </w:r>
    </w:p>
    <w:p w14:paraId="3802F8F0" w14:textId="09F991CC" w:rsidR="00A9569B" w:rsidRPr="000954C1" w:rsidRDefault="00A9569B" w:rsidP="00A9569B">
      <w:pPr>
        <w:jc w:val="center"/>
        <w:rPr>
          <w:rFonts w:eastAsia="Times New Roman" w:cs="Times New Roman"/>
          <w:szCs w:val="22"/>
          <w:lang w:val="en-US" w:eastAsia="tr-TR"/>
        </w:rPr>
      </w:pPr>
      <w:r w:rsidRPr="000954C1">
        <w:rPr>
          <w:rFonts w:eastAsia="Times New Roman" w:cs="Times New Roman"/>
          <w:szCs w:val="22"/>
          <w:shd w:val="clear" w:color="auto" w:fill="FFFFFF"/>
          <w:lang w:val="en-US" w:eastAsia="tr-TR"/>
        </w:rPr>
        <w:t>(</w:t>
      </w:r>
      <w:r w:rsidRPr="000954C1">
        <w:rPr>
          <w:rFonts w:cs="Times New Roman"/>
          <w:szCs w:val="22"/>
          <w:lang w:val="en-US"/>
        </w:rPr>
        <w:t>Faulds et al., 2010)</w:t>
      </w:r>
    </w:p>
    <w:p w14:paraId="1B552CC2" w14:textId="77777777" w:rsidR="00A9569B" w:rsidRPr="000954C1" w:rsidRDefault="00A9569B" w:rsidP="00A9569B">
      <w:pPr>
        <w:jc w:val="center"/>
        <w:rPr>
          <w:rFonts w:eastAsia="Times New Roman" w:cs="Times New Roman"/>
          <w:sz w:val="24"/>
          <w:lang w:val="en-US" w:eastAsia="tr-TR"/>
        </w:rPr>
      </w:pPr>
    </w:p>
    <w:p w14:paraId="518E5344" w14:textId="77777777" w:rsidR="00FA65B7" w:rsidRPr="000954C1" w:rsidRDefault="00FA65B7" w:rsidP="00FA65B7">
      <w:pPr>
        <w:pStyle w:val="NormalWeb"/>
        <w:rPr>
          <w:b/>
          <w:bCs/>
          <w:sz w:val="22"/>
          <w:szCs w:val="22"/>
          <w:lang w:val="en-US"/>
        </w:rPr>
      </w:pPr>
      <w:r w:rsidRPr="000954C1">
        <w:rPr>
          <w:b/>
          <w:bCs/>
          <w:sz w:val="22"/>
          <w:szCs w:val="22"/>
          <w:lang w:val="en-US"/>
        </w:rPr>
        <w:t xml:space="preserve">a.) Active Faults in </w:t>
      </w:r>
      <w:proofErr w:type="spellStart"/>
      <w:r w:rsidRPr="000954C1">
        <w:rPr>
          <w:b/>
          <w:bCs/>
          <w:sz w:val="22"/>
          <w:szCs w:val="22"/>
          <w:lang w:val="en-US"/>
        </w:rPr>
        <w:t>Muğla</w:t>
      </w:r>
      <w:proofErr w:type="spellEnd"/>
      <w:r w:rsidRPr="000954C1">
        <w:rPr>
          <w:b/>
          <w:bCs/>
          <w:sz w:val="22"/>
          <w:szCs w:val="22"/>
          <w:lang w:val="en-US"/>
        </w:rPr>
        <w:t xml:space="preserve"> Region</w:t>
      </w:r>
    </w:p>
    <w:p w14:paraId="5C1D330A" w14:textId="77777777" w:rsidR="00FA65B7" w:rsidRPr="000954C1" w:rsidRDefault="00FA65B7" w:rsidP="00FA65B7">
      <w:pPr>
        <w:pStyle w:val="NormalWeb"/>
        <w:rPr>
          <w:b/>
          <w:bCs/>
          <w:sz w:val="22"/>
          <w:szCs w:val="22"/>
          <w:lang w:val="en-US"/>
        </w:rPr>
      </w:pPr>
    </w:p>
    <w:p w14:paraId="7EF7852C" w14:textId="6916DB51" w:rsidR="00BF390D" w:rsidRPr="000954C1" w:rsidRDefault="00B128C1" w:rsidP="00FA65B7">
      <w:pPr>
        <w:pStyle w:val="NormalWeb"/>
        <w:rPr>
          <w:sz w:val="22"/>
          <w:szCs w:val="22"/>
          <w:lang w:val="en-US"/>
        </w:rPr>
      </w:pPr>
      <w:proofErr w:type="spellStart"/>
      <w:r w:rsidRPr="000954C1">
        <w:rPr>
          <w:b/>
          <w:bCs/>
          <w:sz w:val="22"/>
          <w:szCs w:val="22"/>
          <w:lang w:val="en-US"/>
        </w:rPr>
        <w:t>Muğla</w:t>
      </w:r>
      <w:proofErr w:type="spellEnd"/>
      <w:r w:rsidRPr="000954C1">
        <w:rPr>
          <w:b/>
          <w:bCs/>
          <w:sz w:val="22"/>
          <w:szCs w:val="22"/>
          <w:lang w:val="en-US"/>
        </w:rPr>
        <w:t xml:space="preserve"> - </w:t>
      </w:r>
      <w:proofErr w:type="spellStart"/>
      <w:r w:rsidRPr="000954C1">
        <w:rPr>
          <w:b/>
          <w:bCs/>
          <w:sz w:val="22"/>
          <w:szCs w:val="22"/>
          <w:lang w:val="en-US"/>
        </w:rPr>
        <w:t>Yatağan</w:t>
      </w:r>
      <w:proofErr w:type="spellEnd"/>
      <w:r w:rsidRPr="000954C1">
        <w:rPr>
          <w:b/>
          <w:bCs/>
          <w:sz w:val="22"/>
          <w:szCs w:val="22"/>
          <w:lang w:val="en-US"/>
        </w:rPr>
        <w:t xml:space="preserve"> Fault Zone: </w:t>
      </w:r>
      <w:r w:rsidRPr="000954C1">
        <w:rPr>
          <w:sz w:val="22"/>
          <w:szCs w:val="22"/>
          <w:lang w:val="en-US"/>
        </w:rPr>
        <w:t xml:space="preserve">This fault zone consists of approximately 40 km long parallel NW-SE trending faults extending between 15 km SE of </w:t>
      </w:r>
      <w:proofErr w:type="spellStart"/>
      <w:r w:rsidRPr="000954C1">
        <w:rPr>
          <w:sz w:val="22"/>
          <w:szCs w:val="22"/>
          <w:lang w:val="en-US"/>
        </w:rPr>
        <w:t>Muğla</w:t>
      </w:r>
      <w:proofErr w:type="spellEnd"/>
      <w:r w:rsidRPr="000954C1">
        <w:rPr>
          <w:sz w:val="22"/>
          <w:szCs w:val="22"/>
          <w:lang w:val="en-US"/>
        </w:rPr>
        <w:t xml:space="preserve"> and </w:t>
      </w:r>
      <w:proofErr w:type="spellStart"/>
      <w:r w:rsidRPr="000954C1">
        <w:rPr>
          <w:sz w:val="22"/>
          <w:szCs w:val="22"/>
          <w:lang w:val="en-US"/>
        </w:rPr>
        <w:t>Yatağan</w:t>
      </w:r>
      <w:proofErr w:type="spellEnd"/>
      <w:r w:rsidRPr="000954C1">
        <w:rPr>
          <w:sz w:val="22"/>
          <w:szCs w:val="22"/>
          <w:lang w:val="en-US"/>
        </w:rPr>
        <w:t xml:space="preserve">. The faulting mechanism of this section between </w:t>
      </w:r>
      <w:proofErr w:type="spellStart"/>
      <w:r w:rsidRPr="000954C1">
        <w:rPr>
          <w:sz w:val="22"/>
          <w:szCs w:val="22"/>
          <w:lang w:val="en-US"/>
        </w:rPr>
        <w:t>Ortayaraş-Gökpınar</w:t>
      </w:r>
      <w:proofErr w:type="spellEnd"/>
      <w:r w:rsidRPr="000954C1">
        <w:rPr>
          <w:sz w:val="22"/>
          <w:szCs w:val="22"/>
          <w:lang w:val="en-US"/>
        </w:rPr>
        <w:t xml:space="preserve"> is a normal fault with a left-lateral strike-slip component.</w:t>
      </w:r>
    </w:p>
    <w:p w14:paraId="2CE89050" w14:textId="77777777" w:rsidR="00B128C1" w:rsidRPr="000954C1" w:rsidRDefault="00B128C1" w:rsidP="00FA65B7">
      <w:pPr>
        <w:pStyle w:val="NormalWeb"/>
        <w:rPr>
          <w:sz w:val="22"/>
          <w:szCs w:val="22"/>
          <w:lang w:val="en-US"/>
        </w:rPr>
      </w:pPr>
    </w:p>
    <w:p w14:paraId="018957D4" w14:textId="05B846CD" w:rsidR="00FA65B7" w:rsidRPr="000954C1" w:rsidRDefault="00FA65B7" w:rsidP="00FA65B7">
      <w:pPr>
        <w:pStyle w:val="NormalWeb"/>
        <w:rPr>
          <w:sz w:val="22"/>
          <w:szCs w:val="22"/>
          <w:lang w:val="en-US"/>
        </w:rPr>
      </w:pPr>
      <w:r w:rsidRPr="000954C1">
        <w:rPr>
          <w:b/>
          <w:bCs/>
          <w:sz w:val="22"/>
          <w:szCs w:val="22"/>
          <w:lang w:val="en-US"/>
        </w:rPr>
        <w:t>Ula (</w:t>
      </w:r>
      <w:proofErr w:type="spellStart"/>
      <w:r w:rsidRPr="000954C1">
        <w:rPr>
          <w:b/>
          <w:bCs/>
          <w:sz w:val="22"/>
          <w:szCs w:val="22"/>
          <w:lang w:val="en-US"/>
        </w:rPr>
        <w:t>Muğla</w:t>
      </w:r>
      <w:proofErr w:type="spellEnd"/>
      <w:r w:rsidRPr="000954C1">
        <w:rPr>
          <w:b/>
          <w:bCs/>
          <w:sz w:val="22"/>
          <w:szCs w:val="22"/>
          <w:lang w:val="en-US"/>
        </w:rPr>
        <w:t xml:space="preserve">) – </w:t>
      </w:r>
      <w:proofErr w:type="spellStart"/>
      <w:r w:rsidRPr="000954C1">
        <w:rPr>
          <w:b/>
          <w:bCs/>
          <w:sz w:val="22"/>
          <w:szCs w:val="22"/>
          <w:lang w:val="en-US"/>
        </w:rPr>
        <w:t>Ören</w:t>
      </w:r>
      <w:proofErr w:type="spellEnd"/>
      <w:r w:rsidRPr="000954C1">
        <w:rPr>
          <w:b/>
          <w:bCs/>
          <w:sz w:val="22"/>
          <w:szCs w:val="22"/>
          <w:lang w:val="en-US"/>
        </w:rPr>
        <w:t xml:space="preserve"> (</w:t>
      </w:r>
      <w:proofErr w:type="spellStart"/>
      <w:r w:rsidRPr="000954C1">
        <w:rPr>
          <w:b/>
          <w:bCs/>
          <w:sz w:val="22"/>
          <w:szCs w:val="22"/>
          <w:lang w:val="en-US"/>
        </w:rPr>
        <w:t>Muğla</w:t>
      </w:r>
      <w:proofErr w:type="spellEnd"/>
      <w:r w:rsidRPr="000954C1">
        <w:rPr>
          <w:b/>
          <w:bCs/>
          <w:sz w:val="22"/>
          <w:szCs w:val="22"/>
          <w:lang w:val="en-US"/>
        </w:rPr>
        <w:t xml:space="preserve">) Fault Zone: </w:t>
      </w:r>
      <w:r w:rsidRPr="000954C1">
        <w:rPr>
          <w:sz w:val="22"/>
          <w:szCs w:val="22"/>
          <w:lang w:val="en-US"/>
        </w:rPr>
        <w:t xml:space="preserve">This fault zone extends in the direction of WSW by separating the </w:t>
      </w:r>
      <w:proofErr w:type="spellStart"/>
      <w:r w:rsidRPr="000954C1">
        <w:rPr>
          <w:sz w:val="22"/>
          <w:szCs w:val="22"/>
          <w:lang w:val="en-US"/>
        </w:rPr>
        <w:t>Muğla-Yatağan</w:t>
      </w:r>
      <w:proofErr w:type="spellEnd"/>
      <w:r w:rsidRPr="000954C1">
        <w:rPr>
          <w:sz w:val="22"/>
          <w:szCs w:val="22"/>
          <w:lang w:val="en-US"/>
        </w:rPr>
        <w:t xml:space="preserve"> fault zone to a narrow</w:t>
      </w:r>
      <w:r w:rsidR="00B128C1" w:rsidRPr="000954C1">
        <w:rPr>
          <w:sz w:val="22"/>
          <w:szCs w:val="22"/>
          <w:lang w:val="en-US"/>
        </w:rPr>
        <w:t>-</w:t>
      </w:r>
      <w:r w:rsidRPr="000954C1">
        <w:rPr>
          <w:sz w:val="22"/>
          <w:szCs w:val="22"/>
          <w:lang w:val="en-US"/>
        </w:rPr>
        <w:t xml:space="preserve">angle in the east of </w:t>
      </w:r>
      <w:proofErr w:type="spellStart"/>
      <w:r w:rsidRPr="000954C1">
        <w:rPr>
          <w:sz w:val="22"/>
          <w:szCs w:val="22"/>
          <w:lang w:val="en-US"/>
        </w:rPr>
        <w:t>Muğla</w:t>
      </w:r>
      <w:proofErr w:type="spellEnd"/>
      <w:r w:rsidRPr="000954C1">
        <w:rPr>
          <w:sz w:val="22"/>
          <w:szCs w:val="22"/>
          <w:lang w:val="en-US"/>
        </w:rPr>
        <w:t>. The total length of the fault zone on land is around 60 km.</w:t>
      </w:r>
    </w:p>
    <w:p w14:paraId="55F051AC" w14:textId="77777777" w:rsidR="00B47EC6" w:rsidRPr="000954C1" w:rsidRDefault="00B47EC6" w:rsidP="00FA65B7">
      <w:pPr>
        <w:pStyle w:val="NormalWeb"/>
        <w:rPr>
          <w:sz w:val="22"/>
          <w:szCs w:val="22"/>
          <w:lang w:val="en-US"/>
        </w:rPr>
      </w:pPr>
    </w:p>
    <w:p w14:paraId="50895240" w14:textId="6ACEF998" w:rsidR="0090213B" w:rsidRPr="000954C1" w:rsidRDefault="00B128C1" w:rsidP="00FA65B7">
      <w:pPr>
        <w:pStyle w:val="NormalWeb"/>
        <w:rPr>
          <w:sz w:val="22"/>
          <w:szCs w:val="22"/>
          <w:lang w:val="en-US"/>
        </w:rPr>
      </w:pPr>
      <w:proofErr w:type="spellStart"/>
      <w:r w:rsidRPr="000954C1">
        <w:rPr>
          <w:b/>
          <w:bCs/>
          <w:sz w:val="22"/>
          <w:szCs w:val="22"/>
          <w:lang w:val="en-US"/>
        </w:rPr>
        <w:t>Karaova</w:t>
      </w:r>
      <w:proofErr w:type="spellEnd"/>
      <w:r w:rsidRPr="000954C1">
        <w:rPr>
          <w:b/>
          <w:bCs/>
          <w:sz w:val="22"/>
          <w:szCs w:val="22"/>
          <w:lang w:val="en-US"/>
        </w:rPr>
        <w:t xml:space="preserve"> (</w:t>
      </w:r>
      <w:proofErr w:type="spellStart"/>
      <w:r w:rsidRPr="000954C1">
        <w:rPr>
          <w:b/>
          <w:bCs/>
          <w:sz w:val="22"/>
          <w:szCs w:val="22"/>
          <w:lang w:val="en-US"/>
        </w:rPr>
        <w:t>Muğla</w:t>
      </w:r>
      <w:proofErr w:type="spellEnd"/>
      <w:r w:rsidRPr="000954C1">
        <w:rPr>
          <w:b/>
          <w:bCs/>
          <w:sz w:val="22"/>
          <w:szCs w:val="22"/>
          <w:lang w:val="en-US"/>
        </w:rPr>
        <w:t xml:space="preserve">) – </w:t>
      </w:r>
      <w:proofErr w:type="spellStart"/>
      <w:r w:rsidRPr="000954C1">
        <w:rPr>
          <w:b/>
          <w:bCs/>
          <w:sz w:val="22"/>
          <w:szCs w:val="22"/>
          <w:lang w:val="en-US"/>
        </w:rPr>
        <w:t>Milas</w:t>
      </w:r>
      <w:proofErr w:type="spellEnd"/>
      <w:r w:rsidRPr="000954C1">
        <w:rPr>
          <w:b/>
          <w:bCs/>
          <w:sz w:val="22"/>
          <w:szCs w:val="22"/>
          <w:lang w:val="en-US"/>
        </w:rPr>
        <w:t xml:space="preserve"> (</w:t>
      </w:r>
      <w:proofErr w:type="spellStart"/>
      <w:r w:rsidRPr="000954C1">
        <w:rPr>
          <w:b/>
          <w:bCs/>
          <w:sz w:val="22"/>
          <w:szCs w:val="22"/>
          <w:lang w:val="en-US"/>
        </w:rPr>
        <w:t>Muğla</w:t>
      </w:r>
      <w:proofErr w:type="spellEnd"/>
      <w:r w:rsidRPr="000954C1">
        <w:rPr>
          <w:b/>
          <w:bCs/>
          <w:sz w:val="22"/>
          <w:szCs w:val="22"/>
          <w:lang w:val="en-US"/>
        </w:rPr>
        <w:t xml:space="preserve">) Fault Zone: </w:t>
      </w:r>
      <w:r w:rsidRPr="000954C1">
        <w:rPr>
          <w:sz w:val="22"/>
          <w:szCs w:val="22"/>
          <w:lang w:val="en-US"/>
        </w:rPr>
        <w:t xml:space="preserve">This fault zone consists of NW-SE trending parallel fault sets that can be traced in metamorphic rocks surfacing between </w:t>
      </w:r>
      <w:proofErr w:type="spellStart"/>
      <w:r w:rsidRPr="000954C1">
        <w:rPr>
          <w:sz w:val="22"/>
          <w:szCs w:val="22"/>
          <w:lang w:val="en-US"/>
        </w:rPr>
        <w:t>Karaova</w:t>
      </w:r>
      <w:proofErr w:type="spellEnd"/>
      <w:r w:rsidRPr="000954C1">
        <w:rPr>
          <w:sz w:val="22"/>
          <w:szCs w:val="22"/>
          <w:lang w:val="en-US"/>
        </w:rPr>
        <w:t xml:space="preserve"> and </w:t>
      </w:r>
      <w:proofErr w:type="spellStart"/>
      <w:r w:rsidRPr="000954C1">
        <w:rPr>
          <w:sz w:val="22"/>
          <w:szCs w:val="22"/>
          <w:lang w:val="en-US"/>
        </w:rPr>
        <w:t>Milas</w:t>
      </w:r>
      <w:proofErr w:type="spellEnd"/>
      <w:r w:rsidRPr="000954C1">
        <w:rPr>
          <w:sz w:val="22"/>
          <w:szCs w:val="22"/>
          <w:lang w:val="en-US"/>
        </w:rPr>
        <w:t>. The 20km section of this fault zone accepts as a possible alive fault due to morphology. (</w:t>
      </w:r>
      <w:proofErr w:type="spellStart"/>
      <w:r w:rsidRPr="000954C1">
        <w:rPr>
          <w:sz w:val="22"/>
          <w:szCs w:val="22"/>
          <w:lang w:val="en-US"/>
        </w:rPr>
        <w:t>Şaroğlu</w:t>
      </w:r>
      <w:proofErr w:type="spellEnd"/>
      <w:r w:rsidRPr="000954C1">
        <w:rPr>
          <w:sz w:val="22"/>
          <w:szCs w:val="22"/>
          <w:lang w:val="en-US"/>
        </w:rPr>
        <w:t xml:space="preserve"> et al. 1987).</w:t>
      </w:r>
    </w:p>
    <w:p w14:paraId="051D721D" w14:textId="77777777" w:rsidR="00B128C1" w:rsidRPr="000954C1" w:rsidRDefault="00B128C1" w:rsidP="00FA65B7">
      <w:pPr>
        <w:pStyle w:val="NormalWeb"/>
        <w:rPr>
          <w:sz w:val="22"/>
          <w:szCs w:val="22"/>
          <w:lang w:val="en-US"/>
        </w:rPr>
      </w:pPr>
    </w:p>
    <w:p w14:paraId="1380C5B6" w14:textId="2281FBA9" w:rsidR="0090213B" w:rsidRPr="000954C1" w:rsidRDefault="00FA65B7" w:rsidP="00FA65B7">
      <w:pPr>
        <w:pStyle w:val="NormalWeb"/>
        <w:rPr>
          <w:sz w:val="22"/>
          <w:szCs w:val="22"/>
          <w:lang w:val="en-US"/>
        </w:rPr>
      </w:pPr>
      <w:r w:rsidRPr="000954C1">
        <w:rPr>
          <w:b/>
          <w:bCs/>
          <w:sz w:val="22"/>
          <w:szCs w:val="22"/>
          <w:lang w:val="en-US"/>
        </w:rPr>
        <w:t xml:space="preserve">b.) Between </w:t>
      </w:r>
      <w:proofErr w:type="spellStart"/>
      <w:r w:rsidRPr="000954C1">
        <w:rPr>
          <w:b/>
          <w:bCs/>
          <w:sz w:val="22"/>
          <w:szCs w:val="22"/>
          <w:lang w:val="en-US"/>
        </w:rPr>
        <w:t>Kemalpaşa</w:t>
      </w:r>
      <w:proofErr w:type="spellEnd"/>
      <w:r w:rsidRPr="000954C1">
        <w:rPr>
          <w:b/>
          <w:bCs/>
          <w:sz w:val="22"/>
          <w:szCs w:val="22"/>
          <w:lang w:val="en-US"/>
        </w:rPr>
        <w:t xml:space="preserve"> - </w:t>
      </w:r>
      <w:proofErr w:type="spellStart"/>
      <w:r w:rsidR="00B47EC6" w:rsidRPr="000954C1">
        <w:rPr>
          <w:b/>
          <w:bCs/>
          <w:sz w:val="22"/>
          <w:szCs w:val="22"/>
          <w:lang w:val="en-US"/>
        </w:rPr>
        <w:t>Torbalı</w:t>
      </w:r>
      <w:proofErr w:type="spellEnd"/>
      <w:r w:rsidR="00B47EC6" w:rsidRPr="000954C1">
        <w:rPr>
          <w:b/>
          <w:bCs/>
          <w:sz w:val="22"/>
          <w:szCs w:val="22"/>
          <w:lang w:val="en-US"/>
        </w:rPr>
        <w:t xml:space="preserve"> - </w:t>
      </w:r>
      <w:proofErr w:type="spellStart"/>
      <w:r w:rsidR="00B47EC6" w:rsidRPr="000954C1">
        <w:rPr>
          <w:b/>
          <w:bCs/>
          <w:sz w:val="22"/>
          <w:szCs w:val="22"/>
          <w:lang w:val="en-US"/>
        </w:rPr>
        <w:t>Seferihisar</w:t>
      </w:r>
      <w:proofErr w:type="spellEnd"/>
      <w:r w:rsidR="00B47EC6" w:rsidRPr="000954C1">
        <w:rPr>
          <w:b/>
          <w:bCs/>
          <w:sz w:val="22"/>
          <w:szCs w:val="22"/>
          <w:lang w:val="en-US"/>
        </w:rPr>
        <w:t xml:space="preserve"> - </w:t>
      </w:r>
      <w:proofErr w:type="spellStart"/>
      <w:r w:rsidR="00B47EC6" w:rsidRPr="000954C1">
        <w:rPr>
          <w:b/>
          <w:bCs/>
          <w:sz w:val="22"/>
          <w:szCs w:val="22"/>
          <w:lang w:val="en-US"/>
        </w:rPr>
        <w:t>Kuşadası</w:t>
      </w:r>
      <w:proofErr w:type="spellEnd"/>
      <w:r w:rsidR="00B47EC6" w:rsidRPr="000954C1">
        <w:rPr>
          <w:b/>
          <w:bCs/>
          <w:sz w:val="22"/>
          <w:szCs w:val="22"/>
          <w:lang w:val="en-US"/>
        </w:rPr>
        <w:t xml:space="preserve"> (İ</w:t>
      </w:r>
      <w:r w:rsidRPr="000954C1">
        <w:rPr>
          <w:b/>
          <w:bCs/>
          <w:sz w:val="22"/>
          <w:szCs w:val="22"/>
          <w:lang w:val="en-US"/>
        </w:rPr>
        <w:t xml:space="preserve">zmir) Active Faults: </w:t>
      </w:r>
      <w:r w:rsidR="00A702C6" w:rsidRPr="000954C1">
        <w:rPr>
          <w:sz w:val="22"/>
          <w:szCs w:val="22"/>
          <w:lang w:val="en-US"/>
        </w:rPr>
        <w:t xml:space="preserve">Some faults in the NE-SW general direction, which trace in upper Miocene and older rocks in the west of Menderes massif, </w:t>
      </w:r>
      <w:r w:rsidR="00A702C6" w:rsidRPr="000954C1">
        <w:rPr>
          <w:sz w:val="22"/>
          <w:szCs w:val="22"/>
          <w:lang w:val="en-US"/>
        </w:rPr>
        <w:lastRenderedPageBreak/>
        <w:t xml:space="preserve">are collected under this class. In the east of </w:t>
      </w:r>
      <w:proofErr w:type="spellStart"/>
      <w:r w:rsidR="00A702C6" w:rsidRPr="000954C1">
        <w:rPr>
          <w:sz w:val="22"/>
          <w:szCs w:val="22"/>
          <w:lang w:val="en-US"/>
        </w:rPr>
        <w:t>Kuşadası</w:t>
      </w:r>
      <w:proofErr w:type="spellEnd"/>
      <w:r w:rsidR="00A702C6" w:rsidRPr="000954C1">
        <w:rPr>
          <w:sz w:val="22"/>
          <w:szCs w:val="22"/>
          <w:lang w:val="en-US"/>
        </w:rPr>
        <w:t>, there are sliding scratches on the fault plane that cuts the limestones before Miocene, giving the normal fault character with a left-sided strike-slip component.</w:t>
      </w:r>
      <w:r w:rsidRPr="000954C1">
        <w:rPr>
          <w:sz w:val="22"/>
          <w:szCs w:val="22"/>
          <w:lang w:val="en-US"/>
        </w:rPr>
        <w:t xml:space="preserve"> </w:t>
      </w:r>
      <w:r w:rsidR="00A702C6" w:rsidRPr="000954C1">
        <w:rPr>
          <w:sz w:val="22"/>
          <w:szCs w:val="22"/>
          <w:lang w:val="en-US"/>
        </w:rPr>
        <w:t xml:space="preserve">In the south of </w:t>
      </w:r>
      <w:proofErr w:type="spellStart"/>
      <w:r w:rsidR="00A702C6" w:rsidRPr="000954C1">
        <w:rPr>
          <w:sz w:val="22"/>
          <w:szCs w:val="22"/>
          <w:lang w:val="en-US"/>
        </w:rPr>
        <w:t>Kemalpaşa</w:t>
      </w:r>
      <w:proofErr w:type="spellEnd"/>
      <w:r w:rsidR="00A702C6" w:rsidRPr="000954C1">
        <w:rPr>
          <w:sz w:val="22"/>
          <w:szCs w:val="22"/>
          <w:lang w:val="en-US"/>
        </w:rPr>
        <w:t xml:space="preserve">, sliding scratches on the fault planes cutting the upper Miocene aged limestone and sandstones indicate the directional strike. Dumont et al. (1979) stated that the fault </w:t>
      </w:r>
      <w:proofErr w:type="spellStart"/>
      <w:r w:rsidR="00A702C6" w:rsidRPr="000954C1">
        <w:rPr>
          <w:sz w:val="22"/>
          <w:szCs w:val="22"/>
          <w:lang w:val="en-US"/>
        </w:rPr>
        <w:t>Efes</w:t>
      </w:r>
      <w:proofErr w:type="spellEnd"/>
      <w:r w:rsidR="00A702C6" w:rsidRPr="000954C1">
        <w:rPr>
          <w:sz w:val="22"/>
          <w:szCs w:val="22"/>
          <w:lang w:val="en-US"/>
        </w:rPr>
        <w:t xml:space="preserve"> near </w:t>
      </w:r>
      <w:proofErr w:type="spellStart"/>
      <w:r w:rsidR="00A702C6" w:rsidRPr="000954C1">
        <w:rPr>
          <w:sz w:val="22"/>
          <w:szCs w:val="22"/>
          <w:lang w:val="en-US"/>
        </w:rPr>
        <w:t>Söke</w:t>
      </w:r>
      <w:proofErr w:type="spellEnd"/>
      <w:r w:rsidR="00A702C6" w:rsidRPr="000954C1">
        <w:rPr>
          <w:sz w:val="22"/>
          <w:szCs w:val="22"/>
          <w:lang w:val="en-US"/>
        </w:rPr>
        <w:t xml:space="preserve"> was a normal fault that initially operated with a left-sided strike-slip component.</w:t>
      </w:r>
    </w:p>
    <w:p w14:paraId="6FA04813" w14:textId="77777777" w:rsidR="00A702C6" w:rsidRPr="000954C1" w:rsidRDefault="00A702C6" w:rsidP="00FA65B7">
      <w:pPr>
        <w:pStyle w:val="NormalWeb"/>
        <w:rPr>
          <w:b/>
          <w:bCs/>
          <w:sz w:val="22"/>
          <w:szCs w:val="22"/>
          <w:lang w:val="en-US"/>
        </w:rPr>
      </w:pPr>
    </w:p>
    <w:p w14:paraId="33F1D42A" w14:textId="3BFE7205" w:rsidR="0062451E" w:rsidRPr="000954C1" w:rsidRDefault="00A702C6" w:rsidP="00FA65B7">
      <w:pPr>
        <w:pStyle w:val="NormalWeb"/>
        <w:rPr>
          <w:sz w:val="22"/>
          <w:szCs w:val="22"/>
          <w:lang w:val="en-US"/>
        </w:rPr>
      </w:pPr>
      <w:r w:rsidRPr="000954C1">
        <w:rPr>
          <w:b/>
          <w:bCs/>
          <w:sz w:val="22"/>
          <w:szCs w:val="22"/>
          <w:lang w:val="en-US"/>
        </w:rPr>
        <w:t xml:space="preserve">c.) Active Faults of </w:t>
      </w:r>
      <w:proofErr w:type="spellStart"/>
      <w:r w:rsidRPr="000954C1">
        <w:rPr>
          <w:b/>
          <w:bCs/>
          <w:sz w:val="22"/>
          <w:szCs w:val="22"/>
          <w:lang w:val="en-US"/>
        </w:rPr>
        <w:t>Büyük</w:t>
      </w:r>
      <w:proofErr w:type="spellEnd"/>
      <w:r w:rsidRPr="000954C1">
        <w:rPr>
          <w:b/>
          <w:bCs/>
          <w:sz w:val="22"/>
          <w:szCs w:val="22"/>
          <w:lang w:val="en-US"/>
        </w:rPr>
        <w:t xml:space="preserve"> Menderes Graben: </w:t>
      </w:r>
      <w:proofErr w:type="spellStart"/>
      <w:r w:rsidRPr="000954C1">
        <w:rPr>
          <w:sz w:val="22"/>
          <w:szCs w:val="22"/>
          <w:lang w:val="en-US"/>
        </w:rPr>
        <w:t>Büyük</w:t>
      </w:r>
      <w:proofErr w:type="spellEnd"/>
      <w:r w:rsidRPr="000954C1">
        <w:rPr>
          <w:sz w:val="22"/>
          <w:szCs w:val="22"/>
          <w:lang w:val="en-US"/>
        </w:rPr>
        <w:t xml:space="preserve"> Menderes graben within the </w:t>
      </w:r>
      <w:proofErr w:type="spellStart"/>
      <w:r w:rsidRPr="000954C1">
        <w:rPr>
          <w:sz w:val="22"/>
          <w:szCs w:val="22"/>
          <w:lang w:val="en-US"/>
        </w:rPr>
        <w:t>Büyük</w:t>
      </w:r>
      <w:proofErr w:type="spellEnd"/>
      <w:r w:rsidRPr="000954C1">
        <w:rPr>
          <w:sz w:val="22"/>
          <w:szCs w:val="22"/>
          <w:lang w:val="en-US"/>
        </w:rPr>
        <w:t xml:space="preserve"> Menderes river in Western Anatolia is located between </w:t>
      </w:r>
      <w:proofErr w:type="spellStart"/>
      <w:r w:rsidRPr="000954C1">
        <w:rPr>
          <w:sz w:val="22"/>
          <w:szCs w:val="22"/>
          <w:lang w:val="en-US"/>
        </w:rPr>
        <w:t>Denizli</w:t>
      </w:r>
      <w:proofErr w:type="spellEnd"/>
      <w:r w:rsidRPr="000954C1">
        <w:rPr>
          <w:sz w:val="22"/>
          <w:szCs w:val="22"/>
          <w:lang w:val="en-US"/>
        </w:rPr>
        <w:t xml:space="preserve"> in the east and </w:t>
      </w:r>
      <w:proofErr w:type="spellStart"/>
      <w:r w:rsidRPr="000954C1">
        <w:rPr>
          <w:sz w:val="22"/>
          <w:szCs w:val="22"/>
          <w:lang w:val="en-US"/>
        </w:rPr>
        <w:t>Ortaklar</w:t>
      </w:r>
      <w:proofErr w:type="spellEnd"/>
      <w:r w:rsidRPr="000954C1">
        <w:rPr>
          <w:sz w:val="22"/>
          <w:szCs w:val="22"/>
          <w:lang w:val="en-US"/>
        </w:rPr>
        <w:t xml:space="preserve"> in the west (</w:t>
      </w:r>
      <w:proofErr w:type="spellStart"/>
      <w:r w:rsidRPr="000954C1">
        <w:rPr>
          <w:sz w:val="22"/>
          <w:szCs w:val="22"/>
          <w:lang w:val="en-US"/>
        </w:rPr>
        <w:t>Şaroğlu</w:t>
      </w:r>
      <w:proofErr w:type="spellEnd"/>
      <w:r w:rsidRPr="000954C1">
        <w:rPr>
          <w:sz w:val="22"/>
          <w:szCs w:val="22"/>
          <w:lang w:val="en-US"/>
        </w:rPr>
        <w:t xml:space="preserve"> et al. 1998). This depression area, which is approximately 140 km long, changes direction towards </w:t>
      </w:r>
      <w:proofErr w:type="spellStart"/>
      <w:r w:rsidRPr="000954C1">
        <w:rPr>
          <w:sz w:val="22"/>
          <w:szCs w:val="22"/>
          <w:lang w:val="en-US"/>
        </w:rPr>
        <w:t>Söke</w:t>
      </w:r>
      <w:proofErr w:type="spellEnd"/>
      <w:r w:rsidRPr="000954C1">
        <w:rPr>
          <w:sz w:val="22"/>
          <w:szCs w:val="22"/>
          <w:lang w:val="en-US"/>
        </w:rPr>
        <w:t xml:space="preserve"> the west towards NW, and the east, towards NW-SE towards </w:t>
      </w:r>
      <w:proofErr w:type="spellStart"/>
      <w:r w:rsidRPr="000954C1">
        <w:rPr>
          <w:sz w:val="22"/>
          <w:szCs w:val="22"/>
          <w:lang w:val="en-US"/>
        </w:rPr>
        <w:t>Honaz</w:t>
      </w:r>
      <w:proofErr w:type="spellEnd"/>
      <w:r w:rsidRPr="000954C1">
        <w:rPr>
          <w:sz w:val="22"/>
          <w:szCs w:val="22"/>
          <w:lang w:val="en-US"/>
        </w:rPr>
        <w:t>.</w:t>
      </w:r>
    </w:p>
    <w:p w14:paraId="2B68F87E" w14:textId="77777777" w:rsidR="00A702C6" w:rsidRPr="000954C1" w:rsidRDefault="00A702C6" w:rsidP="00FA65B7">
      <w:pPr>
        <w:pStyle w:val="NormalWeb"/>
        <w:rPr>
          <w:sz w:val="22"/>
          <w:szCs w:val="22"/>
          <w:lang w:val="en-US"/>
        </w:rPr>
      </w:pPr>
    </w:p>
    <w:p w14:paraId="43BA9FEF" w14:textId="5F410CB6" w:rsidR="0090213B" w:rsidRPr="000954C1" w:rsidRDefault="00A702C6" w:rsidP="00FA65B7">
      <w:pPr>
        <w:pStyle w:val="NormalWeb"/>
        <w:rPr>
          <w:sz w:val="22"/>
          <w:szCs w:val="22"/>
          <w:lang w:val="en-US"/>
        </w:rPr>
      </w:pPr>
      <w:r w:rsidRPr="000954C1">
        <w:rPr>
          <w:sz w:val="22"/>
          <w:szCs w:val="22"/>
          <w:lang w:val="en-US"/>
        </w:rPr>
        <w:t xml:space="preserve">The faults in this area are normal faults with dip-slip and have strike-slip components at the east and west ends. The faults that present the graben from the north and extend between </w:t>
      </w:r>
      <w:proofErr w:type="spellStart"/>
      <w:r w:rsidRPr="000954C1">
        <w:rPr>
          <w:sz w:val="22"/>
          <w:szCs w:val="22"/>
          <w:lang w:val="en-US"/>
        </w:rPr>
        <w:t>Ortaklar</w:t>
      </w:r>
      <w:proofErr w:type="spellEnd"/>
      <w:r w:rsidRPr="000954C1">
        <w:rPr>
          <w:sz w:val="22"/>
          <w:szCs w:val="22"/>
          <w:lang w:val="en-US"/>
        </w:rPr>
        <w:t xml:space="preserve"> and </w:t>
      </w:r>
      <w:proofErr w:type="spellStart"/>
      <w:r w:rsidRPr="000954C1">
        <w:rPr>
          <w:sz w:val="22"/>
          <w:szCs w:val="22"/>
          <w:lang w:val="en-US"/>
        </w:rPr>
        <w:t>Sarayköy</w:t>
      </w:r>
      <w:proofErr w:type="spellEnd"/>
      <w:r w:rsidRPr="000954C1">
        <w:rPr>
          <w:sz w:val="22"/>
          <w:szCs w:val="22"/>
          <w:lang w:val="en-US"/>
        </w:rPr>
        <w:t xml:space="preserve"> are generally in E-W course and form a 10 km wide zone that runs parallel to each other.</w:t>
      </w:r>
    </w:p>
    <w:p w14:paraId="5D918C84" w14:textId="77777777" w:rsidR="00A702C6" w:rsidRPr="000954C1" w:rsidRDefault="00A702C6" w:rsidP="00FA65B7">
      <w:pPr>
        <w:pStyle w:val="NormalWeb"/>
        <w:rPr>
          <w:b/>
          <w:bCs/>
          <w:sz w:val="22"/>
          <w:szCs w:val="22"/>
          <w:lang w:val="en-US"/>
        </w:rPr>
      </w:pPr>
    </w:p>
    <w:p w14:paraId="4BFF78A9" w14:textId="66F2154E" w:rsidR="0090213B" w:rsidRPr="000954C1" w:rsidRDefault="00A702C6" w:rsidP="00FA65B7">
      <w:pPr>
        <w:pStyle w:val="NormalWeb"/>
        <w:rPr>
          <w:sz w:val="22"/>
          <w:szCs w:val="22"/>
          <w:lang w:val="en-US"/>
        </w:rPr>
      </w:pPr>
      <w:r w:rsidRPr="000954C1">
        <w:rPr>
          <w:b/>
          <w:bCs/>
          <w:sz w:val="22"/>
          <w:szCs w:val="22"/>
          <w:lang w:val="en-US"/>
        </w:rPr>
        <w:t xml:space="preserve">d.) </w:t>
      </w:r>
      <w:proofErr w:type="spellStart"/>
      <w:r w:rsidRPr="000954C1">
        <w:rPr>
          <w:b/>
          <w:bCs/>
          <w:sz w:val="22"/>
          <w:szCs w:val="22"/>
          <w:lang w:val="en-US"/>
        </w:rPr>
        <w:t>Gölhisar-Çameli</w:t>
      </w:r>
      <w:proofErr w:type="spellEnd"/>
      <w:r w:rsidRPr="000954C1">
        <w:rPr>
          <w:b/>
          <w:bCs/>
          <w:sz w:val="22"/>
          <w:szCs w:val="22"/>
          <w:lang w:val="en-US"/>
        </w:rPr>
        <w:t xml:space="preserve"> (</w:t>
      </w:r>
      <w:proofErr w:type="spellStart"/>
      <w:r w:rsidRPr="000954C1">
        <w:rPr>
          <w:b/>
          <w:bCs/>
          <w:sz w:val="22"/>
          <w:szCs w:val="22"/>
          <w:lang w:val="en-US"/>
        </w:rPr>
        <w:t>Denizli</w:t>
      </w:r>
      <w:proofErr w:type="spellEnd"/>
      <w:r w:rsidRPr="000954C1">
        <w:rPr>
          <w:b/>
          <w:bCs/>
          <w:sz w:val="22"/>
          <w:szCs w:val="22"/>
          <w:lang w:val="en-US"/>
        </w:rPr>
        <w:t xml:space="preserve">) Fault: </w:t>
      </w:r>
      <w:r w:rsidRPr="000954C1">
        <w:rPr>
          <w:sz w:val="22"/>
          <w:szCs w:val="22"/>
          <w:lang w:val="en-US"/>
        </w:rPr>
        <w:t xml:space="preserve">Three fault zones extending between </w:t>
      </w:r>
      <w:proofErr w:type="spellStart"/>
      <w:r w:rsidRPr="000954C1">
        <w:rPr>
          <w:sz w:val="22"/>
          <w:szCs w:val="22"/>
          <w:lang w:val="en-US"/>
        </w:rPr>
        <w:t>Kelekçi-Altınyayla</w:t>
      </w:r>
      <w:proofErr w:type="spellEnd"/>
      <w:r w:rsidRPr="000954C1">
        <w:rPr>
          <w:sz w:val="22"/>
          <w:szCs w:val="22"/>
          <w:lang w:val="en-US"/>
        </w:rPr>
        <w:t xml:space="preserve">, south of </w:t>
      </w:r>
      <w:proofErr w:type="spellStart"/>
      <w:r w:rsidRPr="000954C1">
        <w:rPr>
          <w:sz w:val="22"/>
          <w:szCs w:val="22"/>
          <w:lang w:val="en-US"/>
        </w:rPr>
        <w:t>Gölhisar</w:t>
      </w:r>
      <w:proofErr w:type="spellEnd"/>
      <w:r w:rsidRPr="000954C1">
        <w:rPr>
          <w:sz w:val="22"/>
          <w:szCs w:val="22"/>
          <w:lang w:val="en-US"/>
        </w:rPr>
        <w:t xml:space="preserve">, 40 km long and 30 km wide parallel to each other, have been named as </w:t>
      </w:r>
      <w:proofErr w:type="spellStart"/>
      <w:r w:rsidRPr="000954C1">
        <w:rPr>
          <w:sz w:val="22"/>
          <w:szCs w:val="22"/>
          <w:lang w:val="en-US"/>
        </w:rPr>
        <w:t>Gölhisar-Çameli</w:t>
      </w:r>
      <w:proofErr w:type="spellEnd"/>
      <w:r w:rsidRPr="000954C1">
        <w:rPr>
          <w:sz w:val="22"/>
          <w:szCs w:val="22"/>
          <w:lang w:val="en-US"/>
        </w:rPr>
        <w:t xml:space="preserve"> fault (</w:t>
      </w:r>
      <w:proofErr w:type="spellStart"/>
      <w:r w:rsidRPr="000954C1">
        <w:rPr>
          <w:sz w:val="22"/>
          <w:szCs w:val="22"/>
          <w:lang w:val="en-US"/>
        </w:rPr>
        <w:t>Şaroğlu</w:t>
      </w:r>
      <w:proofErr w:type="spellEnd"/>
      <w:r w:rsidRPr="000954C1">
        <w:rPr>
          <w:sz w:val="22"/>
          <w:szCs w:val="22"/>
          <w:lang w:val="en-US"/>
        </w:rPr>
        <w:t xml:space="preserve"> et al. 1987). Based on typical fault valleys specific to the strike-slip faults, fault-controlled drains, and left laterally shifted streams. It is argued that the fault is a left-sided strike-slip fault and alive due to the impact of Quaternary sediments.</w:t>
      </w:r>
    </w:p>
    <w:p w14:paraId="70283B82" w14:textId="77777777" w:rsidR="00A702C6" w:rsidRPr="000954C1" w:rsidRDefault="00A702C6" w:rsidP="00FA65B7">
      <w:pPr>
        <w:pStyle w:val="NormalWeb"/>
        <w:rPr>
          <w:sz w:val="22"/>
          <w:szCs w:val="22"/>
          <w:lang w:val="en-US"/>
        </w:rPr>
      </w:pPr>
    </w:p>
    <w:p w14:paraId="63450D58" w14:textId="5CE0714F" w:rsidR="00FA65B7" w:rsidRPr="000954C1" w:rsidRDefault="00A702C6" w:rsidP="00FA65B7">
      <w:pPr>
        <w:pStyle w:val="NormalWeb"/>
        <w:rPr>
          <w:sz w:val="22"/>
          <w:szCs w:val="22"/>
          <w:lang w:val="en-US"/>
        </w:rPr>
      </w:pPr>
      <w:r w:rsidRPr="000954C1">
        <w:rPr>
          <w:b/>
          <w:bCs/>
          <w:sz w:val="22"/>
          <w:szCs w:val="22"/>
          <w:lang w:val="en-US"/>
        </w:rPr>
        <w:t xml:space="preserve">e.) </w:t>
      </w:r>
      <w:proofErr w:type="spellStart"/>
      <w:r w:rsidRPr="000954C1">
        <w:rPr>
          <w:b/>
          <w:bCs/>
          <w:sz w:val="22"/>
          <w:szCs w:val="22"/>
          <w:lang w:val="en-US"/>
        </w:rPr>
        <w:t>Fethiye-Köyceğiz</w:t>
      </w:r>
      <w:proofErr w:type="spellEnd"/>
      <w:r w:rsidRPr="000954C1">
        <w:rPr>
          <w:b/>
          <w:bCs/>
          <w:sz w:val="22"/>
          <w:szCs w:val="22"/>
          <w:lang w:val="en-US"/>
        </w:rPr>
        <w:t xml:space="preserve"> Active Faults: </w:t>
      </w:r>
      <w:r w:rsidRPr="000954C1">
        <w:rPr>
          <w:sz w:val="22"/>
          <w:szCs w:val="22"/>
          <w:lang w:val="en-US"/>
        </w:rPr>
        <w:t xml:space="preserve">Destructive earthquakes frequently occur in the region due to the small-scale faults between </w:t>
      </w:r>
      <w:proofErr w:type="spellStart"/>
      <w:r w:rsidRPr="000954C1">
        <w:rPr>
          <w:sz w:val="22"/>
          <w:szCs w:val="22"/>
          <w:lang w:val="en-US"/>
        </w:rPr>
        <w:t>Fethiye</w:t>
      </w:r>
      <w:proofErr w:type="spellEnd"/>
      <w:r w:rsidRPr="000954C1">
        <w:rPr>
          <w:sz w:val="22"/>
          <w:szCs w:val="22"/>
          <w:lang w:val="en-US"/>
        </w:rPr>
        <w:t xml:space="preserve"> and </w:t>
      </w:r>
      <w:proofErr w:type="spellStart"/>
      <w:r w:rsidRPr="000954C1">
        <w:rPr>
          <w:sz w:val="22"/>
          <w:szCs w:val="22"/>
          <w:lang w:val="en-US"/>
        </w:rPr>
        <w:t>Köyceğiz</w:t>
      </w:r>
      <w:proofErr w:type="spellEnd"/>
      <w:r w:rsidRPr="000954C1">
        <w:rPr>
          <w:sz w:val="22"/>
          <w:szCs w:val="22"/>
          <w:lang w:val="en-US"/>
        </w:rPr>
        <w:t>.</w:t>
      </w:r>
    </w:p>
    <w:p w14:paraId="2967DC56" w14:textId="77777777" w:rsidR="00A702C6" w:rsidRPr="000954C1" w:rsidRDefault="00A702C6" w:rsidP="00FA65B7">
      <w:pPr>
        <w:pStyle w:val="NormalWeb"/>
        <w:rPr>
          <w:sz w:val="22"/>
          <w:szCs w:val="22"/>
          <w:lang w:val="en-US"/>
        </w:rPr>
      </w:pPr>
    </w:p>
    <w:p w14:paraId="4A9E07C4" w14:textId="2DDEE7D1" w:rsidR="005E06FC" w:rsidRPr="000954C1" w:rsidRDefault="00AB5B19" w:rsidP="00311162">
      <w:pPr>
        <w:rPr>
          <w:rFonts w:eastAsia="Arial" w:cs="Times New Roman"/>
          <w:b/>
          <w:sz w:val="28"/>
          <w:szCs w:val="22"/>
          <w:lang w:val="en-US"/>
        </w:rPr>
      </w:pPr>
      <w:r w:rsidRPr="000954C1">
        <w:rPr>
          <w:rFonts w:eastAsia="Arial" w:cs="Times New Roman"/>
          <w:b/>
          <w:sz w:val="28"/>
          <w:szCs w:val="22"/>
          <w:lang w:val="en-US"/>
        </w:rPr>
        <w:t>Analysis of Recorded Ground Motion</w:t>
      </w:r>
    </w:p>
    <w:p w14:paraId="22454089" w14:textId="77777777" w:rsidR="0009273B" w:rsidRPr="000954C1" w:rsidRDefault="0009273B" w:rsidP="00E937C0">
      <w:pPr>
        <w:pStyle w:val="NormalWeb"/>
        <w:rPr>
          <w:bCs/>
          <w:sz w:val="22"/>
          <w:szCs w:val="22"/>
          <w:lang w:val="en-US"/>
        </w:rPr>
      </w:pPr>
    </w:p>
    <w:p w14:paraId="502726E6" w14:textId="3281D048" w:rsidR="00463138" w:rsidRPr="000954C1" w:rsidRDefault="0094141C" w:rsidP="00E937C0">
      <w:pPr>
        <w:pStyle w:val="NormalWeb"/>
        <w:rPr>
          <w:bCs/>
          <w:sz w:val="22"/>
          <w:szCs w:val="22"/>
          <w:lang w:val="en-US"/>
        </w:rPr>
      </w:pPr>
      <w:r w:rsidRPr="000954C1">
        <w:rPr>
          <w:bCs/>
          <w:sz w:val="22"/>
          <w:szCs w:val="22"/>
          <w:lang w:val="en-US"/>
        </w:rPr>
        <w:t xml:space="preserve">In the present study, M &gt;5.0 investigated </w:t>
      </w:r>
      <w:r w:rsidR="00031FC8" w:rsidRPr="000954C1">
        <w:rPr>
          <w:bCs/>
          <w:sz w:val="22"/>
          <w:szCs w:val="22"/>
          <w:lang w:val="en-US"/>
        </w:rPr>
        <w:t xml:space="preserve">events </w:t>
      </w:r>
      <w:r w:rsidRPr="000954C1">
        <w:rPr>
          <w:bCs/>
          <w:sz w:val="22"/>
          <w:szCs w:val="22"/>
          <w:lang w:val="en-US"/>
        </w:rPr>
        <w:t xml:space="preserve">occurred </w:t>
      </w:r>
      <w:r w:rsidR="00031FC8" w:rsidRPr="000954C1">
        <w:rPr>
          <w:bCs/>
          <w:sz w:val="22"/>
          <w:szCs w:val="22"/>
          <w:lang w:val="en-US"/>
        </w:rPr>
        <w:t xml:space="preserve">in the </w:t>
      </w:r>
      <w:r w:rsidRPr="000954C1">
        <w:rPr>
          <w:bCs/>
          <w:sz w:val="22"/>
          <w:szCs w:val="22"/>
          <w:lang w:val="en-US"/>
        </w:rPr>
        <w:t xml:space="preserve">Southern Aegean Area. These ground motion data were recorded by the AFAD between 2000 and 2017 years. The observed data recorded by 100 strong motion stations and 35 earthquakes recording in the National Strong Ground Motion Network (operated by the Earthquake Department of the Disaster and Emergency Management Presidency). </w:t>
      </w:r>
      <w:r w:rsidR="00666C89" w:rsidRPr="000954C1">
        <w:rPr>
          <w:bCs/>
          <w:sz w:val="22"/>
          <w:szCs w:val="22"/>
          <w:lang w:val="en-US"/>
        </w:rPr>
        <w:t>These acceleration data</w:t>
      </w:r>
      <w:r w:rsidRPr="000954C1">
        <w:rPr>
          <w:bCs/>
          <w:sz w:val="22"/>
          <w:szCs w:val="22"/>
          <w:lang w:val="en-US"/>
        </w:rPr>
        <w:t xml:space="preserve"> were </w:t>
      </w:r>
      <w:r w:rsidR="00EE53A5" w:rsidRPr="000954C1">
        <w:rPr>
          <w:bCs/>
          <w:sz w:val="22"/>
          <w:szCs w:val="22"/>
          <w:lang w:val="en-US"/>
        </w:rPr>
        <w:t>processed</w:t>
      </w:r>
      <w:r w:rsidR="00666C89" w:rsidRPr="000954C1">
        <w:rPr>
          <w:bCs/>
          <w:sz w:val="22"/>
          <w:szCs w:val="22"/>
          <w:lang w:val="en-US"/>
        </w:rPr>
        <w:t>.</w:t>
      </w:r>
      <w:r w:rsidR="00EE53A5" w:rsidRPr="000954C1">
        <w:rPr>
          <w:bCs/>
          <w:sz w:val="22"/>
          <w:szCs w:val="22"/>
          <w:lang w:val="en-US"/>
        </w:rPr>
        <w:t xml:space="preserve"> </w:t>
      </w:r>
      <w:r w:rsidR="00666C89" w:rsidRPr="000954C1">
        <w:rPr>
          <w:bCs/>
          <w:sz w:val="22"/>
          <w:szCs w:val="22"/>
          <w:lang w:val="en-US"/>
        </w:rPr>
        <w:t xml:space="preserve">Frequency range of </w:t>
      </w:r>
      <w:r w:rsidR="00A4783A" w:rsidRPr="000954C1">
        <w:rPr>
          <w:bCs/>
          <w:sz w:val="22"/>
          <w:szCs w:val="22"/>
          <w:lang w:val="en-US"/>
        </w:rPr>
        <w:t xml:space="preserve">Butterworth filter </w:t>
      </w:r>
      <w:r w:rsidRPr="000954C1">
        <w:rPr>
          <w:bCs/>
          <w:sz w:val="22"/>
          <w:szCs w:val="22"/>
          <w:lang w:val="en-US"/>
        </w:rPr>
        <w:t>was</w:t>
      </w:r>
      <w:r w:rsidR="00A4783A" w:rsidRPr="000954C1">
        <w:rPr>
          <w:bCs/>
          <w:sz w:val="22"/>
          <w:szCs w:val="22"/>
          <w:lang w:val="en-US"/>
        </w:rPr>
        <w:t xml:space="preserve"> </w:t>
      </w:r>
      <w:r w:rsidR="00666C89" w:rsidRPr="000954C1">
        <w:rPr>
          <w:bCs/>
          <w:sz w:val="22"/>
          <w:szCs w:val="22"/>
          <w:lang w:val="en-US"/>
        </w:rPr>
        <w:t>detected for each earthquake ground motion data. The ranges differ between</w:t>
      </w:r>
      <w:r w:rsidR="00A4783A" w:rsidRPr="000954C1">
        <w:rPr>
          <w:bCs/>
          <w:sz w:val="22"/>
          <w:szCs w:val="22"/>
          <w:lang w:val="en-US"/>
        </w:rPr>
        <w:t xml:space="preserve"> 0.1-25 Hz, 0.1- 35 Hz, 0.2-35 Hz, 0.3-25 Hz. </w:t>
      </w:r>
      <w:r w:rsidRPr="000954C1">
        <w:rPr>
          <w:bCs/>
          <w:sz w:val="22"/>
          <w:szCs w:val="22"/>
          <w:lang w:val="en-US"/>
        </w:rPr>
        <w:t>The stations locate</w:t>
      </w:r>
      <w:r w:rsidR="00A36BEC" w:rsidRPr="000954C1">
        <w:rPr>
          <w:bCs/>
          <w:sz w:val="22"/>
          <w:szCs w:val="22"/>
          <w:lang w:val="en-US"/>
        </w:rPr>
        <w:t>d</w:t>
      </w:r>
      <w:r w:rsidRPr="000954C1">
        <w:rPr>
          <w:bCs/>
          <w:sz w:val="22"/>
          <w:szCs w:val="22"/>
          <w:lang w:val="en-US"/>
        </w:rPr>
        <w:t xml:space="preserve"> within the 100 km epicentral area for each event are considered. </w:t>
      </w:r>
      <w:r w:rsidR="00A36BEC" w:rsidRPr="000954C1">
        <w:rPr>
          <w:bCs/>
          <w:sz w:val="22"/>
          <w:szCs w:val="22"/>
          <w:lang w:val="en-US"/>
        </w:rPr>
        <w:t>Table 1 lists</w:t>
      </w:r>
      <w:r w:rsidR="00E02674" w:rsidRPr="000954C1">
        <w:rPr>
          <w:bCs/>
          <w:sz w:val="22"/>
          <w:szCs w:val="22"/>
          <w:lang w:val="en-US"/>
        </w:rPr>
        <w:t xml:space="preserve"> the general properties of earthquakes used in this study.</w:t>
      </w:r>
    </w:p>
    <w:p w14:paraId="7302E8CA" w14:textId="77777777" w:rsidR="00A4783A" w:rsidRPr="000954C1" w:rsidRDefault="00A4783A" w:rsidP="00E937C0">
      <w:pPr>
        <w:pStyle w:val="NormalWeb"/>
        <w:rPr>
          <w:bCs/>
          <w:sz w:val="22"/>
          <w:szCs w:val="22"/>
          <w:lang w:val="en-US"/>
        </w:rPr>
      </w:pPr>
    </w:p>
    <w:p w14:paraId="25E09DB1" w14:textId="60B0145B" w:rsidR="00E22FD6" w:rsidRPr="000954C1" w:rsidRDefault="00E22FD6" w:rsidP="00E22FD6">
      <w:pPr>
        <w:pStyle w:val="NormalWeb"/>
        <w:rPr>
          <w:sz w:val="22"/>
          <w:szCs w:val="22"/>
          <w:lang w:val="en-US"/>
        </w:rPr>
      </w:pPr>
      <w:r w:rsidRPr="000954C1">
        <w:rPr>
          <w:sz w:val="22"/>
          <w:szCs w:val="22"/>
          <w:lang w:val="en-US"/>
        </w:rPr>
        <w:t xml:space="preserve">For the evaluation of earthquake ground motion data in the Southern Aegean Area, ground motion prediction equations defined in SHARE (Seismic Hazard Harmonization in Europe) project are used. GMPEs for both shallow crustal zones and subduction zones including Next Generation Attenuation (NGA) relations are considered. </w:t>
      </w:r>
      <w:r w:rsidR="001C44D2" w:rsidRPr="000954C1">
        <w:rPr>
          <w:sz w:val="22"/>
          <w:szCs w:val="22"/>
          <w:lang w:val="en-US"/>
        </w:rPr>
        <w:t>The properties of selected GMPEs are listed in following section.</w:t>
      </w:r>
    </w:p>
    <w:p w14:paraId="1F6CA41D" w14:textId="77777777" w:rsidR="00E22FD6" w:rsidRPr="000954C1" w:rsidRDefault="00E22FD6" w:rsidP="00E937C0">
      <w:pPr>
        <w:pStyle w:val="NormalWeb"/>
        <w:rPr>
          <w:bCs/>
          <w:sz w:val="22"/>
          <w:szCs w:val="22"/>
          <w:lang w:val="en-US"/>
        </w:rPr>
      </w:pPr>
    </w:p>
    <w:p w14:paraId="699B0A60" w14:textId="311EAE14" w:rsidR="001C77DF" w:rsidRPr="000954C1" w:rsidRDefault="001C77DF" w:rsidP="00311162">
      <w:pPr>
        <w:rPr>
          <w:rFonts w:eastAsia="Arial" w:cs="Times New Roman"/>
          <w:b/>
          <w:sz w:val="28"/>
          <w:szCs w:val="22"/>
          <w:lang w:val="en-US"/>
        </w:rPr>
      </w:pPr>
      <w:r w:rsidRPr="000954C1">
        <w:rPr>
          <w:rFonts w:eastAsia="Arial" w:cs="Times New Roman"/>
          <w:b/>
          <w:sz w:val="28"/>
          <w:szCs w:val="22"/>
          <w:lang w:val="en-US"/>
        </w:rPr>
        <w:t>Ground Motion Prediction Equations (GMPEs)</w:t>
      </w:r>
    </w:p>
    <w:p w14:paraId="7BE9E215" w14:textId="77777777" w:rsidR="001C77DF" w:rsidRPr="000954C1" w:rsidRDefault="001C77DF" w:rsidP="001C77DF">
      <w:pPr>
        <w:pStyle w:val="NormalWeb"/>
        <w:rPr>
          <w:b/>
          <w:bCs/>
          <w:sz w:val="22"/>
          <w:szCs w:val="22"/>
          <w:lang w:val="en-US"/>
        </w:rPr>
      </w:pPr>
    </w:p>
    <w:p w14:paraId="56933E55" w14:textId="77777777" w:rsidR="001C77DF" w:rsidRPr="000954C1" w:rsidRDefault="001C77DF" w:rsidP="001C77DF">
      <w:pPr>
        <w:pStyle w:val="NormalWeb"/>
        <w:rPr>
          <w:sz w:val="22"/>
          <w:szCs w:val="22"/>
          <w:lang w:val="en-US"/>
        </w:rPr>
      </w:pPr>
      <w:r w:rsidRPr="000954C1">
        <w:rPr>
          <w:b/>
          <w:bCs/>
          <w:sz w:val="22"/>
          <w:szCs w:val="22"/>
          <w:lang w:val="en-US"/>
        </w:rPr>
        <w:t>a.) Lin and Lee (2008)</w:t>
      </w:r>
    </w:p>
    <w:p w14:paraId="55CB0898" w14:textId="27E35E2E" w:rsidR="001C77DF" w:rsidRPr="000954C1" w:rsidRDefault="000637C0" w:rsidP="001C77DF">
      <w:pPr>
        <w:autoSpaceDE w:val="0"/>
        <w:autoSpaceDN w:val="0"/>
        <w:adjustRightInd w:val="0"/>
        <w:rPr>
          <w:rFonts w:cs="Times New Roman"/>
          <w:szCs w:val="22"/>
          <w:lang w:val="en-US"/>
        </w:rPr>
      </w:pPr>
      <w:r w:rsidRPr="000954C1">
        <w:rPr>
          <w:rFonts w:cs="Times New Roman"/>
          <w:szCs w:val="22"/>
          <w:lang w:val="en-US"/>
        </w:rPr>
        <w:t>Based on the subduction zone earthquake ground-motion attenuation models (Crouse, 1991; Youngs et al., 1997), the PGA attenuation model of this relation is;</w:t>
      </w:r>
    </w:p>
    <w:p w14:paraId="58A0DFD4" w14:textId="77777777" w:rsidR="000637C0" w:rsidRPr="000954C1" w:rsidRDefault="000637C0" w:rsidP="001C77DF">
      <w:pPr>
        <w:autoSpaceDE w:val="0"/>
        <w:autoSpaceDN w:val="0"/>
        <w:adjustRightInd w:val="0"/>
        <w:rPr>
          <w:rFonts w:cs="Times New Roman"/>
          <w:szCs w:val="22"/>
          <w:lang w:val="en-US"/>
        </w:rPr>
      </w:pPr>
    </w:p>
    <w:p w14:paraId="69159B6A" w14:textId="77777777" w:rsidR="001C77DF" w:rsidRPr="000954C1" w:rsidRDefault="001C77DF" w:rsidP="001C77DF">
      <w:pPr>
        <w:autoSpaceDE w:val="0"/>
        <w:autoSpaceDN w:val="0"/>
        <w:adjustRightInd w:val="0"/>
        <w:rPr>
          <w:rFonts w:cs="Times New Roman"/>
          <w:iCs/>
          <w:szCs w:val="22"/>
          <w:lang w:val="en-US"/>
        </w:rPr>
      </w:pPr>
      <m:oMath>
        <m:r>
          <m:rPr>
            <m:sty m:val="p"/>
          </m:rPr>
          <w:rPr>
            <w:rFonts w:ascii="Cambria Math" w:hAnsi="Cambria Math" w:cs="Times New Roman"/>
            <w:szCs w:val="22"/>
            <w:lang w:val="en-US"/>
          </w:rPr>
          <m:t>In</m:t>
        </m:r>
        <m:d>
          <m:dPr>
            <m:ctrlPr>
              <w:rPr>
                <w:rFonts w:ascii="Cambria Math" w:hAnsi="Cambria Math" w:cs="Times New Roman"/>
                <w:iCs/>
                <w:szCs w:val="22"/>
                <w:lang w:val="en-US"/>
              </w:rPr>
            </m:ctrlPr>
          </m:dPr>
          <m:e>
            <m:r>
              <m:rPr>
                <m:sty m:val="p"/>
              </m:rPr>
              <w:rPr>
                <w:rFonts w:ascii="Cambria Math" w:hAnsi="Cambria Math" w:cs="Times New Roman"/>
                <w:szCs w:val="22"/>
                <w:lang w:val="en-US"/>
              </w:rPr>
              <m:t>PGA</m:t>
            </m:r>
          </m:e>
        </m:d>
        <m:r>
          <m:rPr>
            <m:sty m:val="p"/>
          </m:rPr>
          <w:rPr>
            <w:rFonts w:ascii="Cambria Math" w:hAnsi="Cambria Math" w:cs="Times New Roman"/>
            <w:szCs w:val="22"/>
            <w:lang w:val="en-US"/>
          </w:rPr>
          <m:t>=</m:t>
        </m:r>
        <m:sSub>
          <m:sSubPr>
            <m:ctrlPr>
              <w:rPr>
                <w:rFonts w:ascii="Cambria Math" w:hAnsi="Cambria Math" w:cs="Times New Roman"/>
                <w:iCs/>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1</m:t>
            </m:r>
          </m:sub>
        </m:sSub>
        <m:r>
          <m:rPr>
            <m:sty m:val="p"/>
          </m:rPr>
          <w:rPr>
            <w:rFonts w:ascii="Cambria Math" w:hAnsi="Cambria Math" w:cs="Times New Roman"/>
            <w:szCs w:val="22"/>
            <w:lang w:val="en-US"/>
          </w:rPr>
          <m:t>+</m:t>
        </m:r>
        <m:sSub>
          <m:sSubPr>
            <m:ctrlPr>
              <w:rPr>
                <w:rFonts w:ascii="Cambria Math" w:hAnsi="Cambria Math" w:cs="Times New Roman"/>
                <w:iCs/>
                <w:szCs w:val="22"/>
                <w:lang w:val="en-US"/>
              </w:rPr>
            </m:ctrlPr>
          </m:sSubPr>
          <m:e>
            <m:r>
              <m:rPr>
                <m:sty m:val="p"/>
              </m:rPr>
              <w:rPr>
                <w:rFonts w:ascii="Cambria Math" w:hAnsi="Cambria Math" w:cs="Times New Roman"/>
                <w:szCs w:val="22"/>
                <w:lang w:val="en-US"/>
              </w:rPr>
              <m:t>Mc</m:t>
            </m:r>
          </m:e>
          <m:sub>
            <m:r>
              <m:rPr>
                <m:sty m:val="p"/>
              </m:rPr>
              <w:rPr>
                <w:rFonts w:ascii="Cambria Math" w:hAnsi="Cambria Math" w:cs="Times New Roman"/>
                <w:szCs w:val="22"/>
                <w:lang w:val="en-US"/>
              </w:rPr>
              <m:t>2</m:t>
            </m:r>
          </m:sub>
        </m:sSub>
        <m:r>
          <m:rPr>
            <m:sty m:val="p"/>
          </m:rPr>
          <w:rPr>
            <w:rFonts w:ascii="Cambria Math" w:hAnsi="Cambria Math" w:cs="Times New Roman"/>
            <w:szCs w:val="22"/>
            <w:lang w:val="en-US"/>
          </w:rPr>
          <m:t>+</m:t>
        </m:r>
        <m:sSub>
          <m:sSubPr>
            <m:ctrlPr>
              <w:rPr>
                <w:rFonts w:ascii="Cambria Math" w:hAnsi="Cambria Math" w:cs="Times New Roman"/>
                <w:iCs/>
                <w:sz w:val="21"/>
                <w:szCs w:val="21"/>
                <w:lang w:val="en-US"/>
              </w:rPr>
            </m:ctrlPr>
          </m:sSubPr>
          <m:e>
            <m:r>
              <m:rPr>
                <m:sty m:val="p"/>
              </m:rPr>
              <w:rPr>
                <w:rFonts w:ascii="Cambria Math" w:hAnsi="Cambria Math" w:cs="Times New Roman"/>
                <w:sz w:val="21"/>
                <w:szCs w:val="21"/>
                <w:lang w:val="en-US"/>
              </w:rPr>
              <m:t>c</m:t>
            </m:r>
          </m:e>
          <m:sub>
            <m:r>
              <m:rPr>
                <m:sty m:val="p"/>
              </m:rPr>
              <w:rPr>
                <w:rFonts w:ascii="Cambria Math" w:hAnsi="Cambria Math" w:cs="Times New Roman"/>
                <w:sz w:val="21"/>
                <w:szCs w:val="21"/>
                <w:lang w:val="en-US"/>
              </w:rPr>
              <m:t>3</m:t>
            </m:r>
          </m:sub>
        </m:sSub>
        <m:r>
          <m:rPr>
            <m:sty m:val="p"/>
          </m:rPr>
          <w:rPr>
            <w:rFonts w:ascii="Cambria Math" w:hAnsi="Cambria Math" w:cs="Times New Roman"/>
            <w:sz w:val="21"/>
            <w:szCs w:val="21"/>
            <w:lang w:val="en-US"/>
          </w:rPr>
          <m:t>In</m:t>
        </m:r>
        <m:d>
          <m:dPr>
            <m:ctrlPr>
              <w:rPr>
                <w:rFonts w:ascii="Cambria Math" w:hAnsi="Cambria Math" w:cs="Times New Roman"/>
                <w:iCs/>
                <w:sz w:val="21"/>
                <w:szCs w:val="21"/>
                <w:lang w:val="en-US"/>
              </w:rPr>
            </m:ctrlPr>
          </m:dPr>
          <m:e>
            <m:r>
              <m:rPr>
                <m:sty m:val="p"/>
              </m:rPr>
              <w:rPr>
                <w:rFonts w:ascii="Cambria Math" w:hAnsi="Cambria Math" w:cs="Times New Roman"/>
                <w:sz w:val="21"/>
                <w:szCs w:val="21"/>
                <w:lang w:val="en-US"/>
              </w:rPr>
              <m:t>R+</m:t>
            </m:r>
            <m:sSub>
              <m:sSubPr>
                <m:ctrlPr>
                  <w:rPr>
                    <w:rFonts w:ascii="Cambria Math" w:hAnsi="Cambria Math" w:cs="Times New Roman"/>
                    <w:iCs/>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4</m:t>
                </m:r>
              </m:sub>
            </m:sSub>
            <m:sSup>
              <m:sSupPr>
                <m:ctrlPr>
                  <w:rPr>
                    <w:rFonts w:ascii="Cambria Math" w:hAnsi="Cambria Math" w:cs="Times New Roman"/>
                    <w:iCs/>
                    <w:szCs w:val="22"/>
                    <w:lang w:val="en-US"/>
                  </w:rPr>
                </m:ctrlPr>
              </m:sSupPr>
              <m:e>
                <m:r>
                  <m:rPr>
                    <m:sty m:val="p"/>
                  </m:rPr>
                  <w:rPr>
                    <w:rFonts w:ascii="Cambria Math" w:hAnsi="Cambria Math" w:cs="Times New Roman"/>
                    <w:szCs w:val="22"/>
                    <w:lang w:val="en-US"/>
                  </w:rPr>
                  <m:t>e</m:t>
                </m:r>
              </m:e>
              <m:sup>
                <m:sSub>
                  <m:sSubPr>
                    <m:ctrlPr>
                      <w:rPr>
                        <w:rFonts w:ascii="Cambria Math" w:hAnsi="Cambria Math" w:cs="Times New Roman"/>
                        <w:iCs/>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5</m:t>
                    </m:r>
                  </m:sub>
                </m:sSub>
                <m:r>
                  <m:rPr>
                    <m:sty m:val="p"/>
                  </m:rPr>
                  <w:rPr>
                    <w:rFonts w:ascii="Cambria Math" w:hAnsi="Cambria Math" w:cs="Times New Roman"/>
                    <w:szCs w:val="22"/>
                    <w:lang w:val="en-US"/>
                  </w:rPr>
                  <m:t>M</m:t>
                </m:r>
              </m:sup>
            </m:sSup>
            <m:ctrlPr>
              <w:rPr>
                <w:rFonts w:ascii="Cambria Math" w:hAnsi="Cambria Math" w:cs="Times New Roman"/>
                <w:iCs/>
                <w:szCs w:val="22"/>
                <w:lang w:val="en-US"/>
              </w:rPr>
            </m:ctrlPr>
          </m:e>
        </m:d>
        <m:r>
          <m:rPr>
            <m:sty m:val="p"/>
          </m:rPr>
          <w:rPr>
            <w:rFonts w:ascii="Cambria Math" w:hAnsi="Cambria Math" w:cs="Times New Roman"/>
            <w:szCs w:val="22"/>
            <w:lang w:val="en-US"/>
          </w:rPr>
          <m:t>+</m:t>
        </m:r>
        <m:sSub>
          <m:sSubPr>
            <m:ctrlPr>
              <w:rPr>
                <w:rFonts w:ascii="Cambria Math" w:hAnsi="Cambria Math" w:cs="Times New Roman"/>
                <w:iCs/>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6</m:t>
            </m:r>
          </m:sub>
        </m:sSub>
        <m:r>
          <m:rPr>
            <m:sty m:val="p"/>
          </m:rPr>
          <w:rPr>
            <w:rFonts w:ascii="Cambria Math" w:hAnsi="Cambria Math" w:cs="Times New Roman"/>
            <w:szCs w:val="22"/>
            <w:lang w:val="en-US"/>
          </w:rPr>
          <m:t>H+</m:t>
        </m:r>
        <m:sSub>
          <m:sSubPr>
            <m:ctrlPr>
              <w:rPr>
                <w:rFonts w:ascii="Cambria Math" w:hAnsi="Cambria Math" w:cs="Times New Roman"/>
                <w:iCs/>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7</m:t>
            </m:r>
          </m:sub>
        </m:sSub>
        <m:sSub>
          <m:sSubPr>
            <m:ctrlPr>
              <w:rPr>
                <w:rFonts w:ascii="Cambria Math" w:hAnsi="Cambria Math" w:cs="Times New Roman"/>
                <w:iCs/>
                <w:szCs w:val="22"/>
                <w:lang w:val="en-US"/>
              </w:rPr>
            </m:ctrlPr>
          </m:sSubPr>
          <m:e>
            <m:r>
              <m:rPr>
                <m:sty m:val="p"/>
              </m:rPr>
              <w:rPr>
                <w:rFonts w:ascii="Cambria Math" w:hAnsi="Cambria Math" w:cs="Times New Roman"/>
                <w:szCs w:val="22"/>
                <w:lang w:val="en-US"/>
              </w:rPr>
              <m:t>Z</m:t>
            </m:r>
          </m:e>
          <m:sub>
            <m:r>
              <m:rPr>
                <m:sty m:val="p"/>
              </m:rPr>
              <w:rPr>
                <w:rFonts w:ascii="Cambria Math" w:hAnsi="Cambria Math" w:cs="Times New Roman"/>
                <w:szCs w:val="22"/>
                <w:lang w:val="en-US"/>
              </w:rPr>
              <m:t>t</m:t>
            </m:r>
          </m:sub>
        </m:sSub>
      </m:oMath>
      <w:r w:rsidRPr="000954C1">
        <w:rPr>
          <w:rFonts w:cs="Times New Roman"/>
          <w:iCs/>
          <w:szCs w:val="22"/>
          <w:lang w:val="en-US"/>
        </w:rPr>
        <w:tab/>
      </w:r>
      <w:r w:rsidRPr="000954C1">
        <w:rPr>
          <w:rFonts w:cs="Times New Roman"/>
          <w:iCs/>
          <w:szCs w:val="22"/>
          <w:lang w:val="en-US"/>
        </w:rPr>
        <w:tab/>
      </w:r>
      <w:r w:rsidRPr="000954C1">
        <w:rPr>
          <w:rFonts w:cs="Times New Roman"/>
          <w:iCs/>
          <w:szCs w:val="22"/>
          <w:lang w:val="en-US"/>
        </w:rPr>
        <w:tab/>
      </w:r>
      <w:r w:rsidRPr="000954C1">
        <w:rPr>
          <w:rFonts w:cs="Times New Roman"/>
          <w:iCs/>
          <w:szCs w:val="22"/>
          <w:lang w:val="en-US"/>
        </w:rPr>
        <w:tab/>
      </w:r>
      <w:r w:rsidRPr="000954C1">
        <w:rPr>
          <w:rFonts w:cs="Times New Roman"/>
          <w:iCs/>
          <w:szCs w:val="22"/>
          <w:lang w:val="en-US"/>
        </w:rPr>
        <w:tab/>
      </w:r>
      <w:r w:rsidRPr="000954C1">
        <w:rPr>
          <w:rFonts w:cs="Times New Roman"/>
          <w:iCs/>
          <w:szCs w:val="22"/>
          <w:lang w:val="en-US"/>
        </w:rPr>
        <w:tab/>
        <w:t xml:space="preserve">   (1)</w:t>
      </w:r>
    </w:p>
    <w:p w14:paraId="7CF8166F" w14:textId="77777777" w:rsidR="001C77DF" w:rsidRPr="000954C1" w:rsidRDefault="001C77DF" w:rsidP="001C77DF">
      <w:pPr>
        <w:autoSpaceDE w:val="0"/>
        <w:autoSpaceDN w:val="0"/>
        <w:adjustRightInd w:val="0"/>
        <w:rPr>
          <w:rFonts w:cs="Times New Roman"/>
          <w:iCs/>
          <w:szCs w:val="22"/>
          <w:lang w:val="en-US"/>
        </w:rPr>
      </w:pPr>
    </w:p>
    <w:p w14:paraId="548193DD" w14:textId="0620F741" w:rsidR="001C77DF" w:rsidRPr="000954C1" w:rsidRDefault="001C77DF" w:rsidP="001C77DF">
      <w:pPr>
        <w:autoSpaceDE w:val="0"/>
        <w:autoSpaceDN w:val="0"/>
        <w:adjustRightInd w:val="0"/>
        <w:rPr>
          <w:rFonts w:cs="Times New Roman"/>
          <w:szCs w:val="22"/>
          <w:lang w:val="en-US"/>
        </w:rPr>
      </w:pPr>
      <w:r w:rsidRPr="000954C1">
        <w:rPr>
          <w:rFonts w:cs="Times New Roman"/>
          <w:szCs w:val="22"/>
          <w:lang w:val="en-US"/>
        </w:rPr>
        <w:t>where PGA(g) is the geometric mean of the two horizontal PGA values, M is the moment magnitude M</w:t>
      </w:r>
      <w:r w:rsidRPr="000954C1">
        <w:rPr>
          <w:rFonts w:cs="Times New Roman"/>
          <w:szCs w:val="22"/>
          <w:vertAlign w:val="subscript"/>
          <w:lang w:val="en-US"/>
        </w:rPr>
        <w:t xml:space="preserve">w </w:t>
      </w:r>
      <w:r w:rsidRPr="000954C1">
        <w:rPr>
          <w:rFonts w:cs="Times New Roman"/>
          <w:szCs w:val="22"/>
          <w:lang w:val="en-US"/>
        </w:rPr>
        <w:t xml:space="preserve">in this equation, R is the </w:t>
      </w:r>
      <w:proofErr w:type="spellStart"/>
      <w:r w:rsidRPr="000954C1">
        <w:rPr>
          <w:rFonts w:cs="Times New Roman"/>
          <w:szCs w:val="22"/>
          <w:lang w:val="en-US"/>
        </w:rPr>
        <w:t>hypocentral</w:t>
      </w:r>
      <w:proofErr w:type="spellEnd"/>
      <w:r w:rsidRPr="000954C1">
        <w:rPr>
          <w:rFonts w:cs="Times New Roman"/>
          <w:szCs w:val="22"/>
          <w:lang w:val="en-US"/>
        </w:rPr>
        <w:t xml:space="preserve"> distance (km), H is the focal depth (km), </w:t>
      </w:r>
      <w:proofErr w:type="spellStart"/>
      <w:r w:rsidRPr="000954C1">
        <w:rPr>
          <w:rFonts w:cs="Times New Roman"/>
          <w:szCs w:val="22"/>
          <w:lang w:val="en-US"/>
        </w:rPr>
        <w:t>Z</w:t>
      </w:r>
      <w:r w:rsidRPr="000954C1">
        <w:rPr>
          <w:rFonts w:cs="Times New Roman"/>
          <w:szCs w:val="22"/>
          <w:vertAlign w:val="subscript"/>
          <w:lang w:val="en-US"/>
        </w:rPr>
        <w:t>t</w:t>
      </w:r>
      <w:proofErr w:type="spellEnd"/>
      <w:r w:rsidRPr="000954C1">
        <w:rPr>
          <w:rFonts w:cs="Times New Roman"/>
          <w:szCs w:val="22"/>
          <w:lang w:val="en-US"/>
        </w:rPr>
        <w:t xml:space="preserve"> represents the earthquake type (</w:t>
      </w:r>
      <w:proofErr w:type="spellStart"/>
      <w:r w:rsidRPr="000954C1">
        <w:rPr>
          <w:rFonts w:cs="Times New Roman"/>
          <w:szCs w:val="22"/>
          <w:lang w:val="en-US"/>
        </w:rPr>
        <w:t>Zt</w:t>
      </w:r>
      <w:proofErr w:type="spellEnd"/>
      <w:r w:rsidRPr="000954C1">
        <w:rPr>
          <w:rFonts w:cs="Times New Roman"/>
          <w:szCs w:val="22"/>
          <w:lang w:val="en-US"/>
        </w:rPr>
        <w:t xml:space="preserve"> =0, interface; </w:t>
      </w:r>
      <w:proofErr w:type="spellStart"/>
      <w:r w:rsidRPr="000954C1">
        <w:rPr>
          <w:rFonts w:cs="Times New Roman"/>
          <w:szCs w:val="22"/>
          <w:lang w:val="en-US"/>
        </w:rPr>
        <w:t>Zt</w:t>
      </w:r>
      <w:proofErr w:type="spellEnd"/>
      <w:r w:rsidRPr="000954C1">
        <w:rPr>
          <w:rFonts w:cs="Times New Roman"/>
          <w:szCs w:val="22"/>
          <w:lang w:val="en-US"/>
        </w:rPr>
        <w:t xml:space="preserve"> =1, </w:t>
      </w:r>
      <w:proofErr w:type="spellStart"/>
      <w:r w:rsidRPr="000954C1">
        <w:rPr>
          <w:rFonts w:cs="Times New Roman"/>
          <w:szCs w:val="22"/>
          <w:lang w:val="en-US"/>
        </w:rPr>
        <w:t>intraslab</w:t>
      </w:r>
      <w:proofErr w:type="spellEnd"/>
      <w:r w:rsidRPr="000954C1">
        <w:rPr>
          <w:rFonts w:cs="Times New Roman"/>
          <w:szCs w:val="22"/>
          <w:lang w:val="en-US"/>
        </w:rPr>
        <w:t>)</w:t>
      </w:r>
      <w:r w:rsidR="00430DD7">
        <w:rPr>
          <w:rFonts w:cs="Times New Roman"/>
          <w:szCs w:val="22"/>
          <w:lang w:val="en-US"/>
        </w:rPr>
        <w:t xml:space="preserve"> (</w:t>
      </w:r>
      <w:r w:rsidR="00BE7D4C" w:rsidRPr="0074029F">
        <w:rPr>
          <w:sz w:val="20"/>
          <w:szCs w:val="20"/>
          <w:lang w:val="en-US"/>
        </w:rPr>
        <w:t>Lee et al., 2008)</w:t>
      </w:r>
      <w:r w:rsidRPr="000954C1">
        <w:rPr>
          <w:rFonts w:cs="Times New Roman"/>
          <w:szCs w:val="22"/>
          <w:lang w:val="en-US"/>
        </w:rPr>
        <w:t xml:space="preserve">. </w:t>
      </w:r>
    </w:p>
    <w:p w14:paraId="289EA7E0" w14:textId="77777777" w:rsidR="001C77DF" w:rsidRPr="000954C1" w:rsidRDefault="001C77DF" w:rsidP="00E937C0">
      <w:pPr>
        <w:pStyle w:val="NormalWeb"/>
        <w:rPr>
          <w:bCs/>
          <w:sz w:val="22"/>
          <w:szCs w:val="22"/>
          <w:lang w:val="en-US"/>
        </w:rPr>
      </w:pPr>
    </w:p>
    <w:p w14:paraId="6141D177" w14:textId="77777777" w:rsidR="00293702" w:rsidRDefault="00293702" w:rsidP="005E06FC">
      <w:pPr>
        <w:pStyle w:val="NormalWeb"/>
        <w:jc w:val="center"/>
        <w:rPr>
          <w:sz w:val="22"/>
          <w:szCs w:val="22"/>
          <w:lang w:val="en-US"/>
        </w:rPr>
      </w:pPr>
    </w:p>
    <w:p w14:paraId="3980AA9C" w14:textId="5B47818C" w:rsidR="005E06FC" w:rsidRPr="000954C1" w:rsidRDefault="0062451E" w:rsidP="005E06FC">
      <w:pPr>
        <w:pStyle w:val="NormalWeb"/>
        <w:jc w:val="center"/>
        <w:rPr>
          <w:sz w:val="22"/>
          <w:szCs w:val="22"/>
          <w:lang w:val="en-US"/>
        </w:rPr>
      </w:pPr>
      <w:r w:rsidRPr="000954C1">
        <w:rPr>
          <w:sz w:val="22"/>
          <w:szCs w:val="22"/>
          <w:lang w:val="en-US"/>
        </w:rPr>
        <w:lastRenderedPageBreak/>
        <w:t xml:space="preserve">Table 1. Earthquakes </w:t>
      </w:r>
      <w:r w:rsidR="00A01994" w:rsidRPr="000954C1">
        <w:rPr>
          <w:sz w:val="22"/>
          <w:szCs w:val="22"/>
          <w:lang w:val="en-US"/>
        </w:rPr>
        <w:t>Used in This Study</w:t>
      </w:r>
    </w:p>
    <w:p w14:paraId="3DE30895" w14:textId="77777777" w:rsidR="00DC31B1" w:rsidRPr="000954C1" w:rsidRDefault="00DC31B1" w:rsidP="005E06FC">
      <w:pPr>
        <w:pStyle w:val="NormalWeb"/>
        <w:jc w:val="center"/>
        <w:rPr>
          <w:sz w:val="22"/>
          <w:szCs w:val="22"/>
          <w:lang w:val="en-US"/>
        </w:rPr>
      </w:pPr>
    </w:p>
    <w:tbl>
      <w:tblPr>
        <w:tblW w:w="8227" w:type="dxa"/>
        <w:jc w:val="center"/>
        <w:tblCellMar>
          <w:left w:w="70" w:type="dxa"/>
          <w:right w:w="70" w:type="dxa"/>
        </w:tblCellMar>
        <w:tblLook w:val="04A0" w:firstRow="1" w:lastRow="0" w:firstColumn="1" w:lastColumn="0" w:noHBand="0" w:noVBand="1"/>
      </w:tblPr>
      <w:tblGrid>
        <w:gridCol w:w="640"/>
        <w:gridCol w:w="1681"/>
        <w:gridCol w:w="1040"/>
        <w:gridCol w:w="1049"/>
        <w:gridCol w:w="1276"/>
        <w:gridCol w:w="567"/>
        <w:gridCol w:w="1134"/>
        <w:gridCol w:w="840"/>
      </w:tblGrid>
      <w:tr w:rsidR="000954C1" w:rsidRPr="000954C1" w14:paraId="0D6448BF"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AE118" w14:textId="64A6A8F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Event</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382A2DC3"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Town/City</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52A55BA"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Date</w:t>
            </w:r>
          </w:p>
        </w:tc>
        <w:tc>
          <w:tcPr>
            <w:tcW w:w="1049" w:type="dxa"/>
            <w:tcBorders>
              <w:top w:val="single" w:sz="4" w:space="0" w:color="auto"/>
              <w:left w:val="nil"/>
              <w:bottom w:val="single" w:sz="4" w:space="0" w:color="auto"/>
              <w:right w:val="single" w:sz="4" w:space="0" w:color="auto"/>
            </w:tcBorders>
            <w:shd w:val="clear" w:color="auto" w:fill="auto"/>
            <w:noWrap/>
            <w:vAlign w:val="center"/>
            <w:hideMark/>
          </w:tcPr>
          <w:p w14:paraId="042789C7"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Latitude °N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BDD5C8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b/>
                <w:bCs/>
                <w:sz w:val="20"/>
                <w:szCs w:val="20"/>
                <w:lang w:val="en-US" w:eastAsia="tr-TR"/>
              </w:rPr>
              <w:t>Longitude</w:t>
            </w:r>
            <w:r w:rsidRPr="000954C1">
              <w:rPr>
                <w:rFonts w:eastAsia="Times New Roman" w:cs="Times New Roman"/>
                <w:sz w:val="20"/>
                <w:szCs w:val="20"/>
                <w:lang w:val="en-US" w:eastAsia="tr-TR"/>
              </w:rPr>
              <w:t xml:space="preserve"> </w:t>
            </w:r>
            <w:r w:rsidRPr="000954C1">
              <w:rPr>
                <w:rFonts w:eastAsia="Times New Roman" w:cs="Times New Roman"/>
                <w:b/>
                <w:bCs/>
                <w:sz w:val="20"/>
                <w:szCs w:val="20"/>
                <w:lang w:val="en-US" w:eastAsia="tr-TR"/>
              </w:rPr>
              <w:t>°W</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6337A96"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M</w:t>
            </w:r>
            <w:r w:rsidRPr="000954C1">
              <w:rPr>
                <w:rFonts w:eastAsia="Times New Roman" w:cs="Times New Roman"/>
                <w:b/>
                <w:bCs/>
                <w:sz w:val="20"/>
                <w:szCs w:val="20"/>
                <w:vertAlign w:val="subscript"/>
                <w:lang w:val="en-US" w:eastAsia="tr-TR"/>
              </w:rPr>
              <w:t>w</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F2BAB7"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Depth (km)</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DF1B974"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Records</w:t>
            </w:r>
          </w:p>
        </w:tc>
      </w:tr>
      <w:tr w:rsidR="000954C1" w:rsidRPr="000954C1" w14:paraId="1D379BF1"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B47844D"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w:t>
            </w:r>
          </w:p>
        </w:tc>
        <w:tc>
          <w:tcPr>
            <w:tcW w:w="1681" w:type="dxa"/>
            <w:tcBorders>
              <w:top w:val="nil"/>
              <w:left w:val="nil"/>
              <w:bottom w:val="single" w:sz="4" w:space="0" w:color="auto"/>
              <w:right w:val="single" w:sz="4" w:space="0" w:color="auto"/>
            </w:tcBorders>
            <w:shd w:val="clear" w:color="auto" w:fill="auto"/>
            <w:noWrap/>
            <w:vAlign w:val="center"/>
            <w:hideMark/>
          </w:tcPr>
          <w:p w14:paraId="61AB71A9" w14:textId="50FF0C5B"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Honaz-Denizli</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09344B9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21.04.2000</w:t>
            </w:r>
          </w:p>
        </w:tc>
        <w:tc>
          <w:tcPr>
            <w:tcW w:w="1049" w:type="dxa"/>
            <w:tcBorders>
              <w:top w:val="nil"/>
              <w:left w:val="nil"/>
              <w:bottom w:val="single" w:sz="4" w:space="0" w:color="auto"/>
              <w:right w:val="single" w:sz="4" w:space="0" w:color="auto"/>
            </w:tcBorders>
            <w:shd w:val="clear" w:color="auto" w:fill="auto"/>
            <w:noWrap/>
            <w:vAlign w:val="center"/>
            <w:hideMark/>
          </w:tcPr>
          <w:p w14:paraId="3645C37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37,88</w:t>
            </w:r>
          </w:p>
        </w:tc>
        <w:tc>
          <w:tcPr>
            <w:tcW w:w="1276" w:type="dxa"/>
            <w:tcBorders>
              <w:top w:val="nil"/>
              <w:left w:val="nil"/>
              <w:bottom w:val="single" w:sz="4" w:space="0" w:color="auto"/>
              <w:right w:val="single" w:sz="4" w:space="0" w:color="auto"/>
            </w:tcBorders>
            <w:shd w:val="clear" w:color="auto" w:fill="auto"/>
            <w:noWrap/>
            <w:vAlign w:val="center"/>
            <w:hideMark/>
          </w:tcPr>
          <w:p w14:paraId="2D68889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29,36</w:t>
            </w:r>
          </w:p>
        </w:tc>
        <w:tc>
          <w:tcPr>
            <w:tcW w:w="567" w:type="dxa"/>
            <w:tcBorders>
              <w:top w:val="nil"/>
              <w:left w:val="nil"/>
              <w:bottom w:val="single" w:sz="4" w:space="0" w:color="auto"/>
              <w:right w:val="single" w:sz="4" w:space="0" w:color="auto"/>
            </w:tcBorders>
            <w:shd w:val="clear" w:color="auto" w:fill="auto"/>
            <w:noWrap/>
            <w:vAlign w:val="center"/>
            <w:hideMark/>
          </w:tcPr>
          <w:p w14:paraId="1E4DEDD1"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5,4</w:t>
            </w:r>
          </w:p>
        </w:tc>
        <w:tc>
          <w:tcPr>
            <w:tcW w:w="1134" w:type="dxa"/>
            <w:tcBorders>
              <w:top w:val="nil"/>
              <w:left w:val="nil"/>
              <w:bottom w:val="single" w:sz="4" w:space="0" w:color="auto"/>
              <w:right w:val="single" w:sz="4" w:space="0" w:color="auto"/>
            </w:tcBorders>
            <w:shd w:val="clear" w:color="auto" w:fill="auto"/>
            <w:noWrap/>
            <w:vAlign w:val="center"/>
            <w:hideMark/>
          </w:tcPr>
          <w:p w14:paraId="2EA92B4A"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19,90</w:t>
            </w:r>
          </w:p>
        </w:tc>
        <w:tc>
          <w:tcPr>
            <w:tcW w:w="840" w:type="dxa"/>
            <w:tcBorders>
              <w:top w:val="nil"/>
              <w:left w:val="nil"/>
              <w:bottom w:val="single" w:sz="4" w:space="0" w:color="auto"/>
              <w:right w:val="single" w:sz="4" w:space="0" w:color="auto"/>
            </w:tcBorders>
            <w:shd w:val="clear" w:color="auto" w:fill="auto"/>
            <w:noWrap/>
            <w:vAlign w:val="center"/>
            <w:hideMark/>
          </w:tcPr>
          <w:p w14:paraId="2AEE90D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w:t>
            </w:r>
          </w:p>
        </w:tc>
      </w:tr>
      <w:tr w:rsidR="000954C1" w:rsidRPr="000954C1" w14:paraId="46D7CFF6"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9662E7C"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w:t>
            </w:r>
          </w:p>
        </w:tc>
        <w:tc>
          <w:tcPr>
            <w:tcW w:w="1681" w:type="dxa"/>
            <w:tcBorders>
              <w:top w:val="nil"/>
              <w:left w:val="nil"/>
              <w:bottom w:val="single" w:sz="4" w:space="0" w:color="auto"/>
              <w:right w:val="single" w:sz="4" w:space="0" w:color="auto"/>
            </w:tcBorders>
            <w:shd w:val="clear" w:color="auto" w:fill="auto"/>
            <w:noWrap/>
            <w:vAlign w:val="center"/>
            <w:hideMark/>
          </w:tcPr>
          <w:p w14:paraId="60124541" w14:textId="3BCE4729"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Merkez-</w:t>
            </w:r>
            <w:proofErr w:type="spellStart"/>
            <w:r w:rsidRPr="000954C1">
              <w:rPr>
                <w:rFonts w:eastAsia="Times New Roman" w:cs="Times New Roman"/>
                <w:sz w:val="20"/>
                <w:szCs w:val="20"/>
                <w:lang w:val="en-US" w:eastAsia="tr-TR"/>
              </w:rPr>
              <w:t>Denizli</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37F7B258" w14:textId="15B5F13E"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04.10.2000</w:t>
            </w:r>
          </w:p>
        </w:tc>
        <w:tc>
          <w:tcPr>
            <w:tcW w:w="1049" w:type="dxa"/>
            <w:tcBorders>
              <w:top w:val="nil"/>
              <w:left w:val="nil"/>
              <w:bottom w:val="single" w:sz="4" w:space="0" w:color="auto"/>
              <w:right w:val="single" w:sz="4" w:space="0" w:color="auto"/>
            </w:tcBorders>
            <w:shd w:val="clear" w:color="auto" w:fill="auto"/>
            <w:noWrap/>
            <w:vAlign w:val="center"/>
            <w:hideMark/>
          </w:tcPr>
          <w:p w14:paraId="3481AAB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37,90</w:t>
            </w:r>
          </w:p>
        </w:tc>
        <w:tc>
          <w:tcPr>
            <w:tcW w:w="1276" w:type="dxa"/>
            <w:tcBorders>
              <w:top w:val="nil"/>
              <w:left w:val="nil"/>
              <w:bottom w:val="single" w:sz="4" w:space="0" w:color="auto"/>
              <w:right w:val="single" w:sz="4" w:space="0" w:color="auto"/>
            </w:tcBorders>
            <w:shd w:val="clear" w:color="auto" w:fill="auto"/>
            <w:noWrap/>
            <w:vAlign w:val="center"/>
            <w:hideMark/>
          </w:tcPr>
          <w:p w14:paraId="6D800D8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29,03</w:t>
            </w:r>
          </w:p>
        </w:tc>
        <w:tc>
          <w:tcPr>
            <w:tcW w:w="567" w:type="dxa"/>
            <w:tcBorders>
              <w:top w:val="nil"/>
              <w:left w:val="nil"/>
              <w:bottom w:val="single" w:sz="4" w:space="0" w:color="auto"/>
              <w:right w:val="single" w:sz="4" w:space="0" w:color="auto"/>
            </w:tcBorders>
            <w:shd w:val="clear" w:color="auto" w:fill="auto"/>
            <w:noWrap/>
            <w:vAlign w:val="center"/>
            <w:hideMark/>
          </w:tcPr>
          <w:p w14:paraId="649380A1"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5,0</w:t>
            </w:r>
          </w:p>
        </w:tc>
        <w:tc>
          <w:tcPr>
            <w:tcW w:w="1134" w:type="dxa"/>
            <w:tcBorders>
              <w:top w:val="nil"/>
              <w:left w:val="nil"/>
              <w:bottom w:val="single" w:sz="4" w:space="0" w:color="auto"/>
              <w:right w:val="single" w:sz="4" w:space="0" w:color="auto"/>
            </w:tcBorders>
            <w:shd w:val="clear" w:color="auto" w:fill="auto"/>
            <w:noWrap/>
            <w:vAlign w:val="center"/>
            <w:hideMark/>
          </w:tcPr>
          <w:p w14:paraId="09BA8E1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2,80</w:t>
            </w:r>
          </w:p>
        </w:tc>
        <w:tc>
          <w:tcPr>
            <w:tcW w:w="840" w:type="dxa"/>
            <w:tcBorders>
              <w:top w:val="nil"/>
              <w:left w:val="nil"/>
              <w:bottom w:val="single" w:sz="4" w:space="0" w:color="auto"/>
              <w:right w:val="single" w:sz="4" w:space="0" w:color="auto"/>
            </w:tcBorders>
            <w:shd w:val="clear" w:color="auto" w:fill="auto"/>
            <w:noWrap/>
            <w:vAlign w:val="center"/>
            <w:hideMark/>
          </w:tcPr>
          <w:p w14:paraId="54EA980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w:t>
            </w:r>
          </w:p>
        </w:tc>
      </w:tr>
      <w:tr w:rsidR="000954C1" w:rsidRPr="000954C1" w14:paraId="6864309E"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051F4C5"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3</w:t>
            </w:r>
          </w:p>
        </w:tc>
        <w:tc>
          <w:tcPr>
            <w:tcW w:w="1681" w:type="dxa"/>
            <w:tcBorders>
              <w:top w:val="nil"/>
              <w:left w:val="nil"/>
              <w:bottom w:val="single" w:sz="4" w:space="0" w:color="auto"/>
              <w:right w:val="single" w:sz="4" w:space="0" w:color="auto"/>
            </w:tcBorders>
            <w:shd w:val="clear" w:color="auto" w:fill="auto"/>
            <w:noWrap/>
            <w:vAlign w:val="center"/>
            <w:hideMark/>
          </w:tcPr>
          <w:p w14:paraId="432812B1" w14:textId="78AE7F4A"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Soma-</w:t>
            </w:r>
            <w:proofErr w:type="spellStart"/>
            <w:r w:rsidRPr="000954C1">
              <w:rPr>
                <w:rFonts w:eastAsia="Times New Roman" w:cs="Times New Roman"/>
                <w:sz w:val="20"/>
                <w:szCs w:val="20"/>
                <w:lang w:val="en-US" w:eastAsia="tr-TR"/>
              </w:rPr>
              <w:t>Manisa</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7361E411"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22.06.2001</w:t>
            </w:r>
          </w:p>
        </w:tc>
        <w:tc>
          <w:tcPr>
            <w:tcW w:w="1049" w:type="dxa"/>
            <w:tcBorders>
              <w:top w:val="nil"/>
              <w:left w:val="nil"/>
              <w:bottom w:val="single" w:sz="4" w:space="0" w:color="auto"/>
              <w:right w:val="single" w:sz="4" w:space="0" w:color="auto"/>
            </w:tcBorders>
            <w:shd w:val="clear" w:color="auto" w:fill="auto"/>
            <w:noWrap/>
            <w:vAlign w:val="center"/>
            <w:hideMark/>
          </w:tcPr>
          <w:p w14:paraId="0D77633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39,34</w:t>
            </w:r>
          </w:p>
        </w:tc>
        <w:tc>
          <w:tcPr>
            <w:tcW w:w="1276" w:type="dxa"/>
            <w:tcBorders>
              <w:top w:val="nil"/>
              <w:left w:val="nil"/>
              <w:bottom w:val="single" w:sz="4" w:space="0" w:color="auto"/>
              <w:right w:val="single" w:sz="4" w:space="0" w:color="auto"/>
            </w:tcBorders>
            <w:shd w:val="clear" w:color="auto" w:fill="auto"/>
            <w:noWrap/>
            <w:vAlign w:val="center"/>
            <w:hideMark/>
          </w:tcPr>
          <w:p w14:paraId="3826761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27,91</w:t>
            </w:r>
          </w:p>
        </w:tc>
        <w:tc>
          <w:tcPr>
            <w:tcW w:w="567" w:type="dxa"/>
            <w:tcBorders>
              <w:top w:val="nil"/>
              <w:left w:val="nil"/>
              <w:bottom w:val="single" w:sz="4" w:space="0" w:color="auto"/>
              <w:right w:val="single" w:sz="4" w:space="0" w:color="auto"/>
            </w:tcBorders>
            <w:shd w:val="clear" w:color="auto" w:fill="auto"/>
            <w:noWrap/>
            <w:vAlign w:val="center"/>
            <w:hideMark/>
          </w:tcPr>
          <w:p w14:paraId="368C6DC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5,2</w:t>
            </w:r>
          </w:p>
        </w:tc>
        <w:tc>
          <w:tcPr>
            <w:tcW w:w="1134" w:type="dxa"/>
            <w:tcBorders>
              <w:top w:val="nil"/>
              <w:left w:val="nil"/>
              <w:bottom w:val="single" w:sz="4" w:space="0" w:color="auto"/>
              <w:right w:val="single" w:sz="4" w:space="0" w:color="auto"/>
            </w:tcBorders>
            <w:shd w:val="clear" w:color="auto" w:fill="auto"/>
            <w:noWrap/>
            <w:vAlign w:val="center"/>
            <w:hideMark/>
          </w:tcPr>
          <w:p w14:paraId="445B371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7,00</w:t>
            </w:r>
          </w:p>
        </w:tc>
        <w:tc>
          <w:tcPr>
            <w:tcW w:w="840" w:type="dxa"/>
            <w:tcBorders>
              <w:top w:val="nil"/>
              <w:left w:val="nil"/>
              <w:bottom w:val="single" w:sz="4" w:space="0" w:color="auto"/>
              <w:right w:val="single" w:sz="4" w:space="0" w:color="auto"/>
            </w:tcBorders>
            <w:shd w:val="clear" w:color="auto" w:fill="auto"/>
            <w:noWrap/>
            <w:vAlign w:val="center"/>
            <w:hideMark/>
          </w:tcPr>
          <w:p w14:paraId="7A5D4D1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4C5F51A0"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6AA0A91"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4</w:t>
            </w:r>
          </w:p>
        </w:tc>
        <w:tc>
          <w:tcPr>
            <w:tcW w:w="1681" w:type="dxa"/>
            <w:tcBorders>
              <w:top w:val="nil"/>
              <w:left w:val="nil"/>
              <w:bottom w:val="single" w:sz="4" w:space="0" w:color="auto"/>
              <w:right w:val="single" w:sz="4" w:space="0" w:color="auto"/>
            </w:tcBorders>
            <w:shd w:val="clear" w:color="auto" w:fill="auto"/>
            <w:noWrap/>
            <w:vAlign w:val="center"/>
            <w:hideMark/>
          </w:tcPr>
          <w:p w14:paraId="24644F78" w14:textId="59364FD0"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Sultandağı-Afyon</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37496C8F" w14:textId="7FF4988F"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03.02.2002</w:t>
            </w:r>
          </w:p>
        </w:tc>
        <w:tc>
          <w:tcPr>
            <w:tcW w:w="1049" w:type="dxa"/>
            <w:tcBorders>
              <w:top w:val="nil"/>
              <w:left w:val="nil"/>
              <w:bottom w:val="single" w:sz="4" w:space="0" w:color="auto"/>
              <w:right w:val="single" w:sz="4" w:space="0" w:color="auto"/>
            </w:tcBorders>
            <w:shd w:val="clear" w:color="auto" w:fill="auto"/>
            <w:noWrap/>
            <w:vAlign w:val="center"/>
            <w:hideMark/>
          </w:tcPr>
          <w:p w14:paraId="16D68C1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38,52</w:t>
            </w:r>
          </w:p>
        </w:tc>
        <w:tc>
          <w:tcPr>
            <w:tcW w:w="1276" w:type="dxa"/>
            <w:tcBorders>
              <w:top w:val="nil"/>
              <w:left w:val="nil"/>
              <w:bottom w:val="single" w:sz="4" w:space="0" w:color="auto"/>
              <w:right w:val="single" w:sz="4" w:space="0" w:color="auto"/>
            </w:tcBorders>
            <w:shd w:val="clear" w:color="auto" w:fill="auto"/>
            <w:noWrap/>
            <w:vAlign w:val="center"/>
            <w:hideMark/>
          </w:tcPr>
          <w:p w14:paraId="3FC9BFB3"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31,20</w:t>
            </w:r>
          </w:p>
        </w:tc>
        <w:tc>
          <w:tcPr>
            <w:tcW w:w="567" w:type="dxa"/>
            <w:tcBorders>
              <w:top w:val="nil"/>
              <w:left w:val="nil"/>
              <w:bottom w:val="single" w:sz="4" w:space="0" w:color="auto"/>
              <w:right w:val="single" w:sz="4" w:space="0" w:color="auto"/>
            </w:tcBorders>
            <w:shd w:val="clear" w:color="auto" w:fill="auto"/>
            <w:noWrap/>
            <w:vAlign w:val="center"/>
            <w:hideMark/>
          </w:tcPr>
          <w:p w14:paraId="39CC125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6,5</w:t>
            </w:r>
          </w:p>
        </w:tc>
        <w:tc>
          <w:tcPr>
            <w:tcW w:w="1134" w:type="dxa"/>
            <w:tcBorders>
              <w:top w:val="nil"/>
              <w:left w:val="nil"/>
              <w:bottom w:val="single" w:sz="4" w:space="0" w:color="auto"/>
              <w:right w:val="single" w:sz="4" w:space="0" w:color="auto"/>
            </w:tcBorders>
            <w:shd w:val="clear" w:color="auto" w:fill="auto"/>
            <w:noWrap/>
            <w:vAlign w:val="center"/>
            <w:hideMark/>
          </w:tcPr>
          <w:p w14:paraId="64E8650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22,10</w:t>
            </w:r>
          </w:p>
        </w:tc>
        <w:tc>
          <w:tcPr>
            <w:tcW w:w="840" w:type="dxa"/>
            <w:tcBorders>
              <w:top w:val="nil"/>
              <w:left w:val="nil"/>
              <w:bottom w:val="single" w:sz="4" w:space="0" w:color="auto"/>
              <w:right w:val="single" w:sz="4" w:space="0" w:color="auto"/>
            </w:tcBorders>
            <w:shd w:val="clear" w:color="auto" w:fill="auto"/>
            <w:noWrap/>
            <w:vAlign w:val="center"/>
            <w:hideMark/>
          </w:tcPr>
          <w:p w14:paraId="42798E9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2DC42799"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FCB581D"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5</w:t>
            </w:r>
          </w:p>
        </w:tc>
        <w:tc>
          <w:tcPr>
            <w:tcW w:w="1681" w:type="dxa"/>
            <w:tcBorders>
              <w:top w:val="nil"/>
              <w:left w:val="nil"/>
              <w:bottom w:val="single" w:sz="4" w:space="0" w:color="auto"/>
              <w:right w:val="single" w:sz="4" w:space="0" w:color="auto"/>
            </w:tcBorders>
            <w:shd w:val="clear" w:color="auto" w:fill="auto"/>
            <w:noWrap/>
            <w:vAlign w:val="center"/>
            <w:hideMark/>
          </w:tcPr>
          <w:p w14:paraId="37004D71" w14:textId="16B845A3"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No-Name</w:t>
            </w:r>
          </w:p>
        </w:tc>
        <w:tc>
          <w:tcPr>
            <w:tcW w:w="1040" w:type="dxa"/>
            <w:tcBorders>
              <w:top w:val="nil"/>
              <w:left w:val="nil"/>
              <w:bottom w:val="single" w:sz="4" w:space="0" w:color="auto"/>
              <w:right w:val="single" w:sz="4" w:space="0" w:color="auto"/>
            </w:tcBorders>
            <w:shd w:val="clear" w:color="auto" w:fill="auto"/>
            <w:noWrap/>
            <w:vAlign w:val="center"/>
            <w:hideMark/>
          </w:tcPr>
          <w:p w14:paraId="21A7BA19" w14:textId="658D9943"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03.02.2002</w:t>
            </w:r>
          </w:p>
        </w:tc>
        <w:tc>
          <w:tcPr>
            <w:tcW w:w="1049" w:type="dxa"/>
            <w:tcBorders>
              <w:top w:val="nil"/>
              <w:left w:val="nil"/>
              <w:bottom w:val="single" w:sz="4" w:space="0" w:color="auto"/>
              <w:right w:val="single" w:sz="4" w:space="0" w:color="auto"/>
            </w:tcBorders>
            <w:shd w:val="clear" w:color="auto" w:fill="auto"/>
            <w:noWrap/>
            <w:vAlign w:val="center"/>
            <w:hideMark/>
          </w:tcPr>
          <w:p w14:paraId="3A9B26F3"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38,72</w:t>
            </w:r>
          </w:p>
        </w:tc>
        <w:tc>
          <w:tcPr>
            <w:tcW w:w="1276" w:type="dxa"/>
            <w:tcBorders>
              <w:top w:val="nil"/>
              <w:left w:val="nil"/>
              <w:bottom w:val="single" w:sz="4" w:space="0" w:color="auto"/>
              <w:right w:val="single" w:sz="4" w:space="0" w:color="auto"/>
            </w:tcBorders>
            <w:shd w:val="clear" w:color="auto" w:fill="auto"/>
            <w:noWrap/>
            <w:vAlign w:val="center"/>
            <w:hideMark/>
          </w:tcPr>
          <w:p w14:paraId="6D32184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30,89</w:t>
            </w:r>
          </w:p>
        </w:tc>
        <w:tc>
          <w:tcPr>
            <w:tcW w:w="567" w:type="dxa"/>
            <w:tcBorders>
              <w:top w:val="nil"/>
              <w:left w:val="nil"/>
              <w:bottom w:val="single" w:sz="4" w:space="0" w:color="auto"/>
              <w:right w:val="single" w:sz="4" w:space="0" w:color="auto"/>
            </w:tcBorders>
            <w:shd w:val="clear" w:color="auto" w:fill="auto"/>
            <w:noWrap/>
            <w:vAlign w:val="center"/>
            <w:hideMark/>
          </w:tcPr>
          <w:p w14:paraId="35D98FF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5,4</w:t>
            </w:r>
          </w:p>
        </w:tc>
        <w:tc>
          <w:tcPr>
            <w:tcW w:w="1134" w:type="dxa"/>
            <w:tcBorders>
              <w:top w:val="nil"/>
              <w:left w:val="nil"/>
              <w:bottom w:val="single" w:sz="4" w:space="0" w:color="auto"/>
              <w:right w:val="single" w:sz="4" w:space="0" w:color="auto"/>
            </w:tcBorders>
            <w:shd w:val="clear" w:color="auto" w:fill="auto"/>
            <w:noWrap/>
            <w:vAlign w:val="center"/>
            <w:hideMark/>
          </w:tcPr>
          <w:p w14:paraId="7674D77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35,40</w:t>
            </w:r>
          </w:p>
        </w:tc>
        <w:tc>
          <w:tcPr>
            <w:tcW w:w="840" w:type="dxa"/>
            <w:tcBorders>
              <w:top w:val="nil"/>
              <w:left w:val="nil"/>
              <w:bottom w:val="single" w:sz="4" w:space="0" w:color="auto"/>
              <w:right w:val="single" w:sz="4" w:space="0" w:color="auto"/>
            </w:tcBorders>
            <w:shd w:val="clear" w:color="auto" w:fill="auto"/>
            <w:noWrap/>
            <w:vAlign w:val="center"/>
            <w:hideMark/>
          </w:tcPr>
          <w:p w14:paraId="7B7AB6C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6E076663" w14:textId="77777777" w:rsidTr="00A61D58">
        <w:trPr>
          <w:trHeight w:val="168"/>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92FF0EC"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6</w:t>
            </w:r>
          </w:p>
        </w:tc>
        <w:tc>
          <w:tcPr>
            <w:tcW w:w="1681" w:type="dxa"/>
            <w:tcBorders>
              <w:top w:val="nil"/>
              <w:left w:val="nil"/>
              <w:bottom w:val="nil"/>
              <w:right w:val="nil"/>
            </w:tcBorders>
            <w:shd w:val="clear" w:color="auto" w:fill="auto"/>
            <w:noWrap/>
            <w:vAlign w:val="center"/>
            <w:hideMark/>
          </w:tcPr>
          <w:p w14:paraId="1F3A6D7F" w14:textId="595BE9F1"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Merkez-</w:t>
            </w:r>
            <w:proofErr w:type="spellStart"/>
            <w:r w:rsidRPr="000954C1">
              <w:rPr>
                <w:rFonts w:eastAsia="Times New Roman" w:cs="Times New Roman"/>
                <w:sz w:val="20"/>
                <w:szCs w:val="20"/>
                <w:lang w:val="en-US" w:eastAsia="tr-TR"/>
              </w:rPr>
              <w:t>Afyon</w:t>
            </w:r>
            <w:proofErr w:type="spellEnd"/>
          </w:p>
        </w:tc>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1F8759DC" w14:textId="043D8E2A"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03.02.2002</w:t>
            </w:r>
          </w:p>
        </w:tc>
        <w:tc>
          <w:tcPr>
            <w:tcW w:w="1049" w:type="dxa"/>
            <w:tcBorders>
              <w:top w:val="nil"/>
              <w:left w:val="nil"/>
              <w:bottom w:val="single" w:sz="4" w:space="0" w:color="auto"/>
              <w:right w:val="single" w:sz="4" w:space="0" w:color="auto"/>
            </w:tcBorders>
            <w:shd w:val="clear" w:color="auto" w:fill="auto"/>
            <w:noWrap/>
            <w:vAlign w:val="center"/>
            <w:hideMark/>
          </w:tcPr>
          <w:p w14:paraId="268F13A8"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38,63</w:t>
            </w:r>
          </w:p>
        </w:tc>
        <w:tc>
          <w:tcPr>
            <w:tcW w:w="1276" w:type="dxa"/>
            <w:tcBorders>
              <w:top w:val="nil"/>
              <w:left w:val="nil"/>
              <w:bottom w:val="single" w:sz="4" w:space="0" w:color="auto"/>
              <w:right w:val="single" w:sz="4" w:space="0" w:color="auto"/>
            </w:tcBorders>
            <w:shd w:val="clear" w:color="auto" w:fill="auto"/>
            <w:noWrap/>
            <w:vAlign w:val="center"/>
            <w:hideMark/>
          </w:tcPr>
          <w:p w14:paraId="59F1D97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30,88</w:t>
            </w:r>
          </w:p>
        </w:tc>
        <w:tc>
          <w:tcPr>
            <w:tcW w:w="567" w:type="dxa"/>
            <w:tcBorders>
              <w:top w:val="nil"/>
              <w:left w:val="nil"/>
              <w:bottom w:val="single" w:sz="4" w:space="0" w:color="auto"/>
              <w:right w:val="single" w:sz="4" w:space="0" w:color="auto"/>
            </w:tcBorders>
            <w:shd w:val="clear" w:color="auto" w:fill="auto"/>
            <w:noWrap/>
            <w:vAlign w:val="center"/>
            <w:hideMark/>
          </w:tcPr>
          <w:p w14:paraId="2E3178D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5,8</w:t>
            </w:r>
          </w:p>
        </w:tc>
        <w:tc>
          <w:tcPr>
            <w:tcW w:w="1134" w:type="dxa"/>
            <w:tcBorders>
              <w:top w:val="nil"/>
              <w:left w:val="nil"/>
              <w:bottom w:val="single" w:sz="4" w:space="0" w:color="auto"/>
              <w:right w:val="single" w:sz="4" w:space="0" w:color="auto"/>
            </w:tcBorders>
            <w:shd w:val="clear" w:color="auto" w:fill="auto"/>
            <w:noWrap/>
            <w:vAlign w:val="center"/>
            <w:hideMark/>
          </w:tcPr>
          <w:p w14:paraId="3AF671B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24,90</w:t>
            </w:r>
          </w:p>
        </w:tc>
        <w:tc>
          <w:tcPr>
            <w:tcW w:w="840" w:type="dxa"/>
            <w:tcBorders>
              <w:top w:val="nil"/>
              <w:left w:val="nil"/>
              <w:bottom w:val="single" w:sz="4" w:space="0" w:color="auto"/>
              <w:right w:val="single" w:sz="4" w:space="0" w:color="auto"/>
            </w:tcBorders>
            <w:shd w:val="clear" w:color="auto" w:fill="auto"/>
            <w:noWrap/>
            <w:vAlign w:val="center"/>
            <w:hideMark/>
          </w:tcPr>
          <w:p w14:paraId="1B74E1C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1C1234DA"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CEFD9E7"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7</w:t>
            </w:r>
          </w:p>
        </w:tc>
        <w:tc>
          <w:tcPr>
            <w:tcW w:w="1681" w:type="dxa"/>
            <w:tcBorders>
              <w:top w:val="single" w:sz="4" w:space="0" w:color="auto"/>
              <w:left w:val="nil"/>
              <w:bottom w:val="single" w:sz="4" w:space="0" w:color="auto"/>
              <w:right w:val="single" w:sz="4" w:space="0" w:color="auto"/>
            </w:tcBorders>
            <w:shd w:val="clear" w:color="auto" w:fill="auto"/>
            <w:noWrap/>
            <w:vAlign w:val="center"/>
            <w:hideMark/>
          </w:tcPr>
          <w:p w14:paraId="0887492A" w14:textId="7A5431C3"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Sefer</w:t>
            </w:r>
            <w:r w:rsidR="00E16F98" w:rsidRPr="000954C1">
              <w:rPr>
                <w:rFonts w:eastAsia="Times New Roman" w:cs="Times New Roman"/>
                <w:sz w:val="20"/>
                <w:szCs w:val="20"/>
                <w:lang w:val="en-US" w:eastAsia="tr-TR"/>
              </w:rPr>
              <w:t>i</w:t>
            </w:r>
            <w:r w:rsidRPr="000954C1">
              <w:rPr>
                <w:rFonts w:eastAsia="Times New Roman" w:cs="Times New Roman"/>
                <w:sz w:val="20"/>
                <w:szCs w:val="20"/>
                <w:lang w:val="en-US" w:eastAsia="tr-TR"/>
              </w:rPr>
              <w:t>hisar</w:t>
            </w:r>
            <w:proofErr w:type="spellEnd"/>
            <w:r w:rsidRPr="000954C1">
              <w:rPr>
                <w:rFonts w:eastAsia="Times New Roman" w:cs="Times New Roman"/>
                <w:sz w:val="20"/>
                <w:szCs w:val="20"/>
                <w:lang w:val="en-US" w:eastAsia="tr-TR"/>
              </w:rPr>
              <w:t>-İzmir</w:t>
            </w:r>
          </w:p>
        </w:tc>
        <w:tc>
          <w:tcPr>
            <w:tcW w:w="1040" w:type="dxa"/>
            <w:tcBorders>
              <w:top w:val="nil"/>
              <w:left w:val="nil"/>
              <w:bottom w:val="single" w:sz="4" w:space="0" w:color="auto"/>
              <w:right w:val="single" w:sz="4" w:space="0" w:color="auto"/>
            </w:tcBorders>
            <w:shd w:val="clear" w:color="auto" w:fill="auto"/>
            <w:noWrap/>
            <w:vAlign w:val="center"/>
            <w:hideMark/>
          </w:tcPr>
          <w:p w14:paraId="490E865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10.04.2003</w:t>
            </w:r>
          </w:p>
        </w:tc>
        <w:tc>
          <w:tcPr>
            <w:tcW w:w="1049" w:type="dxa"/>
            <w:tcBorders>
              <w:top w:val="nil"/>
              <w:left w:val="nil"/>
              <w:bottom w:val="single" w:sz="4" w:space="0" w:color="auto"/>
              <w:right w:val="single" w:sz="4" w:space="0" w:color="auto"/>
            </w:tcBorders>
            <w:shd w:val="clear" w:color="auto" w:fill="auto"/>
            <w:noWrap/>
            <w:vAlign w:val="center"/>
            <w:hideMark/>
          </w:tcPr>
          <w:p w14:paraId="4D453071"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38,25</w:t>
            </w:r>
          </w:p>
        </w:tc>
        <w:tc>
          <w:tcPr>
            <w:tcW w:w="1276" w:type="dxa"/>
            <w:tcBorders>
              <w:top w:val="nil"/>
              <w:left w:val="nil"/>
              <w:bottom w:val="single" w:sz="4" w:space="0" w:color="auto"/>
              <w:right w:val="single" w:sz="4" w:space="0" w:color="auto"/>
            </w:tcBorders>
            <w:shd w:val="clear" w:color="auto" w:fill="auto"/>
            <w:noWrap/>
            <w:vAlign w:val="center"/>
            <w:hideMark/>
          </w:tcPr>
          <w:p w14:paraId="726041A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26,89</w:t>
            </w:r>
          </w:p>
        </w:tc>
        <w:tc>
          <w:tcPr>
            <w:tcW w:w="567" w:type="dxa"/>
            <w:tcBorders>
              <w:top w:val="nil"/>
              <w:left w:val="nil"/>
              <w:bottom w:val="single" w:sz="4" w:space="0" w:color="auto"/>
              <w:right w:val="single" w:sz="4" w:space="0" w:color="auto"/>
            </w:tcBorders>
            <w:shd w:val="clear" w:color="auto" w:fill="auto"/>
            <w:noWrap/>
            <w:vAlign w:val="center"/>
            <w:hideMark/>
          </w:tcPr>
          <w:p w14:paraId="71C3A55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5,7</w:t>
            </w:r>
          </w:p>
        </w:tc>
        <w:tc>
          <w:tcPr>
            <w:tcW w:w="1134" w:type="dxa"/>
            <w:tcBorders>
              <w:top w:val="nil"/>
              <w:left w:val="nil"/>
              <w:bottom w:val="single" w:sz="4" w:space="0" w:color="auto"/>
              <w:right w:val="single" w:sz="4" w:space="0" w:color="auto"/>
            </w:tcBorders>
            <w:shd w:val="clear" w:color="auto" w:fill="auto"/>
            <w:noWrap/>
            <w:vAlign w:val="center"/>
            <w:hideMark/>
          </w:tcPr>
          <w:p w14:paraId="79ABF12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11,30</w:t>
            </w:r>
          </w:p>
        </w:tc>
        <w:tc>
          <w:tcPr>
            <w:tcW w:w="840" w:type="dxa"/>
            <w:tcBorders>
              <w:top w:val="nil"/>
              <w:left w:val="nil"/>
              <w:bottom w:val="single" w:sz="4" w:space="0" w:color="auto"/>
              <w:right w:val="single" w:sz="4" w:space="0" w:color="auto"/>
            </w:tcBorders>
            <w:shd w:val="clear" w:color="auto" w:fill="auto"/>
            <w:noWrap/>
            <w:vAlign w:val="center"/>
            <w:hideMark/>
          </w:tcPr>
          <w:p w14:paraId="544FFFB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78AE9A48"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1823E1B"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8</w:t>
            </w:r>
          </w:p>
        </w:tc>
        <w:tc>
          <w:tcPr>
            <w:tcW w:w="1681" w:type="dxa"/>
            <w:tcBorders>
              <w:top w:val="nil"/>
              <w:left w:val="nil"/>
              <w:bottom w:val="single" w:sz="4" w:space="0" w:color="auto"/>
              <w:right w:val="single" w:sz="4" w:space="0" w:color="auto"/>
            </w:tcBorders>
            <w:shd w:val="clear" w:color="auto" w:fill="auto"/>
            <w:noWrap/>
            <w:vAlign w:val="center"/>
            <w:hideMark/>
          </w:tcPr>
          <w:p w14:paraId="7C953A0B" w14:textId="0B060825"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Sefer</w:t>
            </w:r>
            <w:r w:rsidR="00E16F98" w:rsidRPr="000954C1">
              <w:rPr>
                <w:rFonts w:eastAsia="Times New Roman" w:cs="Times New Roman"/>
                <w:sz w:val="20"/>
                <w:szCs w:val="20"/>
                <w:lang w:val="en-US" w:eastAsia="tr-TR"/>
              </w:rPr>
              <w:t>i</w:t>
            </w:r>
            <w:r w:rsidRPr="000954C1">
              <w:rPr>
                <w:rFonts w:eastAsia="Times New Roman" w:cs="Times New Roman"/>
                <w:sz w:val="20"/>
                <w:szCs w:val="20"/>
                <w:lang w:val="en-US" w:eastAsia="tr-TR"/>
              </w:rPr>
              <w:t>hisar</w:t>
            </w:r>
            <w:proofErr w:type="spellEnd"/>
            <w:r w:rsidRPr="000954C1">
              <w:rPr>
                <w:rFonts w:eastAsia="Times New Roman" w:cs="Times New Roman"/>
                <w:sz w:val="20"/>
                <w:szCs w:val="20"/>
                <w:lang w:val="en-US" w:eastAsia="tr-TR"/>
              </w:rPr>
              <w:t>-İzmir</w:t>
            </w:r>
          </w:p>
        </w:tc>
        <w:tc>
          <w:tcPr>
            <w:tcW w:w="1040" w:type="dxa"/>
            <w:tcBorders>
              <w:top w:val="nil"/>
              <w:left w:val="nil"/>
              <w:bottom w:val="single" w:sz="4" w:space="0" w:color="auto"/>
              <w:right w:val="single" w:sz="4" w:space="0" w:color="auto"/>
            </w:tcBorders>
            <w:shd w:val="clear" w:color="auto" w:fill="auto"/>
            <w:noWrap/>
            <w:vAlign w:val="center"/>
            <w:hideMark/>
          </w:tcPr>
          <w:p w14:paraId="03E0A698"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17.04.2003</w:t>
            </w:r>
          </w:p>
        </w:tc>
        <w:tc>
          <w:tcPr>
            <w:tcW w:w="1049" w:type="dxa"/>
            <w:tcBorders>
              <w:top w:val="nil"/>
              <w:left w:val="nil"/>
              <w:bottom w:val="single" w:sz="4" w:space="0" w:color="auto"/>
              <w:right w:val="single" w:sz="4" w:space="0" w:color="auto"/>
            </w:tcBorders>
            <w:shd w:val="clear" w:color="auto" w:fill="auto"/>
            <w:noWrap/>
            <w:vAlign w:val="center"/>
            <w:hideMark/>
          </w:tcPr>
          <w:p w14:paraId="5C63D821"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38,16</w:t>
            </w:r>
          </w:p>
        </w:tc>
        <w:tc>
          <w:tcPr>
            <w:tcW w:w="1276" w:type="dxa"/>
            <w:tcBorders>
              <w:top w:val="nil"/>
              <w:left w:val="nil"/>
              <w:bottom w:val="single" w:sz="4" w:space="0" w:color="auto"/>
              <w:right w:val="single" w:sz="4" w:space="0" w:color="auto"/>
            </w:tcBorders>
            <w:shd w:val="clear" w:color="auto" w:fill="auto"/>
            <w:noWrap/>
            <w:vAlign w:val="center"/>
            <w:hideMark/>
          </w:tcPr>
          <w:p w14:paraId="7D674BB1"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26,63</w:t>
            </w:r>
          </w:p>
        </w:tc>
        <w:tc>
          <w:tcPr>
            <w:tcW w:w="567" w:type="dxa"/>
            <w:tcBorders>
              <w:top w:val="nil"/>
              <w:left w:val="nil"/>
              <w:bottom w:val="single" w:sz="4" w:space="0" w:color="auto"/>
              <w:right w:val="single" w:sz="4" w:space="0" w:color="auto"/>
            </w:tcBorders>
            <w:shd w:val="clear" w:color="auto" w:fill="auto"/>
            <w:noWrap/>
            <w:vAlign w:val="center"/>
            <w:hideMark/>
          </w:tcPr>
          <w:p w14:paraId="7ECFC01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5,2</w:t>
            </w:r>
          </w:p>
        </w:tc>
        <w:tc>
          <w:tcPr>
            <w:tcW w:w="1134" w:type="dxa"/>
            <w:tcBorders>
              <w:top w:val="nil"/>
              <w:left w:val="nil"/>
              <w:bottom w:val="single" w:sz="4" w:space="0" w:color="auto"/>
              <w:right w:val="single" w:sz="4" w:space="0" w:color="auto"/>
            </w:tcBorders>
            <w:shd w:val="clear" w:color="auto" w:fill="auto"/>
            <w:noWrap/>
            <w:vAlign w:val="center"/>
            <w:hideMark/>
          </w:tcPr>
          <w:p w14:paraId="0309C0E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11,50</w:t>
            </w:r>
          </w:p>
        </w:tc>
        <w:tc>
          <w:tcPr>
            <w:tcW w:w="840" w:type="dxa"/>
            <w:tcBorders>
              <w:top w:val="nil"/>
              <w:left w:val="nil"/>
              <w:bottom w:val="single" w:sz="4" w:space="0" w:color="auto"/>
              <w:right w:val="single" w:sz="4" w:space="0" w:color="auto"/>
            </w:tcBorders>
            <w:shd w:val="clear" w:color="auto" w:fill="auto"/>
            <w:noWrap/>
            <w:vAlign w:val="center"/>
            <w:hideMark/>
          </w:tcPr>
          <w:p w14:paraId="283AF3F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47E80282"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D61B28B"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9</w:t>
            </w:r>
          </w:p>
        </w:tc>
        <w:tc>
          <w:tcPr>
            <w:tcW w:w="1681" w:type="dxa"/>
            <w:tcBorders>
              <w:top w:val="nil"/>
              <w:left w:val="nil"/>
              <w:bottom w:val="single" w:sz="4" w:space="0" w:color="auto"/>
              <w:right w:val="single" w:sz="4" w:space="0" w:color="auto"/>
            </w:tcBorders>
            <w:shd w:val="clear" w:color="auto" w:fill="auto"/>
            <w:noWrap/>
            <w:vAlign w:val="center"/>
            <w:hideMark/>
          </w:tcPr>
          <w:p w14:paraId="080B580A" w14:textId="437CECBA"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Buldan-Denizli</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363D2D6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23.07.2003</w:t>
            </w:r>
          </w:p>
        </w:tc>
        <w:tc>
          <w:tcPr>
            <w:tcW w:w="1049" w:type="dxa"/>
            <w:tcBorders>
              <w:top w:val="nil"/>
              <w:left w:val="nil"/>
              <w:bottom w:val="single" w:sz="4" w:space="0" w:color="auto"/>
              <w:right w:val="single" w:sz="4" w:space="0" w:color="auto"/>
            </w:tcBorders>
            <w:shd w:val="clear" w:color="auto" w:fill="auto"/>
            <w:noWrap/>
            <w:vAlign w:val="center"/>
            <w:hideMark/>
          </w:tcPr>
          <w:p w14:paraId="6404BED5"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38,05</w:t>
            </w:r>
          </w:p>
        </w:tc>
        <w:tc>
          <w:tcPr>
            <w:tcW w:w="1276" w:type="dxa"/>
            <w:tcBorders>
              <w:top w:val="nil"/>
              <w:left w:val="nil"/>
              <w:bottom w:val="single" w:sz="4" w:space="0" w:color="auto"/>
              <w:right w:val="single" w:sz="4" w:space="0" w:color="auto"/>
            </w:tcBorders>
            <w:shd w:val="clear" w:color="auto" w:fill="auto"/>
            <w:noWrap/>
            <w:vAlign w:val="center"/>
            <w:hideMark/>
          </w:tcPr>
          <w:p w14:paraId="2519E47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28,89</w:t>
            </w:r>
          </w:p>
        </w:tc>
        <w:tc>
          <w:tcPr>
            <w:tcW w:w="567" w:type="dxa"/>
            <w:tcBorders>
              <w:top w:val="nil"/>
              <w:left w:val="nil"/>
              <w:bottom w:val="single" w:sz="4" w:space="0" w:color="auto"/>
              <w:right w:val="single" w:sz="4" w:space="0" w:color="auto"/>
            </w:tcBorders>
            <w:shd w:val="clear" w:color="auto" w:fill="auto"/>
            <w:noWrap/>
            <w:vAlign w:val="center"/>
            <w:hideMark/>
          </w:tcPr>
          <w:p w14:paraId="6D5EA96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5,3</w:t>
            </w:r>
          </w:p>
        </w:tc>
        <w:tc>
          <w:tcPr>
            <w:tcW w:w="1134" w:type="dxa"/>
            <w:tcBorders>
              <w:top w:val="nil"/>
              <w:left w:val="nil"/>
              <w:bottom w:val="single" w:sz="4" w:space="0" w:color="auto"/>
              <w:right w:val="single" w:sz="4" w:space="0" w:color="auto"/>
            </w:tcBorders>
            <w:shd w:val="clear" w:color="auto" w:fill="auto"/>
            <w:noWrap/>
            <w:vAlign w:val="center"/>
            <w:hideMark/>
          </w:tcPr>
          <w:p w14:paraId="6396D8F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28,30</w:t>
            </w:r>
          </w:p>
        </w:tc>
        <w:tc>
          <w:tcPr>
            <w:tcW w:w="840" w:type="dxa"/>
            <w:tcBorders>
              <w:top w:val="nil"/>
              <w:left w:val="nil"/>
              <w:bottom w:val="single" w:sz="4" w:space="0" w:color="auto"/>
              <w:right w:val="single" w:sz="4" w:space="0" w:color="auto"/>
            </w:tcBorders>
            <w:shd w:val="clear" w:color="auto" w:fill="auto"/>
            <w:noWrap/>
            <w:vAlign w:val="center"/>
            <w:hideMark/>
          </w:tcPr>
          <w:p w14:paraId="2D0F882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6</w:t>
            </w:r>
          </w:p>
        </w:tc>
      </w:tr>
      <w:tr w:rsidR="000954C1" w:rsidRPr="000954C1" w14:paraId="2E51664F"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AB51F1A"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10</w:t>
            </w:r>
          </w:p>
        </w:tc>
        <w:tc>
          <w:tcPr>
            <w:tcW w:w="1681" w:type="dxa"/>
            <w:tcBorders>
              <w:top w:val="nil"/>
              <w:left w:val="nil"/>
              <w:bottom w:val="single" w:sz="4" w:space="0" w:color="auto"/>
              <w:right w:val="single" w:sz="4" w:space="0" w:color="auto"/>
            </w:tcBorders>
            <w:shd w:val="clear" w:color="auto" w:fill="auto"/>
            <w:noWrap/>
            <w:vAlign w:val="center"/>
            <w:hideMark/>
          </w:tcPr>
          <w:p w14:paraId="0176F52D" w14:textId="4CD4EFAA"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Buldan-Denizli</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4BA872D3"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26.07.2003</w:t>
            </w:r>
          </w:p>
        </w:tc>
        <w:tc>
          <w:tcPr>
            <w:tcW w:w="1049" w:type="dxa"/>
            <w:tcBorders>
              <w:top w:val="nil"/>
              <w:left w:val="nil"/>
              <w:bottom w:val="single" w:sz="4" w:space="0" w:color="auto"/>
              <w:right w:val="single" w:sz="4" w:space="0" w:color="auto"/>
            </w:tcBorders>
            <w:shd w:val="clear" w:color="auto" w:fill="auto"/>
            <w:noWrap/>
            <w:vAlign w:val="center"/>
            <w:hideMark/>
          </w:tcPr>
          <w:p w14:paraId="1849DA5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38,06</w:t>
            </w:r>
          </w:p>
        </w:tc>
        <w:tc>
          <w:tcPr>
            <w:tcW w:w="1276" w:type="dxa"/>
            <w:tcBorders>
              <w:top w:val="nil"/>
              <w:left w:val="nil"/>
              <w:bottom w:val="single" w:sz="4" w:space="0" w:color="auto"/>
              <w:right w:val="single" w:sz="4" w:space="0" w:color="auto"/>
            </w:tcBorders>
            <w:shd w:val="clear" w:color="auto" w:fill="auto"/>
            <w:noWrap/>
            <w:vAlign w:val="center"/>
            <w:hideMark/>
          </w:tcPr>
          <w:p w14:paraId="64498701"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28,91</w:t>
            </w:r>
          </w:p>
        </w:tc>
        <w:tc>
          <w:tcPr>
            <w:tcW w:w="567" w:type="dxa"/>
            <w:tcBorders>
              <w:top w:val="nil"/>
              <w:left w:val="nil"/>
              <w:bottom w:val="single" w:sz="4" w:space="0" w:color="auto"/>
              <w:right w:val="single" w:sz="4" w:space="0" w:color="auto"/>
            </w:tcBorders>
            <w:shd w:val="clear" w:color="auto" w:fill="auto"/>
            <w:noWrap/>
            <w:vAlign w:val="center"/>
            <w:hideMark/>
          </w:tcPr>
          <w:p w14:paraId="73CD1DE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5,4</w:t>
            </w:r>
          </w:p>
        </w:tc>
        <w:tc>
          <w:tcPr>
            <w:tcW w:w="1134" w:type="dxa"/>
            <w:tcBorders>
              <w:top w:val="nil"/>
              <w:left w:val="nil"/>
              <w:bottom w:val="single" w:sz="4" w:space="0" w:color="auto"/>
              <w:right w:val="single" w:sz="4" w:space="0" w:color="auto"/>
            </w:tcBorders>
            <w:shd w:val="clear" w:color="auto" w:fill="auto"/>
            <w:noWrap/>
            <w:vAlign w:val="center"/>
            <w:hideMark/>
          </w:tcPr>
          <w:p w14:paraId="1F023B3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21,30</w:t>
            </w:r>
          </w:p>
        </w:tc>
        <w:tc>
          <w:tcPr>
            <w:tcW w:w="840" w:type="dxa"/>
            <w:tcBorders>
              <w:top w:val="nil"/>
              <w:left w:val="nil"/>
              <w:bottom w:val="single" w:sz="4" w:space="0" w:color="auto"/>
              <w:right w:val="single" w:sz="4" w:space="0" w:color="auto"/>
            </w:tcBorders>
            <w:shd w:val="clear" w:color="auto" w:fill="auto"/>
            <w:noWrap/>
            <w:vAlign w:val="center"/>
            <w:hideMark/>
          </w:tcPr>
          <w:p w14:paraId="33A7255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6</w:t>
            </w:r>
          </w:p>
        </w:tc>
      </w:tr>
      <w:tr w:rsidR="000954C1" w:rsidRPr="000954C1" w14:paraId="4D087DD6"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3CEB267"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11</w:t>
            </w:r>
          </w:p>
        </w:tc>
        <w:tc>
          <w:tcPr>
            <w:tcW w:w="1681" w:type="dxa"/>
            <w:tcBorders>
              <w:top w:val="nil"/>
              <w:left w:val="nil"/>
              <w:bottom w:val="single" w:sz="4" w:space="0" w:color="auto"/>
              <w:right w:val="single" w:sz="4" w:space="0" w:color="auto"/>
            </w:tcBorders>
            <w:shd w:val="clear" w:color="auto" w:fill="auto"/>
            <w:noWrap/>
            <w:vAlign w:val="center"/>
            <w:hideMark/>
          </w:tcPr>
          <w:p w14:paraId="2B9EDAC2" w14:textId="0296FB27"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Gokova</w:t>
            </w:r>
            <w:proofErr w:type="spellEnd"/>
            <w:r w:rsidRPr="000954C1">
              <w:rPr>
                <w:rFonts w:eastAsia="Times New Roman" w:cs="Times New Roman"/>
                <w:sz w:val="20"/>
                <w:szCs w:val="20"/>
                <w:lang w:val="en-US" w:eastAsia="tr-TR"/>
              </w:rPr>
              <w:t>-Gulf</w:t>
            </w:r>
          </w:p>
        </w:tc>
        <w:tc>
          <w:tcPr>
            <w:tcW w:w="1040" w:type="dxa"/>
            <w:tcBorders>
              <w:top w:val="nil"/>
              <w:left w:val="nil"/>
              <w:bottom w:val="single" w:sz="4" w:space="0" w:color="auto"/>
              <w:right w:val="single" w:sz="4" w:space="0" w:color="auto"/>
            </w:tcBorders>
            <w:shd w:val="clear" w:color="auto" w:fill="auto"/>
            <w:noWrap/>
            <w:vAlign w:val="center"/>
            <w:hideMark/>
          </w:tcPr>
          <w:p w14:paraId="083B06F1" w14:textId="4883872C"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03.08.2004</w:t>
            </w:r>
          </w:p>
        </w:tc>
        <w:tc>
          <w:tcPr>
            <w:tcW w:w="1049" w:type="dxa"/>
            <w:tcBorders>
              <w:top w:val="nil"/>
              <w:left w:val="nil"/>
              <w:bottom w:val="single" w:sz="4" w:space="0" w:color="auto"/>
              <w:right w:val="single" w:sz="4" w:space="0" w:color="auto"/>
            </w:tcBorders>
            <w:shd w:val="clear" w:color="auto" w:fill="auto"/>
            <w:noWrap/>
            <w:vAlign w:val="center"/>
            <w:hideMark/>
          </w:tcPr>
          <w:p w14:paraId="5B86037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36,86</w:t>
            </w:r>
          </w:p>
        </w:tc>
        <w:tc>
          <w:tcPr>
            <w:tcW w:w="1276" w:type="dxa"/>
            <w:tcBorders>
              <w:top w:val="nil"/>
              <w:left w:val="nil"/>
              <w:bottom w:val="single" w:sz="4" w:space="0" w:color="auto"/>
              <w:right w:val="single" w:sz="4" w:space="0" w:color="auto"/>
            </w:tcBorders>
            <w:shd w:val="clear" w:color="auto" w:fill="auto"/>
            <w:noWrap/>
            <w:vAlign w:val="center"/>
            <w:hideMark/>
          </w:tcPr>
          <w:p w14:paraId="3F3F199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27,78</w:t>
            </w:r>
          </w:p>
        </w:tc>
        <w:tc>
          <w:tcPr>
            <w:tcW w:w="567" w:type="dxa"/>
            <w:tcBorders>
              <w:top w:val="nil"/>
              <w:left w:val="nil"/>
              <w:bottom w:val="single" w:sz="4" w:space="0" w:color="auto"/>
              <w:right w:val="single" w:sz="4" w:space="0" w:color="auto"/>
            </w:tcBorders>
            <w:shd w:val="clear" w:color="auto" w:fill="auto"/>
            <w:noWrap/>
            <w:vAlign w:val="center"/>
            <w:hideMark/>
          </w:tcPr>
          <w:p w14:paraId="72C55BE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5,2</w:t>
            </w:r>
          </w:p>
        </w:tc>
        <w:tc>
          <w:tcPr>
            <w:tcW w:w="1134" w:type="dxa"/>
            <w:tcBorders>
              <w:top w:val="nil"/>
              <w:left w:val="nil"/>
              <w:bottom w:val="single" w:sz="4" w:space="0" w:color="auto"/>
              <w:right w:val="single" w:sz="4" w:space="0" w:color="auto"/>
            </w:tcBorders>
            <w:shd w:val="clear" w:color="auto" w:fill="auto"/>
            <w:noWrap/>
            <w:vAlign w:val="center"/>
            <w:hideMark/>
          </w:tcPr>
          <w:p w14:paraId="18642AB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10,00</w:t>
            </w:r>
          </w:p>
        </w:tc>
        <w:tc>
          <w:tcPr>
            <w:tcW w:w="840" w:type="dxa"/>
            <w:tcBorders>
              <w:top w:val="nil"/>
              <w:left w:val="nil"/>
              <w:bottom w:val="single" w:sz="4" w:space="0" w:color="auto"/>
              <w:right w:val="single" w:sz="4" w:space="0" w:color="auto"/>
            </w:tcBorders>
            <w:shd w:val="clear" w:color="auto" w:fill="auto"/>
            <w:noWrap/>
            <w:vAlign w:val="center"/>
            <w:hideMark/>
          </w:tcPr>
          <w:p w14:paraId="55C6F74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0C3EEE95"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9D052EE"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12</w:t>
            </w:r>
          </w:p>
        </w:tc>
        <w:tc>
          <w:tcPr>
            <w:tcW w:w="1681" w:type="dxa"/>
            <w:tcBorders>
              <w:top w:val="nil"/>
              <w:left w:val="nil"/>
              <w:bottom w:val="single" w:sz="4" w:space="0" w:color="auto"/>
              <w:right w:val="single" w:sz="4" w:space="0" w:color="auto"/>
            </w:tcBorders>
            <w:shd w:val="clear" w:color="auto" w:fill="auto"/>
            <w:noWrap/>
            <w:vAlign w:val="center"/>
            <w:hideMark/>
          </w:tcPr>
          <w:p w14:paraId="280A6CA6" w14:textId="761360FA"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Bodrum-</w:t>
            </w:r>
            <w:proofErr w:type="spellStart"/>
            <w:r w:rsidRPr="000954C1">
              <w:rPr>
                <w:rFonts w:eastAsia="Times New Roman" w:cs="Times New Roman"/>
                <w:sz w:val="20"/>
                <w:szCs w:val="20"/>
                <w:lang w:val="en-US" w:eastAsia="tr-TR"/>
              </w:rPr>
              <w:t>Muğla</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32F6DD45" w14:textId="78E57960"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04.08.2004</w:t>
            </w:r>
          </w:p>
        </w:tc>
        <w:tc>
          <w:tcPr>
            <w:tcW w:w="1049" w:type="dxa"/>
            <w:tcBorders>
              <w:top w:val="nil"/>
              <w:left w:val="nil"/>
              <w:bottom w:val="single" w:sz="4" w:space="0" w:color="auto"/>
              <w:right w:val="single" w:sz="4" w:space="0" w:color="auto"/>
            </w:tcBorders>
            <w:shd w:val="clear" w:color="auto" w:fill="auto"/>
            <w:noWrap/>
            <w:vAlign w:val="center"/>
            <w:hideMark/>
          </w:tcPr>
          <w:p w14:paraId="4393660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36,84</w:t>
            </w:r>
          </w:p>
        </w:tc>
        <w:tc>
          <w:tcPr>
            <w:tcW w:w="1276" w:type="dxa"/>
            <w:tcBorders>
              <w:top w:val="nil"/>
              <w:left w:val="nil"/>
              <w:bottom w:val="single" w:sz="4" w:space="0" w:color="auto"/>
              <w:right w:val="single" w:sz="4" w:space="0" w:color="auto"/>
            </w:tcBorders>
            <w:shd w:val="clear" w:color="auto" w:fill="auto"/>
            <w:noWrap/>
            <w:vAlign w:val="center"/>
            <w:hideMark/>
          </w:tcPr>
          <w:p w14:paraId="08BECD3A"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27,77</w:t>
            </w:r>
          </w:p>
        </w:tc>
        <w:tc>
          <w:tcPr>
            <w:tcW w:w="567" w:type="dxa"/>
            <w:tcBorders>
              <w:top w:val="nil"/>
              <w:left w:val="nil"/>
              <w:bottom w:val="single" w:sz="4" w:space="0" w:color="auto"/>
              <w:right w:val="single" w:sz="4" w:space="0" w:color="auto"/>
            </w:tcBorders>
            <w:shd w:val="clear" w:color="auto" w:fill="auto"/>
            <w:noWrap/>
            <w:vAlign w:val="center"/>
            <w:hideMark/>
          </w:tcPr>
          <w:p w14:paraId="1AD3EF0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5,5</w:t>
            </w:r>
          </w:p>
        </w:tc>
        <w:tc>
          <w:tcPr>
            <w:tcW w:w="1134" w:type="dxa"/>
            <w:tcBorders>
              <w:top w:val="nil"/>
              <w:left w:val="nil"/>
              <w:bottom w:val="single" w:sz="4" w:space="0" w:color="auto"/>
              <w:right w:val="single" w:sz="4" w:space="0" w:color="auto"/>
            </w:tcBorders>
            <w:shd w:val="clear" w:color="auto" w:fill="auto"/>
            <w:noWrap/>
            <w:vAlign w:val="center"/>
            <w:hideMark/>
          </w:tcPr>
          <w:p w14:paraId="4F84D76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10,00</w:t>
            </w:r>
          </w:p>
        </w:tc>
        <w:tc>
          <w:tcPr>
            <w:tcW w:w="840" w:type="dxa"/>
            <w:tcBorders>
              <w:top w:val="nil"/>
              <w:left w:val="nil"/>
              <w:bottom w:val="single" w:sz="4" w:space="0" w:color="auto"/>
              <w:right w:val="single" w:sz="4" w:space="0" w:color="auto"/>
            </w:tcBorders>
            <w:shd w:val="clear" w:color="auto" w:fill="auto"/>
            <w:noWrap/>
            <w:vAlign w:val="center"/>
            <w:hideMark/>
          </w:tcPr>
          <w:p w14:paraId="36483C5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6EC6BFA1" w14:textId="77777777" w:rsidTr="00A61D58">
        <w:trPr>
          <w:trHeight w:val="224"/>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55386F8"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13</w:t>
            </w:r>
          </w:p>
        </w:tc>
        <w:tc>
          <w:tcPr>
            <w:tcW w:w="1681" w:type="dxa"/>
            <w:tcBorders>
              <w:top w:val="nil"/>
              <w:left w:val="nil"/>
              <w:bottom w:val="single" w:sz="4" w:space="0" w:color="auto"/>
              <w:right w:val="single" w:sz="4" w:space="0" w:color="auto"/>
            </w:tcBorders>
            <w:shd w:val="clear" w:color="auto" w:fill="auto"/>
            <w:noWrap/>
            <w:vAlign w:val="center"/>
            <w:hideMark/>
          </w:tcPr>
          <w:p w14:paraId="506DC4D0" w14:textId="1996FBCC"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Gokova</w:t>
            </w:r>
            <w:proofErr w:type="spellEnd"/>
            <w:r w:rsidRPr="000954C1">
              <w:rPr>
                <w:rFonts w:eastAsia="Times New Roman" w:cs="Times New Roman"/>
                <w:sz w:val="20"/>
                <w:szCs w:val="20"/>
                <w:lang w:val="en-US" w:eastAsia="tr-TR"/>
              </w:rPr>
              <w:t>-Gulf</w:t>
            </w:r>
          </w:p>
        </w:tc>
        <w:tc>
          <w:tcPr>
            <w:tcW w:w="1040" w:type="dxa"/>
            <w:tcBorders>
              <w:top w:val="nil"/>
              <w:left w:val="nil"/>
              <w:bottom w:val="single" w:sz="4" w:space="0" w:color="auto"/>
              <w:right w:val="single" w:sz="4" w:space="0" w:color="auto"/>
            </w:tcBorders>
            <w:shd w:val="clear" w:color="auto" w:fill="auto"/>
            <w:noWrap/>
            <w:vAlign w:val="center"/>
            <w:hideMark/>
          </w:tcPr>
          <w:p w14:paraId="1E244EE9" w14:textId="166E424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04.08.2004</w:t>
            </w:r>
          </w:p>
        </w:tc>
        <w:tc>
          <w:tcPr>
            <w:tcW w:w="1049" w:type="dxa"/>
            <w:tcBorders>
              <w:top w:val="nil"/>
              <w:left w:val="nil"/>
              <w:bottom w:val="single" w:sz="4" w:space="0" w:color="auto"/>
              <w:right w:val="single" w:sz="4" w:space="0" w:color="auto"/>
            </w:tcBorders>
            <w:shd w:val="clear" w:color="auto" w:fill="auto"/>
            <w:noWrap/>
            <w:vAlign w:val="center"/>
            <w:hideMark/>
          </w:tcPr>
          <w:p w14:paraId="71F3F0F8"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36,83</w:t>
            </w:r>
          </w:p>
        </w:tc>
        <w:tc>
          <w:tcPr>
            <w:tcW w:w="1276" w:type="dxa"/>
            <w:tcBorders>
              <w:top w:val="nil"/>
              <w:left w:val="nil"/>
              <w:bottom w:val="single" w:sz="4" w:space="0" w:color="auto"/>
              <w:right w:val="single" w:sz="4" w:space="0" w:color="auto"/>
            </w:tcBorders>
            <w:shd w:val="clear" w:color="auto" w:fill="auto"/>
            <w:noWrap/>
            <w:vAlign w:val="center"/>
            <w:hideMark/>
          </w:tcPr>
          <w:p w14:paraId="3670605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27,82</w:t>
            </w:r>
          </w:p>
        </w:tc>
        <w:tc>
          <w:tcPr>
            <w:tcW w:w="567" w:type="dxa"/>
            <w:tcBorders>
              <w:top w:val="nil"/>
              <w:left w:val="nil"/>
              <w:bottom w:val="single" w:sz="4" w:space="0" w:color="auto"/>
              <w:right w:val="single" w:sz="4" w:space="0" w:color="auto"/>
            </w:tcBorders>
            <w:shd w:val="clear" w:color="auto" w:fill="auto"/>
            <w:noWrap/>
            <w:vAlign w:val="center"/>
            <w:hideMark/>
          </w:tcPr>
          <w:p w14:paraId="102DBCC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5,2</w:t>
            </w:r>
          </w:p>
        </w:tc>
        <w:tc>
          <w:tcPr>
            <w:tcW w:w="1134" w:type="dxa"/>
            <w:tcBorders>
              <w:top w:val="nil"/>
              <w:left w:val="nil"/>
              <w:bottom w:val="single" w:sz="4" w:space="0" w:color="auto"/>
              <w:right w:val="single" w:sz="4" w:space="0" w:color="auto"/>
            </w:tcBorders>
            <w:shd w:val="clear" w:color="auto" w:fill="auto"/>
            <w:noWrap/>
            <w:vAlign w:val="center"/>
            <w:hideMark/>
          </w:tcPr>
          <w:p w14:paraId="45B10FB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10,00</w:t>
            </w:r>
          </w:p>
        </w:tc>
        <w:tc>
          <w:tcPr>
            <w:tcW w:w="840" w:type="dxa"/>
            <w:tcBorders>
              <w:top w:val="nil"/>
              <w:left w:val="nil"/>
              <w:bottom w:val="single" w:sz="4" w:space="0" w:color="auto"/>
              <w:right w:val="single" w:sz="4" w:space="0" w:color="auto"/>
            </w:tcBorders>
            <w:shd w:val="clear" w:color="auto" w:fill="auto"/>
            <w:noWrap/>
            <w:vAlign w:val="center"/>
            <w:hideMark/>
          </w:tcPr>
          <w:p w14:paraId="34B3BF8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71B2A5EA"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9B288C9"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14</w:t>
            </w:r>
          </w:p>
        </w:tc>
        <w:tc>
          <w:tcPr>
            <w:tcW w:w="1681" w:type="dxa"/>
            <w:tcBorders>
              <w:top w:val="nil"/>
              <w:left w:val="nil"/>
              <w:bottom w:val="single" w:sz="4" w:space="0" w:color="auto"/>
              <w:right w:val="single" w:sz="4" w:space="0" w:color="auto"/>
            </w:tcBorders>
            <w:shd w:val="clear" w:color="auto" w:fill="auto"/>
            <w:noWrap/>
            <w:vAlign w:val="center"/>
            <w:hideMark/>
          </w:tcPr>
          <w:p w14:paraId="31366641" w14:textId="3A9D0889"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Bodrum-</w:t>
            </w:r>
            <w:proofErr w:type="spellStart"/>
            <w:r w:rsidRPr="000954C1">
              <w:rPr>
                <w:rFonts w:eastAsia="Times New Roman" w:cs="Times New Roman"/>
                <w:sz w:val="20"/>
                <w:szCs w:val="20"/>
                <w:lang w:val="en-US" w:eastAsia="tr-TR"/>
              </w:rPr>
              <w:t>Muğla</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0EFDA049" w14:textId="1EF14E93"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04.08.2004</w:t>
            </w:r>
          </w:p>
        </w:tc>
        <w:tc>
          <w:tcPr>
            <w:tcW w:w="1049" w:type="dxa"/>
            <w:tcBorders>
              <w:top w:val="nil"/>
              <w:left w:val="nil"/>
              <w:bottom w:val="single" w:sz="4" w:space="0" w:color="auto"/>
              <w:right w:val="single" w:sz="4" w:space="0" w:color="auto"/>
            </w:tcBorders>
            <w:shd w:val="clear" w:color="auto" w:fill="auto"/>
            <w:noWrap/>
            <w:vAlign w:val="center"/>
            <w:hideMark/>
          </w:tcPr>
          <w:p w14:paraId="32FACDB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36,86</w:t>
            </w:r>
          </w:p>
        </w:tc>
        <w:tc>
          <w:tcPr>
            <w:tcW w:w="1276" w:type="dxa"/>
            <w:tcBorders>
              <w:top w:val="nil"/>
              <w:left w:val="nil"/>
              <w:bottom w:val="single" w:sz="4" w:space="0" w:color="auto"/>
              <w:right w:val="single" w:sz="4" w:space="0" w:color="auto"/>
            </w:tcBorders>
            <w:shd w:val="clear" w:color="auto" w:fill="auto"/>
            <w:noWrap/>
            <w:vAlign w:val="center"/>
            <w:hideMark/>
          </w:tcPr>
          <w:p w14:paraId="5AB38E7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27,81</w:t>
            </w:r>
          </w:p>
        </w:tc>
        <w:tc>
          <w:tcPr>
            <w:tcW w:w="567" w:type="dxa"/>
            <w:tcBorders>
              <w:top w:val="nil"/>
              <w:left w:val="nil"/>
              <w:bottom w:val="single" w:sz="4" w:space="0" w:color="auto"/>
              <w:right w:val="single" w:sz="4" w:space="0" w:color="auto"/>
            </w:tcBorders>
            <w:shd w:val="clear" w:color="auto" w:fill="auto"/>
            <w:noWrap/>
            <w:vAlign w:val="center"/>
            <w:hideMark/>
          </w:tcPr>
          <w:p w14:paraId="356E78E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5,2</w:t>
            </w:r>
          </w:p>
        </w:tc>
        <w:tc>
          <w:tcPr>
            <w:tcW w:w="1134" w:type="dxa"/>
            <w:tcBorders>
              <w:top w:val="nil"/>
              <w:left w:val="nil"/>
              <w:bottom w:val="single" w:sz="4" w:space="0" w:color="auto"/>
              <w:right w:val="single" w:sz="4" w:space="0" w:color="auto"/>
            </w:tcBorders>
            <w:shd w:val="clear" w:color="auto" w:fill="auto"/>
            <w:noWrap/>
            <w:vAlign w:val="center"/>
            <w:hideMark/>
          </w:tcPr>
          <w:p w14:paraId="6A2001F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12,90</w:t>
            </w:r>
          </w:p>
        </w:tc>
        <w:tc>
          <w:tcPr>
            <w:tcW w:w="840" w:type="dxa"/>
            <w:tcBorders>
              <w:top w:val="nil"/>
              <w:left w:val="nil"/>
              <w:bottom w:val="single" w:sz="4" w:space="0" w:color="auto"/>
              <w:right w:val="single" w:sz="4" w:space="0" w:color="auto"/>
            </w:tcBorders>
            <w:shd w:val="clear" w:color="auto" w:fill="auto"/>
            <w:noWrap/>
            <w:vAlign w:val="center"/>
            <w:hideMark/>
          </w:tcPr>
          <w:p w14:paraId="68F748D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051264BA"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D93F03A"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15</w:t>
            </w:r>
          </w:p>
        </w:tc>
        <w:tc>
          <w:tcPr>
            <w:tcW w:w="1681" w:type="dxa"/>
            <w:tcBorders>
              <w:top w:val="nil"/>
              <w:left w:val="nil"/>
              <w:bottom w:val="single" w:sz="4" w:space="0" w:color="auto"/>
              <w:right w:val="single" w:sz="4" w:space="0" w:color="auto"/>
            </w:tcBorders>
            <w:shd w:val="clear" w:color="auto" w:fill="auto"/>
            <w:noWrap/>
            <w:vAlign w:val="center"/>
            <w:hideMark/>
          </w:tcPr>
          <w:p w14:paraId="5F73C267" w14:textId="54DB2E7E"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Bodrum-</w:t>
            </w:r>
            <w:proofErr w:type="spellStart"/>
            <w:r w:rsidRPr="000954C1">
              <w:rPr>
                <w:rFonts w:eastAsia="Times New Roman" w:cs="Times New Roman"/>
                <w:sz w:val="20"/>
                <w:szCs w:val="20"/>
                <w:lang w:val="en-US" w:eastAsia="tr-TR"/>
              </w:rPr>
              <w:t>Muğla</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76F5C175" w14:textId="2A601A65"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04.08.2004</w:t>
            </w:r>
          </w:p>
        </w:tc>
        <w:tc>
          <w:tcPr>
            <w:tcW w:w="1049" w:type="dxa"/>
            <w:tcBorders>
              <w:top w:val="nil"/>
              <w:left w:val="nil"/>
              <w:bottom w:val="single" w:sz="4" w:space="0" w:color="auto"/>
              <w:right w:val="single" w:sz="4" w:space="0" w:color="auto"/>
            </w:tcBorders>
            <w:shd w:val="clear" w:color="auto" w:fill="auto"/>
            <w:noWrap/>
            <w:vAlign w:val="center"/>
            <w:hideMark/>
          </w:tcPr>
          <w:p w14:paraId="4D0B8FC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36,84</w:t>
            </w:r>
          </w:p>
        </w:tc>
        <w:tc>
          <w:tcPr>
            <w:tcW w:w="1276" w:type="dxa"/>
            <w:tcBorders>
              <w:top w:val="nil"/>
              <w:left w:val="nil"/>
              <w:bottom w:val="single" w:sz="4" w:space="0" w:color="auto"/>
              <w:right w:val="single" w:sz="4" w:space="0" w:color="auto"/>
            </w:tcBorders>
            <w:shd w:val="clear" w:color="auto" w:fill="auto"/>
            <w:noWrap/>
            <w:vAlign w:val="center"/>
            <w:hideMark/>
          </w:tcPr>
          <w:p w14:paraId="4F96A878"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27,78</w:t>
            </w:r>
          </w:p>
        </w:tc>
        <w:tc>
          <w:tcPr>
            <w:tcW w:w="567" w:type="dxa"/>
            <w:tcBorders>
              <w:top w:val="nil"/>
              <w:left w:val="nil"/>
              <w:bottom w:val="single" w:sz="4" w:space="0" w:color="auto"/>
              <w:right w:val="single" w:sz="4" w:space="0" w:color="auto"/>
            </w:tcBorders>
            <w:shd w:val="clear" w:color="auto" w:fill="auto"/>
            <w:noWrap/>
            <w:vAlign w:val="center"/>
            <w:hideMark/>
          </w:tcPr>
          <w:p w14:paraId="61C9D6C3"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5,3</w:t>
            </w:r>
          </w:p>
        </w:tc>
        <w:tc>
          <w:tcPr>
            <w:tcW w:w="1134" w:type="dxa"/>
            <w:tcBorders>
              <w:top w:val="nil"/>
              <w:left w:val="nil"/>
              <w:bottom w:val="single" w:sz="4" w:space="0" w:color="auto"/>
              <w:right w:val="single" w:sz="4" w:space="0" w:color="auto"/>
            </w:tcBorders>
            <w:shd w:val="clear" w:color="auto" w:fill="auto"/>
            <w:noWrap/>
            <w:vAlign w:val="center"/>
            <w:hideMark/>
          </w:tcPr>
          <w:p w14:paraId="1740E88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10,00</w:t>
            </w:r>
          </w:p>
        </w:tc>
        <w:tc>
          <w:tcPr>
            <w:tcW w:w="840" w:type="dxa"/>
            <w:tcBorders>
              <w:top w:val="nil"/>
              <w:left w:val="nil"/>
              <w:bottom w:val="single" w:sz="4" w:space="0" w:color="auto"/>
              <w:right w:val="single" w:sz="4" w:space="0" w:color="auto"/>
            </w:tcBorders>
            <w:shd w:val="clear" w:color="auto" w:fill="auto"/>
            <w:noWrap/>
            <w:vAlign w:val="center"/>
            <w:hideMark/>
          </w:tcPr>
          <w:p w14:paraId="30248BC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6D2260C2"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DAEDF7B"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16</w:t>
            </w:r>
          </w:p>
        </w:tc>
        <w:tc>
          <w:tcPr>
            <w:tcW w:w="1681" w:type="dxa"/>
            <w:tcBorders>
              <w:top w:val="nil"/>
              <w:left w:val="nil"/>
              <w:bottom w:val="single" w:sz="4" w:space="0" w:color="auto"/>
              <w:right w:val="single" w:sz="4" w:space="0" w:color="auto"/>
            </w:tcBorders>
            <w:shd w:val="clear" w:color="auto" w:fill="auto"/>
            <w:noWrap/>
            <w:vAlign w:val="center"/>
            <w:hideMark/>
          </w:tcPr>
          <w:p w14:paraId="28C03618" w14:textId="6FB97759"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Ula-</w:t>
            </w:r>
            <w:proofErr w:type="spellStart"/>
            <w:r w:rsidRPr="000954C1">
              <w:rPr>
                <w:rFonts w:eastAsia="Times New Roman" w:cs="Times New Roman"/>
                <w:sz w:val="20"/>
                <w:szCs w:val="20"/>
                <w:lang w:val="en-US" w:eastAsia="tr-TR"/>
              </w:rPr>
              <w:t>Muğla</w:t>
            </w:r>
            <w:proofErr w:type="spellEnd"/>
          </w:p>
        </w:tc>
        <w:tc>
          <w:tcPr>
            <w:tcW w:w="1040" w:type="dxa"/>
            <w:tcBorders>
              <w:top w:val="nil"/>
              <w:left w:val="nil"/>
              <w:bottom w:val="single" w:sz="4" w:space="0" w:color="auto"/>
              <w:right w:val="single" w:sz="4" w:space="0" w:color="auto"/>
            </w:tcBorders>
            <w:shd w:val="clear" w:color="auto" w:fill="auto"/>
            <w:noWrap/>
            <w:vAlign w:val="center"/>
            <w:hideMark/>
          </w:tcPr>
          <w:p w14:paraId="70E80A5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20.12.2004</w:t>
            </w:r>
          </w:p>
        </w:tc>
        <w:tc>
          <w:tcPr>
            <w:tcW w:w="1049" w:type="dxa"/>
            <w:tcBorders>
              <w:top w:val="nil"/>
              <w:left w:val="nil"/>
              <w:bottom w:val="single" w:sz="4" w:space="0" w:color="auto"/>
              <w:right w:val="single" w:sz="4" w:space="0" w:color="auto"/>
            </w:tcBorders>
            <w:shd w:val="clear" w:color="auto" w:fill="auto"/>
            <w:noWrap/>
            <w:vAlign w:val="center"/>
            <w:hideMark/>
          </w:tcPr>
          <w:p w14:paraId="10E17A5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37,01</w:t>
            </w:r>
          </w:p>
        </w:tc>
        <w:tc>
          <w:tcPr>
            <w:tcW w:w="1276" w:type="dxa"/>
            <w:tcBorders>
              <w:top w:val="nil"/>
              <w:left w:val="nil"/>
              <w:bottom w:val="single" w:sz="4" w:space="0" w:color="auto"/>
              <w:right w:val="single" w:sz="4" w:space="0" w:color="auto"/>
            </w:tcBorders>
            <w:shd w:val="clear" w:color="auto" w:fill="auto"/>
            <w:noWrap/>
            <w:vAlign w:val="center"/>
            <w:hideMark/>
          </w:tcPr>
          <w:p w14:paraId="351FCB4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28,28</w:t>
            </w:r>
          </w:p>
        </w:tc>
        <w:tc>
          <w:tcPr>
            <w:tcW w:w="567" w:type="dxa"/>
            <w:tcBorders>
              <w:top w:val="nil"/>
              <w:left w:val="nil"/>
              <w:bottom w:val="single" w:sz="4" w:space="0" w:color="auto"/>
              <w:right w:val="single" w:sz="4" w:space="0" w:color="auto"/>
            </w:tcBorders>
            <w:shd w:val="clear" w:color="auto" w:fill="auto"/>
            <w:noWrap/>
            <w:vAlign w:val="center"/>
            <w:hideMark/>
          </w:tcPr>
          <w:p w14:paraId="1FC7257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5,3</w:t>
            </w:r>
          </w:p>
        </w:tc>
        <w:tc>
          <w:tcPr>
            <w:tcW w:w="1134" w:type="dxa"/>
            <w:tcBorders>
              <w:top w:val="nil"/>
              <w:left w:val="nil"/>
              <w:bottom w:val="single" w:sz="4" w:space="0" w:color="auto"/>
              <w:right w:val="single" w:sz="4" w:space="0" w:color="auto"/>
            </w:tcBorders>
            <w:shd w:val="clear" w:color="auto" w:fill="auto"/>
            <w:noWrap/>
            <w:vAlign w:val="center"/>
            <w:hideMark/>
          </w:tcPr>
          <w:p w14:paraId="35F3F2B5"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12,50</w:t>
            </w:r>
          </w:p>
        </w:tc>
        <w:tc>
          <w:tcPr>
            <w:tcW w:w="840" w:type="dxa"/>
            <w:tcBorders>
              <w:top w:val="nil"/>
              <w:left w:val="nil"/>
              <w:bottom w:val="single" w:sz="4" w:space="0" w:color="auto"/>
              <w:right w:val="single" w:sz="4" w:space="0" w:color="auto"/>
            </w:tcBorders>
            <w:shd w:val="clear" w:color="auto" w:fill="auto"/>
            <w:noWrap/>
            <w:vAlign w:val="center"/>
            <w:hideMark/>
          </w:tcPr>
          <w:p w14:paraId="6AB2EC5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6</w:t>
            </w:r>
          </w:p>
        </w:tc>
      </w:tr>
      <w:tr w:rsidR="000954C1" w:rsidRPr="000954C1" w14:paraId="38E2F3BF"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AE6DC6D"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17</w:t>
            </w:r>
          </w:p>
        </w:tc>
        <w:tc>
          <w:tcPr>
            <w:tcW w:w="1681" w:type="dxa"/>
            <w:tcBorders>
              <w:top w:val="nil"/>
              <w:left w:val="nil"/>
              <w:bottom w:val="single" w:sz="4" w:space="0" w:color="auto"/>
              <w:right w:val="single" w:sz="4" w:space="0" w:color="auto"/>
            </w:tcBorders>
            <w:shd w:val="clear" w:color="auto" w:fill="auto"/>
            <w:noWrap/>
            <w:vAlign w:val="center"/>
            <w:hideMark/>
          </w:tcPr>
          <w:p w14:paraId="65A31571" w14:textId="4B51C21E"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Gokova</w:t>
            </w:r>
            <w:proofErr w:type="spellEnd"/>
            <w:r w:rsidRPr="000954C1">
              <w:rPr>
                <w:rFonts w:eastAsia="Times New Roman" w:cs="Times New Roman"/>
                <w:sz w:val="20"/>
                <w:szCs w:val="20"/>
                <w:lang w:val="en-US" w:eastAsia="tr-TR"/>
              </w:rPr>
              <w:t>-Gulf</w:t>
            </w:r>
          </w:p>
        </w:tc>
        <w:tc>
          <w:tcPr>
            <w:tcW w:w="1040" w:type="dxa"/>
            <w:tcBorders>
              <w:top w:val="nil"/>
              <w:left w:val="nil"/>
              <w:bottom w:val="single" w:sz="4" w:space="0" w:color="auto"/>
              <w:right w:val="single" w:sz="4" w:space="0" w:color="auto"/>
            </w:tcBorders>
            <w:shd w:val="clear" w:color="auto" w:fill="auto"/>
            <w:noWrap/>
            <w:vAlign w:val="center"/>
            <w:hideMark/>
          </w:tcPr>
          <w:p w14:paraId="3C7A73B5"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10.01.2005</w:t>
            </w:r>
          </w:p>
        </w:tc>
        <w:tc>
          <w:tcPr>
            <w:tcW w:w="1049" w:type="dxa"/>
            <w:tcBorders>
              <w:top w:val="nil"/>
              <w:left w:val="nil"/>
              <w:bottom w:val="single" w:sz="4" w:space="0" w:color="auto"/>
              <w:right w:val="single" w:sz="4" w:space="0" w:color="auto"/>
            </w:tcBorders>
            <w:shd w:val="clear" w:color="auto" w:fill="auto"/>
            <w:noWrap/>
            <w:vAlign w:val="center"/>
            <w:hideMark/>
          </w:tcPr>
          <w:p w14:paraId="40B5B08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37,01</w:t>
            </w:r>
          </w:p>
        </w:tc>
        <w:tc>
          <w:tcPr>
            <w:tcW w:w="1276" w:type="dxa"/>
            <w:tcBorders>
              <w:top w:val="nil"/>
              <w:left w:val="nil"/>
              <w:bottom w:val="single" w:sz="4" w:space="0" w:color="auto"/>
              <w:right w:val="single" w:sz="4" w:space="0" w:color="auto"/>
            </w:tcBorders>
            <w:shd w:val="clear" w:color="auto" w:fill="auto"/>
            <w:noWrap/>
            <w:vAlign w:val="center"/>
            <w:hideMark/>
          </w:tcPr>
          <w:p w14:paraId="1543349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27,81</w:t>
            </w:r>
          </w:p>
        </w:tc>
        <w:tc>
          <w:tcPr>
            <w:tcW w:w="567" w:type="dxa"/>
            <w:tcBorders>
              <w:top w:val="nil"/>
              <w:left w:val="nil"/>
              <w:bottom w:val="single" w:sz="4" w:space="0" w:color="auto"/>
              <w:right w:val="single" w:sz="4" w:space="0" w:color="auto"/>
            </w:tcBorders>
            <w:shd w:val="clear" w:color="auto" w:fill="auto"/>
            <w:noWrap/>
            <w:vAlign w:val="center"/>
            <w:hideMark/>
          </w:tcPr>
          <w:p w14:paraId="4E44779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5,4</w:t>
            </w:r>
          </w:p>
        </w:tc>
        <w:tc>
          <w:tcPr>
            <w:tcW w:w="1134" w:type="dxa"/>
            <w:tcBorders>
              <w:top w:val="nil"/>
              <w:left w:val="nil"/>
              <w:bottom w:val="single" w:sz="4" w:space="0" w:color="auto"/>
              <w:right w:val="single" w:sz="4" w:space="0" w:color="auto"/>
            </w:tcBorders>
            <w:shd w:val="clear" w:color="auto" w:fill="auto"/>
            <w:noWrap/>
            <w:vAlign w:val="center"/>
            <w:hideMark/>
          </w:tcPr>
          <w:p w14:paraId="33ADB32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15,80</w:t>
            </w:r>
          </w:p>
        </w:tc>
        <w:tc>
          <w:tcPr>
            <w:tcW w:w="840" w:type="dxa"/>
            <w:tcBorders>
              <w:top w:val="nil"/>
              <w:left w:val="nil"/>
              <w:bottom w:val="single" w:sz="4" w:space="0" w:color="auto"/>
              <w:right w:val="single" w:sz="4" w:space="0" w:color="auto"/>
            </w:tcBorders>
            <w:shd w:val="clear" w:color="auto" w:fill="auto"/>
            <w:noWrap/>
            <w:vAlign w:val="center"/>
            <w:hideMark/>
          </w:tcPr>
          <w:p w14:paraId="29BFA9D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w:t>
            </w:r>
          </w:p>
        </w:tc>
      </w:tr>
      <w:tr w:rsidR="000954C1" w:rsidRPr="000954C1" w14:paraId="76BCB371"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5ADB608"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18</w:t>
            </w:r>
          </w:p>
        </w:tc>
        <w:tc>
          <w:tcPr>
            <w:tcW w:w="1681" w:type="dxa"/>
            <w:tcBorders>
              <w:top w:val="nil"/>
              <w:left w:val="nil"/>
              <w:bottom w:val="single" w:sz="4" w:space="0" w:color="auto"/>
              <w:right w:val="single" w:sz="4" w:space="0" w:color="auto"/>
            </w:tcBorders>
            <w:shd w:val="clear" w:color="auto" w:fill="auto"/>
            <w:noWrap/>
            <w:vAlign w:val="center"/>
            <w:hideMark/>
          </w:tcPr>
          <w:p w14:paraId="242D5455" w14:textId="43EB2C10"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Gokova</w:t>
            </w:r>
            <w:proofErr w:type="spellEnd"/>
            <w:r w:rsidRPr="000954C1">
              <w:rPr>
                <w:rFonts w:eastAsia="Times New Roman" w:cs="Times New Roman"/>
                <w:sz w:val="20"/>
                <w:szCs w:val="20"/>
                <w:lang w:val="en-US" w:eastAsia="tr-TR"/>
              </w:rPr>
              <w:t>-Gulf</w:t>
            </w:r>
          </w:p>
        </w:tc>
        <w:tc>
          <w:tcPr>
            <w:tcW w:w="1040" w:type="dxa"/>
            <w:tcBorders>
              <w:top w:val="nil"/>
              <w:left w:val="nil"/>
              <w:bottom w:val="single" w:sz="4" w:space="0" w:color="auto"/>
              <w:right w:val="single" w:sz="4" w:space="0" w:color="auto"/>
            </w:tcBorders>
            <w:shd w:val="clear" w:color="auto" w:fill="auto"/>
            <w:noWrap/>
            <w:vAlign w:val="center"/>
            <w:hideMark/>
          </w:tcPr>
          <w:p w14:paraId="7A090B6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10.01.2005</w:t>
            </w:r>
          </w:p>
        </w:tc>
        <w:tc>
          <w:tcPr>
            <w:tcW w:w="1049" w:type="dxa"/>
            <w:tcBorders>
              <w:top w:val="nil"/>
              <w:left w:val="nil"/>
              <w:bottom w:val="single" w:sz="4" w:space="0" w:color="auto"/>
              <w:right w:val="single" w:sz="4" w:space="0" w:color="auto"/>
            </w:tcBorders>
            <w:shd w:val="clear" w:color="auto" w:fill="auto"/>
            <w:noWrap/>
            <w:vAlign w:val="center"/>
            <w:hideMark/>
          </w:tcPr>
          <w:p w14:paraId="480870E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36,91</w:t>
            </w:r>
          </w:p>
        </w:tc>
        <w:tc>
          <w:tcPr>
            <w:tcW w:w="1276" w:type="dxa"/>
            <w:tcBorders>
              <w:top w:val="nil"/>
              <w:left w:val="nil"/>
              <w:bottom w:val="single" w:sz="4" w:space="0" w:color="auto"/>
              <w:right w:val="single" w:sz="4" w:space="0" w:color="auto"/>
            </w:tcBorders>
            <w:shd w:val="clear" w:color="auto" w:fill="auto"/>
            <w:noWrap/>
            <w:vAlign w:val="center"/>
            <w:hideMark/>
          </w:tcPr>
          <w:p w14:paraId="06DFFDC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27,83</w:t>
            </w:r>
          </w:p>
        </w:tc>
        <w:tc>
          <w:tcPr>
            <w:tcW w:w="567" w:type="dxa"/>
            <w:tcBorders>
              <w:top w:val="nil"/>
              <w:left w:val="nil"/>
              <w:bottom w:val="single" w:sz="4" w:space="0" w:color="auto"/>
              <w:right w:val="single" w:sz="4" w:space="0" w:color="auto"/>
            </w:tcBorders>
            <w:shd w:val="clear" w:color="auto" w:fill="auto"/>
            <w:noWrap/>
            <w:vAlign w:val="center"/>
            <w:hideMark/>
          </w:tcPr>
          <w:p w14:paraId="5A18579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5,3</w:t>
            </w:r>
          </w:p>
        </w:tc>
        <w:tc>
          <w:tcPr>
            <w:tcW w:w="1134" w:type="dxa"/>
            <w:tcBorders>
              <w:top w:val="nil"/>
              <w:left w:val="nil"/>
              <w:bottom w:val="single" w:sz="4" w:space="0" w:color="auto"/>
              <w:right w:val="single" w:sz="4" w:space="0" w:color="auto"/>
            </w:tcBorders>
            <w:shd w:val="clear" w:color="auto" w:fill="auto"/>
            <w:noWrap/>
            <w:vAlign w:val="center"/>
            <w:hideMark/>
          </w:tcPr>
          <w:p w14:paraId="72E45B6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12,20</w:t>
            </w:r>
          </w:p>
        </w:tc>
        <w:tc>
          <w:tcPr>
            <w:tcW w:w="840" w:type="dxa"/>
            <w:tcBorders>
              <w:top w:val="nil"/>
              <w:left w:val="nil"/>
              <w:bottom w:val="single" w:sz="4" w:space="0" w:color="auto"/>
              <w:right w:val="single" w:sz="4" w:space="0" w:color="auto"/>
            </w:tcBorders>
            <w:shd w:val="clear" w:color="auto" w:fill="auto"/>
            <w:noWrap/>
            <w:vAlign w:val="center"/>
            <w:hideMark/>
          </w:tcPr>
          <w:p w14:paraId="3D9420D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w:t>
            </w:r>
          </w:p>
        </w:tc>
      </w:tr>
      <w:tr w:rsidR="000954C1" w:rsidRPr="000954C1" w14:paraId="112D2AE7"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03CE000"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19</w:t>
            </w:r>
          </w:p>
        </w:tc>
        <w:tc>
          <w:tcPr>
            <w:tcW w:w="1681" w:type="dxa"/>
            <w:tcBorders>
              <w:top w:val="nil"/>
              <w:left w:val="nil"/>
              <w:bottom w:val="single" w:sz="4" w:space="0" w:color="auto"/>
              <w:right w:val="single" w:sz="4" w:space="0" w:color="auto"/>
            </w:tcBorders>
            <w:shd w:val="clear" w:color="auto" w:fill="auto"/>
            <w:noWrap/>
            <w:vAlign w:val="center"/>
            <w:hideMark/>
          </w:tcPr>
          <w:p w14:paraId="7A6A33D7" w14:textId="776B0706"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Gokova</w:t>
            </w:r>
            <w:proofErr w:type="spellEnd"/>
            <w:r w:rsidRPr="000954C1">
              <w:rPr>
                <w:rFonts w:eastAsia="Times New Roman" w:cs="Times New Roman"/>
                <w:sz w:val="20"/>
                <w:szCs w:val="20"/>
                <w:lang w:val="en-US" w:eastAsia="tr-TR"/>
              </w:rPr>
              <w:t>-Gulf</w:t>
            </w:r>
          </w:p>
        </w:tc>
        <w:tc>
          <w:tcPr>
            <w:tcW w:w="1040" w:type="dxa"/>
            <w:tcBorders>
              <w:top w:val="nil"/>
              <w:left w:val="nil"/>
              <w:bottom w:val="single" w:sz="4" w:space="0" w:color="auto"/>
              <w:right w:val="single" w:sz="4" w:space="0" w:color="auto"/>
            </w:tcBorders>
            <w:shd w:val="clear" w:color="auto" w:fill="auto"/>
            <w:noWrap/>
            <w:vAlign w:val="center"/>
            <w:hideMark/>
          </w:tcPr>
          <w:p w14:paraId="5753C91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11.01.2005</w:t>
            </w:r>
          </w:p>
        </w:tc>
        <w:tc>
          <w:tcPr>
            <w:tcW w:w="1049" w:type="dxa"/>
            <w:tcBorders>
              <w:top w:val="nil"/>
              <w:left w:val="nil"/>
              <w:bottom w:val="single" w:sz="4" w:space="0" w:color="auto"/>
              <w:right w:val="single" w:sz="4" w:space="0" w:color="auto"/>
            </w:tcBorders>
            <w:shd w:val="clear" w:color="auto" w:fill="auto"/>
            <w:noWrap/>
            <w:vAlign w:val="center"/>
            <w:hideMark/>
          </w:tcPr>
          <w:p w14:paraId="44579A9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36,98</w:t>
            </w:r>
          </w:p>
        </w:tc>
        <w:tc>
          <w:tcPr>
            <w:tcW w:w="1276" w:type="dxa"/>
            <w:tcBorders>
              <w:top w:val="nil"/>
              <w:left w:val="nil"/>
              <w:bottom w:val="single" w:sz="4" w:space="0" w:color="auto"/>
              <w:right w:val="single" w:sz="4" w:space="0" w:color="auto"/>
            </w:tcBorders>
            <w:shd w:val="clear" w:color="auto" w:fill="auto"/>
            <w:noWrap/>
            <w:vAlign w:val="center"/>
            <w:hideMark/>
          </w:tcPr>
          <w:p w14:paraId="6FD20451"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27,74</w:t>
            </w:r>
          </w:p>
        </w:tc>
        <w:tc>
          <w:tcPr>
            <w:tcW w:w="567" w:type="dxa"/>
            <w:tcBorders>
              <w:top w:val="nil"/>
              <w:left w:val="nil"/>
              <w:bottom w:val="single" w:sz="4" w:space="0" w:color="auto"/>
              <w:right w:val="single" w:sz="4" w:space="0" w:color="auto"/>
            </w:tcBorders>
            <w:shd w:val="clear" w:color="auto" w:fill="auto"/>
            <w:noWrap/>
            <w:vAlign w:val="center"/>
            <w:hideMark/>
          </w:tcPr>
          <w:p w14:paraId="66FC8E7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5,0</w:t>
            </w:r>
          </w:p>
        </w:tc>
        <w:tc>
          <w:tcPr>
            <w:tcW w:w="1134" w:type="dxa"/>
            <w:tcBorders>
              <w:top w:val="nil"/>
              <w:left w:val="nil"/>
              <w:bottom w:val="single" w:sz="4" w:space="0" w:color="auto"/>
              <w:right w:val="single" w:sz="4" w:space="0" w:color="auto"/>
            </w:tcBorders>
            <w:shd w:val="clear" w:color="auto" w:fill="auto"/>
            <w:noWrap/>
            <w:vAlign w:val="center"/>
            <w:hideMark/>
          </w:tcPr>
          <w:p w14:paraId="01F31D0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14,90</w:t>
            </w:r>
          </w:p>
        </w:tc>
        <w:tc>
          <w:tcPr>
            <w:tcW w:w="840" w:type="dxa"/>
            <w:tcBorders>
              <w:top w:val="nil"/>
              <w:left w:val="nil"/>
              <w:bottom w:val="single" w:sz="4" w:space="0" w:color="auto"/>
              <w:right w:val="single" w:sz="4" w:space="0" w:color="auto"/>
            </w:tcBorders>
            <w:shd w:val="clear" w:color="auto" w:fill="auto"/>
            <w:noWrap/>
            <w:vAlign w:val="center"/>
            <w:hideMark/>
          </w:tcPr>
          <w:p w14:paraId="66ACE07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w:t>
            </w:r>
          </w:p>
        </w:tc>
      </w:tr>
      <w:tr w:rsidR="000954C1" w:rsidRPr="000954C1" w14:paraId="3D0889B0" w14:textId="77777777" w:rsidTr="00A61D58">
        <w:trPr>
          <w:trHeight w:val="96"/>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CD3A455"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20</w:t>
            </w:r>
          </w:p>
        </w:tc>
        <w:tc>
          <w:tcPr>
            <w:tcW w:w="1681" w:type="dxa"/>
            <w:tcBorders>
              <w:top w:val="nil"/>
              <w:left w:val="nil"/>
              <w:bottom w:val="single" w:sz="4" w:space="0" w:color="auto"/>
              <w:right w:val="single" w:sz="4" w:space="0" w:color="auto"/>
            </w:tcBorders>
            <w:shd w:val="clear" w:color="auto" w:fill="auto"/>
            <w:noWrap/>
            <w:vAlign w:val="center"/>
            <w:hideMark/>
          </w:tcPr>
          <w:p w14:paraId="2E53FE23" w14:textId="7B831C2E"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Aegean Sea</w:t>
            </w:r>
          </w:p>
        </w:tc>
        <w:tc>
          <w:tcPr>
            <w:tcW w:w="1040" w:type="dxa"/>
            <w:tcBorders>
              <w:top w:val="nil"/>
              <w:left w:val="nil"/>
              <w:bottom w:val="single" w:sz="4" w:space="0" w:color="auto"/>
              <w:right w:val="single" w:sz="4" w:space="0" w:color="auto"/>
            </w:tcBorders>
            <w:shd w:val="clear" w:color="auto" w:fill="auto"/>
            <w:noWrap/>
            <w:vAlign w:val="center"/>
            <w:hideMark/>
          </w:tcPr>
          <w:p w14:paraId="6749537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17.10.2005</w:t>
            </w:r>
          </w:p>
        </w:tc>
        <w:tc>
          <w:tcPr>
            <w:tcW w:w="1049" w:type="dxa"/>
            <w:tcBorders>
              <w:top w:val="nil"/>
              <w:left w:val="nil"/>
              <w:bottom w:val="single" w:sz="4" w:space="0" w:color="auto"/>
              <w:right w:val="single" w:sz="4" w:space="0" w:color="auto"/>
            </w:tcBorders>
            <w:shd w:val="clear" w:color="auto" w:fill="auto"/>
            <w:noWrap/>
            <w:vAlign w:val="center"/>
            <w:hideMark/>
          </w:tcPr>
          <w:p w14:paraId="0313D26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38,19</w:t>
            </w:r>
          </w:p>
        </w:tc>
        <w:tc>
          <w:tcPr>
            <w:tcW w:w="1276" w:type="dxa"/>
            <w:tcBorders>
              <w:top w:val="nil"/>
              <w:left w:val="nil"/>
              <w:bottom w:val="single" w:sz="4" w:space="0" w:color="auto"/>
              <w:right w:val="single" w:sz="4" w:space="0" w:color="auto"/>
            </w:tcBorders>
            <w:shd w:val="clear" w:color="auto" w:fill="auto"/>
            <w:noWrap/>
            <w:vAlign w:val="center"/>
            <w:hideMark/>
          </w:tcPr>
          <w:p w14:paraId="2A7B688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26,68</w:t>
            </w:r>
          </w:p>
        </w:tc>
        <w:tc>
          <w:tcPr>
            <w:tcW w:w="567" w:type="dxa"/>
            <w:tcBorders>
              <w:top w:val="nil"/>
              <w:left w:val="nil"/>
              <w:bottom w:val="single" w:sz="4" w:space="0" w:color="auto"/>
              <w:right w:val="single" w:sz="4" w:space="0" w:color="auto"/>
            </w:tcBorders>
            <w:shd w:val="clear" w:color="auto" w:fill="auto"/>
            <w:noWrap/>
            <w:vAlign w:val="center"/>
            <w:hideMark/>
          </w:tcPr>
          <w:p w14:paraId="5B66A65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5,5</w:t>
            </w:r>
          </w:p>
        </w:tc>
        <w:tc>
          <w:tcPr>
            <w:tcW w:w="1134" w:type="dxa"/>
            <w:tcBorders>
              <w:top w:val="nil"/>
              <w:left w:val="nil"/>
              <w:bottom w:val="single" w:sz="4" w:space="0" w:color="auto"/>
              <w:right w:val="single" w:sz="4" w:space="0" w:color="auto"/>
            </w:tcBorders>
            <w:shd w:val="clear" w:color="auto" w:fill="auto"/>
            <w:noWrap/>
            <w:vAlign w:val="center"/>
            <w:hideMark/>
          </w:tcPr>
          <w:p w14:paraId="0C09370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20,50</w:t>
            </w:r>
          </w:p>
        </w:tc>
        <w:tc>
          <w:tcPr>
            <w:tcW w:w="840" w:type="dxa"/>
            <w:tcBorders>
              <w:top w:val="nil"/>
              <w:left w:val="nil"/>
              <w:bottom w:val="single" w:sz="4" w:space="0" w:color="auto"/>
              <w:right w:val="single" w:sz="4" w:space="0" w:color="auto"/>
            </w:tcBorders>
            <w:shd w:val="clear" w:color="auto" w:fill="auto"/>
            <w:noWrap/>
            <w:vAlign w:val="center"/>
            <w:hideMark/>
          </w:tcPr>
          <w:p w14:paraId="5890909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w:t>
            </w:r>
          </w:p>
        </w:tc>
      </w:tr>
      <w:tr w:rsidR="000954C1" w:rsidRPr="000954C1" w14:paraId="7589AF81" w14:textId="77777777" w:rsidTr="00A61D58">
        <w:trPr>
          <w:trHeight w:val="20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B96F6B0"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21</w:t>
            </w:r>
          </w:p>
        </w:tc>
        <w:tc>
          <w:tcPr>
            <w:tcW w:w="1681" w:type="dxa"/>
            <w:tcBorders>
              <w:top w:val="nil"/>
              <w:left w:val="nil"/>
              <w:bottom w:val="single" w:sz="4" w:space="0" w:color="auto"/>
              <w:right w:val="single" w:sz="4" w:space="0" w:color="auto"/>
            </w:tcBorders>
            <w:shd w:val="clear" w:color="auto" w:fill="auto"/>
            <w:noWrap/>
            <w:vAlign w:val="center"/>
            <w:hideMark/>
          </w:tcPr>
          <w:p w14:paraId="398277EF" w14:textId="0F93CAAF"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Aegean Sea</w:t>
            </w:r>
          </w:p>
        </w:tc>
        <w:tc>
          <w:tcPr>
            <w:tcW w:w="1040" w:type="dxa"/>
            <w:tcBorders>
              <w:top w:val="nil"/>
              <w:left w:val="nil"/>
              <w:bottom w:val="single" w:sz="4" w:space="0" w:color="auto"/>
              <w:right w:val="single" w:sz="4" w:space="0" w:color="auto"/>
            </w:tcBorders>
            <w:shd w:val="clear" w:color="auto" w:fill="auto"/>
            <w:noWrap/>
            <w:vAlign w:val="center"/>
            <w:hideMark/>
          </w:tcPr>
          <w:p w14:paraId="5D3FD5E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17.10.2005</w:t>
            </w:r>
          </w:p>
        </w:tc>
        <w:tc>
          <w:tcPr>
            <w:tcW w:w="1049" w:type="dxa"/>
            <w:tcBorders>
              <w:top w:val="nil"/>
              <w:left w:val="nil"/>
              <w:bottom w:val="single" w:sz="4" w:space="0" w:color="auto"/>
              <w:right w:val="single" w:sz="4" w:space="0" w:color="auto"/>
            </w:tcBorders>
            <w:shd w:val="clear" w:color="auto" w:fill="auto"/>
            <w:noWrap/>
            <w:vAlign w:val="center"/>
            <w:hideMark/>
          </w:tcPr>
          <w:p w14:paraId="74FED79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38,16</w:t>
            </w:r>
          </w:p>
        </w:tc>
        <w:tc>
          <w:tcPr>
            <w:tcW w:w="1276" w:type="dxa"/>
            <w:tcBorders>
              <w:top w:val="nil"/>
              <w:left w:val="nil"/>
              <w:bottom w:val="single" w:sz="4" w:space="0" w:color="auto"/>
              <w:right w:val="single" w:sz="4" w:space="0" w:color="auto"/>
            </w:tcBorders>
            <w:shd w:val="clear" w:color="auto" w:fill="auto"/>
            <w:noWrap/>
            <w:vAlign w:val="center"/>
            <w:hideMark/>
          </w:tcPr>
          <w:p w14:paraId="6FA1844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26,69</w:t>
            </w:r>
          </w:p>
        </w:tc>
        <w:tc>
          <w:tcPr>
            <w:tcW w:w="567" w:type="dxa"/>
            <w:tcBorders>
              <w:top w:val="nil"/>
              <w:left w:val="nil"/>
              <w:bottom w:val="single" w:sz="4" w:space="0" w:color="auto"/>
              <w:right w:val="single" w:sz="4" w:space="0" w:color="auto"/>
            </w:tcBorders>
            <w:shd w:val="clear" w:color="auto" w:fill="auto"/>
            <w:noWrap/>
            <w:vAlign w:val="center"/>
            <w:hideMark/>
          </w:tcPr>
          <w:p w14:paraId="225DBD6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5,1</w:t>
            </w:r>
          </w:p>
        </w:tc>
        <w:tc>
          <w:tcPr>
            <w:tcW w:w="1134" w:type="dxa"/>
            <w:tcBorders>
              <w:top w:val="nil"/>
              <w:left w:val="nil"/>
              <w:bottom w:val="single" w:sz="4" w:space="0" w:color="auto"/>
              <w:right w:val="single" w:sz="4" w:space="0" w:color="auto"/>
            </w:tcBorders>
            <w:shd w:val="clear" w:color="auto" w:fill="auto"/>
            <w:noWrap/>
            <w:vAlign w:val="center"/>
            <w:hideMark/>
          </w:tcPr>
          <w:p w14:paraId="013868F3"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2,20</w:t>
            </w:r>
          </w:p>
        </w:tc>
        <w:tc>
          <w:tcPr>
            <w:tcW w:w="840" w:type="dxa"/>
            <w:tcBorders>
              <w:top w:val="nil"/>
              <w:left w:val="nil"/>
              <w:bottom w:val="single" w:sz="4" w:space="0" w:color="auto"/>
              <w:right w:val="single" w:sz="4" w:space="0" w:color="auto"/>
            </w:tcBorders>
            <w:shd w:val="clear" w:color="auto" w:fill="auto"/>
            <w:noWrap/>
            <w:vAlign w:val="center"/>
            <w:hideMark/>
          </w:tcPr>
          <w:p w14:paraId="6C1ED2C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388D931B"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ED3AF"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22</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BC919" w14:textId="4FEAD099"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Aegean Sea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EACD5"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17.10.2005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93EA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38,14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6176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26,66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D099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49AC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4,00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37AD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1D1F6327"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14169"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23</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2161" w14:textId="1034EBB0"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Urla</w:t>
            </w:r>
            <w:proofErr w:type="spellEnd"/>
            <w:r w:rsidRPr="000954C1">
              <w:rPr>
                <w:rFonts w:eastAsia="Times New Roman" w:cs="Times New Roman"/>
                <w:sz w:val="20"/>
                <w:szCs w:val="20"/>
                <w:lang w:val="en-US" w:eastAsia="tr-TR"/>
              </w:rPr>
              <w:t>-İzmir</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3D9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17.10.2005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06C6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38,22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C7AD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26,66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29EB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FCD4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18,60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35E8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w:t>
            </w:r>
          </w:p>
        </w:tc>
      </w:tr>
      <w:tr w:rsidR="000954C1" w:rsidRPr="000954C1" w14:paraId="34E974CD"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B826B"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24</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72601" w14:textId="65B617F8"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Aegean Sea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9B3C1"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17.10.2005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C03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7D44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26,64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84B0A"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399E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11,00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3C92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w:t>
            </w:r>
          </w:p>
        </w:tc>
      </w:tr>
      <w:tr w:rsidR="000954C1" w:rsidRPr="000954C1" w14:paraId="04F9710D"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2B1D0"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25</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C747E" w14:textId="61895167"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Urla</w:t>
            </w:r>
            <w:proofErr w:type="spellEnd"/>
            <w:r w:rsidRPr="000954C1">
              <w:rPr>
                <w:rFonts w:eastAsia="Times New Roman" w:cs="Times New Roman"/>
                <w:sz w:val="20"/>
                <w:szCs w:val="20"/>
                <w:lang w:val="en-US" w:eastAsia="tr-TR"/>
              </w:rPr>
              <w:t>-İzmir</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DF06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17.10.2005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3EB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FAFA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26,66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6F15"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C7B88"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2,00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BD07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w:t>
            </w:r>
          </w:p>
        </w:tc>
      </w:tr>
      <w:tr w:rsidR="000954C1" w:rsidRPr="000954C1" w14:paraId="549ED478"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2B0F3"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26</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B4113" w14:textId="0D1E44A6"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Urla</w:t>
            </w:r>
            <w:proofErr w:type="spellEnd"/>
            <w:r w:rsidRPr="000954C1">
              <w:rPr>
                <w:rFonts w:eastAsia="Times New Roman" w:cs="Times New Roman"/>
                <w:sz w:val="20"/>
                <w:szCs w:val="20"/>
                <w:lang w:val="en-US" w:eastAsia="tr-TR"/>
              </w:rPr>
              <w:t>-İzmir</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C7E33"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17.10.2005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22D9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38,18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BC323"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26,56</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9E1EA"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C3C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21,40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03143"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1690A7F6" w14:textId="77777777" w:rsidTr="00A61D58">
        <w:trPr>
          <w:trHeight w:val="139"/>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9E69E"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27</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1323C" w14:textId="6FA87226"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Urla</w:t>
            </w:r>
            <w:proofErr w:type="spellEnd"/>
            <w:r w:rsidRPr="000954C1">
              <w:rPr>
                <w:rFonts w:eastAsia="Times New Roman" w:cs="Times New Roman"/>
                <w:sz w:val="20"/>
                <w:szCs w:val="20"/>
                <w:lang w:val="en-US" w:eastAsia="tr-TR"/>
              </w:rPr>
              <w:t>-İzmir</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104F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18.10.2005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7163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B600A"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26,51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064B5"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43E0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25,50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BACC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3F2B22CF"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85565"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28</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0D30A" w14:textId="4B5C19BC"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Aegean Sea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D0E3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19.10.2005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5FC1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5B29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26,70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1EF01"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AB528"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2,50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4A2E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75B4A6F3"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32854"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29</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F0325" w14:textId="5FBEC99A"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Aegean Sea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87A3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20.10.2005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42B73"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3B478"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26,67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F235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B2F2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15,40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C924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7820CE9C" w14:textId="77777777" w:rsidTr="00A61D58">
        <w:trPr>
          <w:trHeight w:val="12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5AD77"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30</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C8B5D" w14:textId="4D515B44"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Urla</w:t>
            </w:r>
            <w:proofErr w:type="spellEnd"/>
            <w:r w:rsidRPr="000954C1">
              <w:rPr>
                <w:rFonts w:eastAsia="Times New Roman" w:cs="Times New Roman"/>
                <w:sz w:val="20"/>
                <w:szCs w:val="20"/>
                <w:lang w:val="en-US" w:eastAsia="tr-TR"/>
              </w:rPr>
              <w:t>-İzmir</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B6685"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21.10.2005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8E05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37CB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26,57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35B48"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1AFF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19,20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9B77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6AEF575A" w14:textId="77777777" w:rsidTr="00A61D58">
        <w:trPr>
          <w:trHeight w:val="140"/>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32A37"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31</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7370E" w14:textId="076222CD"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Aegean Sea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7DAF8"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29.10.2005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82F7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38,19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2AE9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26,64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1C5E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30FE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2,20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605F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w:t>
            </w:r>
          </w:p>
        </w:tc>
      </w:tr>
      <w:tr w:rsidR="000954C1" w:rsidRPr="000954C1" w14:paraId="72C7E57E"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6FF3E"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32</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AEEEC" w14:textId="0ADFD75B"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Denizli-Çameli</w:t>
            </w:r>
            <w:proofErr w:type="spellEnd"/>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CC83F"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29.10.2007</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B041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37,07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97D3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29,32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6698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BF84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28,90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07C28"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4</w:t>
            </w:r>
          </w:p>
        </w:tc>
      </w:tr>
      <w:tr w:rsidR="000954C1" w:rsidRPr="000954C1" w14:paraId="64387B0D"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C003E"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33</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232E6" w14:textId="11394336"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Denizli-Çameli</w:t>
            </w:r>
            <w:proofErr w:type="spellEnd"/>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77C72"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16.11.2007</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DE18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36,94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2CAA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29,30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4EF6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1767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22,00</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AC5F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w:t>
            </w:r>
          </w:p>
        </w:tc>
      </w:tr>
      <w:tr w:rsidR="000954C1" w:rsidRPr="000954C1" w14:paraId="2B2C20E2" w14:textId="77777777" w:rsidTr="00A61D58">
        <w:trPr>
          <w:trHeight w:val="184"/>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58D05"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34</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FD6DA" w14:textId="52EA5058"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Ege</w:t>
            </w:r>
            <w:proofErr w:type="spellEnd"/>
            <w:r w:rsidRPr="000954C1">
              <w:rPr>
                <w:rFonts w:eastAsia="Times New Roman" w:cs="Times New Roman"/>
                <w:sz w:val="20"/>
                <w:szCs w:val="20"/>
                <w:lang w:val="en-US" w:eastAsia="tr-TR"/>
              </w:rPr>
              <w:t xml:space="preserve"> </w:t>
            </w:r>
            <w:proofErr w:type="spellStart"/>
            <w:r w:rsidRPr="000954C1">
              <w:rPr>
                <w:rFonts w:eastAsia="Times New Roman" w:cs="Times New Roman"/>
                <w:sz w:val="20"/>
                <w:szCs w:val="20"/>
                <w:lang w:val="en-US" w:eastAsia="tr-TR"/>
              </w:rPr>
              <w:t>Denizi</w:t>
            </w:r>
            <w:proofErr w:type="spellEnd"/>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24176"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12.06.2014</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624A9"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38,90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9243C"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26,27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FFE84"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3FD4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22,48</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9234D"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25</w:t>
            </w:r>
          </w:p>
        </w:tc>
      </w:tr>
      <w:tr w:rsidR="002B7474" w:rsidRPr="000954C1" w14:paraId="615AEF06" w14:textId="77777777" w:rsidTr="00A61D58">
        <w:trPr>
          <w:trHeight w:val="201"/>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644C2" w14:textId="77777777" w:rsidR="002B7474" w:rsidRPr="000954C1" w:rsidRDefault="002B7474" w:rsidP="00A61D58">
            <w:pPr>
              <w:jc w:val="center"/>
              <w:rPr>
                <w:rFonts w:eastAsia="Times New Roman" w:cs="Times New Roman"/>
                <w:b/>
                <w:bCs/>
                <w:sz w:val="20"/>
                <w:szCs w:val="20"/>
                <w:lang w:val="en-US" w:eastAsia="tr-TR"/>
              </w:rPr>
            </w:pPr>
            <w:r w:rsidRPr="000954C1">
              <w:rPr>
                <w:rFonts w:eastAsia="Times New Roman" w:cs="Times New Roman"/>
                <w:b/>
                <w:bCs/>
                <w:sz w:val="20"/>
                <w:szCs w:val="20"/>
                <w:lang w:val="en-US" w:eastAsia="tr-TR"/>
              </w:rPr>
              <w:t>35</w:t>
            </w:r>
          </w:p>
        </w:tc>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8AB55" w14:textId="19F13580" w:rsidR="002B7474" w:rsidRPr="000954C1" w:rsidRDefault="002B7474" w:rsidP="00A61D58">
            <w:pPr>
              <w:jc w:val="center"/>
              <w:rPr>
                <w:rFonts w:eastAsia="Times New Roman" w:cs="Times New Roman"/>
                <w:sz w:val="20"/>
                <w:szCs w:val="20"/>
                <w:lang w:val="en-US" w:eastAsia="tr-TR"/>
              </w:rPr>
            </w:pPr>
            <w:proofErr w:type="spellStart"/>
            <w:r w:rsidRPr="000954C1">
              <w:rPr>
                <w:rFonts w:eastAsia="Times New Roman" w:cs="Times New Roman"/>
                <w:sz w:val="20"/>
                <w:szCs w:val="20"/>
                <w:lang w:val="en-US" w:eastAsia="tr-TR"/>
              </w:rPr>
              <w:t>Muğla</w:t>
            </w:r>
            <w:proofErr w:type="spellEnd"/>
            <w:r w:rsidRPr="000954C1">
              <w:rPr>
                <w:rFonts w:eastAsia="Times New Roman" w:cs="Times New Roman"/>
                <w:sz w:val="20"/>
                <w:szCs w:val="20"/>
                <w:lang w:val="en-US" w:eastAsia="tr-TR"/>
              </w:rPr>
              <w:t>-Ula</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1A217"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13.04.2017</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40765"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37,15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CB2FE"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28,65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B7325"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D271B"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11,33</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240C0" w14:textId="77777777" w:rsidR="002B7474" w:rsidRPr="000954C1" w:rsidRDefault="002B7474" w:rsidP="00A61D58">
            <w:pPr>
              <w:jc w:val="center"/>
              <w:rPr>
                <w:rFonts w:eastAsia="Times New Roman" w:cs="Times New Roman"/>
                <w:sz w:val="20"/>
                <w:szCs w:val="20"/>
                <w:lang w:val="en-US" w:eastAsia="tr-TR"/>
              </w:rPr>
            </w:pPr>
            <w:r w:rsidRPr="000954C1">
              <w:rPr>
                <w:rFonts w:eastAsia="Times New Roman" w:cs="Times New Roman"/>
                <w:sz w:val="20"/>
                <w:szCs w:val="20"/>
                <w:lang w:val="en-US" w:eastAsia="tr-TR"/>
              </w:rPr>
              <w:t>12</w:t>
            </w:r>
          </w:p>
        </w:tc>
      </w:tr>
    </w:tbl>
    <w:p w14:paraId="6B28D426" w14:textId="77777777" w:rsidR="004F07DE" w:rsidRPr="000954C1" w:rsidRDefault="004F07DE" w:rsidP="00E937C0">
      <w:pPr>
        <w:pStyle w:val="NormalWeb"/>
        <w:rPr>
          <w:sz w:val="22"/>
          <w:szCs w:val="22"/>
          <w:lang w:val="en-US"/>
        </w:rPr>
      </w:pPr>
    </w:p>
    <w:p w14:paraId="776380B3" w14:textId="5DD54171" w:rsidR="00FA65B7" w:rsidRPr="000954C1" w:rsidRDefault="0016277D" w:rsidP="00A4783A">
      <w:pPr>
        <w:autoSpaceDE w:val="0"/>
        <w:autoSpaceDN w:val="0"/>
        <w:adjustRightInd w:val="0"/>
        <w:rPr>
          <w:rFonts w:cs="Times New Roman"/>
          <w:szCs w:val="22"/>
          <w:lang w:val="en-US"/>
        </w:rPr>
      </w:pPr>
      <w:r w:rsidRPr="000954C1">
        <w:rPr>
          <w:b/>
          <w:bCs/>
          <w:szCs w:val="22"/>
          <w:lang w:val="en-US"/>
        </w:rPr>
        <w:t xml:space="preserve">b.) </w:t>
      </w:r>
      <w:r w:rsidR="00FA65B7" w:rsidRPr="000954C1">
        <w:rPr>
          <w:b/>
          <w:bCs/>
          <w:szCs w:val="22"/>
          <w:lang w:val="en-US"/>
        </w:rPr>
        <w:t>Garc</w:t>
      </w:r>
      <w:r w:rsidR="00D872A7" w:rsidRPr="000954C1">
        <w:rPr>
          <w:b/>
          <w:bCs/>
          <w:szCs w:val="22"/>
          <w:lang w:val="en-US"/>
        </w:rPr>
        <w:t>i</w:t>
      </w:r>
      <w:r w:rsidR="00FA65B7" w:rsidRPr="000954C1">
        <w:rPr>
          <w:b/>
          <w:bCs/>
          <w:szCs w:val="22"/>
          <w:lang w:val="en-US"/>
        </w:rPr>
        <w:t>a</w:t>
      </w:r>
      <w:r w:rsidR="00DC31B1" w:rsidRPr="000954C1">
        <w:rPr>
          <w:b/>
          <w:bCs/>
          <w:szCs w:val="22"/>
          <w:lang w:val="en-US"/>
        </w:rPr>
        <w:t xml:space="preserve"> et al.</w:t>
      </w:r>
      <w:r w:rsidR="00D872A7" w:rsidRPr="000954C1">
        <w:rPr>
          <w:b/>
          <w:bCs/>
          <w:szCs w:val="22"/>
          <w:lang w:val="en-US"/>
        </w:rPr>
        <w:t xml:space="preserve"> </w:t>
      </w:r>
      <w:r w:rsidR="00DC31B1" w:rsidRPr="000954C1">
        <w:rPr>
          <w:b/>
          <w:bCs/>
          <w:szCs w:val="22"/>
          <w:lang w:val="en-US"/>
        </w:rPr>
        <w:t>(</w:t>
      </w:r>
      <w:r w:rsidR="00D872A7" w:rsidRPr="000954C1">
        <w:rPr>
          <w:b/>
          <w:bCs/>
          <w:szCs w:val="22"/>
          <w:lang w:val="en-US"/>
        </w:rPr>
        <w:t>2005</w:t>
      </w:r>
      <w:r w:rsidR="00DC31B1" w:rsidRPr="000954C1">
        <w:rPr>
          <w:b/>
          <w:bCs/>
          <w:szCs w:val="22"/>
          <w:lang w:val="en-US"/>
        </w:rPr>
        <w:t>)</w:t>
      </w:r>
    </w:p>
    <w:p w14:paraId="02569789" w14:textId="642AA1BB" w:rsidR="00FA65B7" w:rsidRPr="000954C1" w:rsidRDefault="00763AE7" w:rsidP="00C12C93">
      <w:pPr>
        <w:autoSpaceDE w:val="0"/>
        <w:autoSpaceDN w:val="0"/>
        <w:adjustRightInd w:val="0"/>
        <w:rPr>
          <w:rFonts w:cs="Times New Roman"/>
          <w:szCs w:val="22"/>
          <w:lang w:val="en-US"/>
        </w:rPr>
      </w:pPr>
      <w:r w:rsidRPr="000954C1">
        <w:rPr>
          <w:rFonts w:cs="Times New Roman"/>
          <w:szCs w:val="22"/>
          <w:lang w:val="en-US"/>
        </w:rPr>
        <w:t xml:space="preserve">The adopted functional form for </w:t>
      </w:r>
      <w:proofErr w:type="spellStart"/>
      <w:r w:rsidR="00756A93" w:rsidRPr="000954C1">
        <w:rPr>
          <w:rFonts w:cs="Times New Roman"/>
          <w:szCs w:val="22"/>
          <w:lang w:val="en-US"/>
        </w:rPr>
        <w:t>inslab</w:t>
      </w:r>
      <w:proofErr w:type="spellEnd"/>
      <w:r w:rsidR="00756A93" w:rsidRPr="000954C1">
        <w:rPr>
          <w:rFonts w:cs="Times New Roman"/>
          <w:szCs w:val="22"/>
          <w:lang w:val="en-US"/>
        </w:rPr>
        <w:t xml:space="preserve"> area</w:t>
      </w:r>
      <w:r w:rsidRPr="000954C1">
        <w:rPr>
          <w:rFonts w:cs="Times New Roman"/>
          <w:szCs w:val="22"/>
          <w:lang w:val="en-US"/>
        </w:rPr>
        <w:t xml:space="preserve"> is;</w:t>
      </w:r>
    </w:p>
    <w:p w14:paraId="4DFD8018" w14:textId="77777777" w:rsidR="00763AE7" w:rsidRPr="000954C1" w:rsidRDefault="00763AE7" w:rsidP="00763AE7">
      <w:pPr>
        <w:autoSpaceDE w:val="0"/>
        <w:autoSpaceDN w:val="0"/>
        <w:adjustRightInd w:val="0"/>
        <w:rPr>
          <w:rFonts w:cs="Times New Roman"/>
          <w:szCs w:val="22"/>
          <w:lang w:val="en-US"/>
        </w:rPr>
      </w:pPr>
    </w:p>
    <w:p w14:paraId="5C16F6B9" w14:textId="33D3CD41" w:rsidR="00763AE7" w:rsidRPr="000954C1" w:rsidRDefault="000117E2" w:rsidP="00763AE7">
      <w:pPr>
        <w:autoSpaceDE w:val="0"/>
        <w:autoSpaceDN w:val="0"/>
        <w:adjustRightInd w:val="0"/>
        <w:rPr>
          <w:rFonts w:cs="Times New Roman"/>
          <w:iCs/>
          <w:szCs w:val="22"/>
          <w:lang w:val="en-US"/>
        </w:rPr>
      </w:pPr>
      <m:oMath>
        <m:func>
          <m:funcPr>
            <m:ctrlPr>
              <w:rPr>
                <w:rFonts w:ascii="Cambria Math" w:hAnsi="Cambria Math" w:cs="Times New Roman"/>
                <w:iCs/>
                <w:szCs w:val="22"/>
                <w:lang w:val="en-US"/>
              </w:rPr>
            </m:ctrlPr>
          </m:funcPr>
          <m:fName>
            <m:r>
              <m:rPr>
                <m:sty m:val="p"/>
              </m:rPr>
              <w:rPr>
                <w:rFonts w:ascii="Cambria Math" w:hAnsi="Cambria Math" w:cs="Times New Roman"/>
                <w:szCs w:val="22"/>
                <w:lang w:val="en-US"/>
              </w:rPr>
              <m:t>log</m:t>
            </m:r>
          </m:fName>
          <m:e>
            <m:r>
              <m:rPr>
                <m:sty m:val="p"/>
              </m:rPr>
              <w:rPr>
                <w:rFonts w:ascii="Cambria Math" w:hAnsi="Cambria Math" w:cs="Times New Roman"/>
                <w:szCs w:val="22"/>
                <w:lang w:val="en-US"/>
              </w:rPr>
              <m:t>Y</m:t>
            </m:r>
          </m:e>
        </m:func>
        <m:r>
          <m:rPr>
            <m:sty m:val="p"/>
          </m:rPr>
          <w:rPr>
            <w:rFonts w:ascii="Cambria Math" w:hAnsi="Cambria Math" w:cs="Times New Roman"/>
            <w:szCs w:val="22"/>
            <w:lang w:val="en-US"/>
          </w:rPr>
          <m:t>=</m:t>
        </m:r>
        <m:sSub>
          <m:sSubPr>
            <m:ctrlPr>
              <w:rPr>
                <w:rFonts w:ascii="Cambria Math" w:hAnsi="Cambria Math" w:cs="Times New Roman"/>
                <w:iCs/>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1</m:t>
            </m:r>
          </m:sub>
        </m:sSub>
        <m:r>
          <m:rPr>
            <m:sty m:val="p"/>
          </m:rPr>
          <w:rPr>
            <w:rFonts w:ascii="Cambria Math" w:hAnsi="Cambria Math" w:cs="Times New Roman"/>
            <w:szCs w:val="22"/>
            <w:lang w:val="en-US"/>
          </w:rPr>
          <m:t>+</m:t>
        </m:r>
        <m:sSub>
          <m:sSubPr>
            <m:ctrlPr>
              <w:rPr>
                <w:rFonts w:ascii="Cambria Math" w:hAnsi="Cambria Math" w:cs="Times New Roman"/>
                <w:iCs/>
                <w:szCs w:val="22"/>
                <w:lang w:val="en-US"/>
              </w:rPr>
            </m:ctrlPr>
          </m:sSubPr>
          <m:e>
            <m:sSub>
              <m:sSubPr>
                <m:ctrlPr>
                  <w:rPr>
                    <w:rFonts w:ascii="Cambria Math" w:hAnsi="Cambria Math" w:cs="Times New Roman"/>
                    <w:iCs/>
                    <w:szCs w:val="22"/>
                    <w:lang w:val="en-US"/>
                  </w:rPr>
                </m:ctrlPr>
              </m:sSubPr>
              <m:e>
                <m:r>
                  <m:rPr>
                    <m:sty m:val="p"/>
                  </m:rPr>
                  <w:rPr>
                    <w:rFonts w:ascii="Cambria Math" w:hAnsi="Cambria Math" w:cs="Times New Roman"/>
                    <w:szCs w:val="22"/>
                    <w:lang w:val="en-US"/>
                  </w:rPr>
                  <m:t>M</m:t>
                </m:r>
              </m:e>
              <m:sub>
                <m:r>
                  <m:rPr>
                    <m:sty m:val="p"/>
                  </m:rPr>
                  <w:rPr>
                    <w:rFonts w:ascii="Cambria Math" w:hAnsi="Cambria Math" w:cs="Times New Roman"/>
                    <w:szCs w:val="22"/>
                    <w:lang w:val="en-US"/>
                  </w:rPr>
                  <m:t>w</m:t>
                </m:r>
              </m:sub>
            </m:sSub>
            <m:r>
              <m:rPr>
                <m:sty m:val="p"/>
              </m:rPr>
              <w:rPr>
                <w:rFonts w:ascii="Cambria Math" w:hAnsi="Cambria Math" w:cs="Times New Roman"/>
                <w:szCs w:val="22"/>
                <w:lang w:val="en-US"/>
              </w:rPr>
              <m:t>c</m:t>
            </m:r>
          </m:e>
          <m:sub>
            <m:r>
              <m:rPr>
                <m:sty m:val="p"/>
              </m:rPr>
              <w:rPr>
                <w:rFonts w:ascii="Cambria Math" w:hAnsi="Cambria Math" w:cs="Times New Roman"/>
                <w:szCs w:val="22"/>
                <w:lang w:val="en-US"/>
              </w:rPr>
              <m:t>2</m:t>
            </m:r>
          </m:sub>
        </m:sSub>
        <m:r>
          <m:rPr>
            <m:sty m:val="p"/>
          </m:rPr>
          <w:rPr>
            <w:rFonts w:ascii="Cambria Math" w:hAnsi="Cambria Math" w:cs="Times New Roman"/>
            <w:szCs w:val="22"/>
            <w:lang w:val="en-US"/>
          </w:rPr>
          <m:t>+</m:t>
        </m:r>
        <m:sSub>
          <m:sSubPr>
            <m:ctrlPr>
              <w:rPr>
                <w:rFonts w:ascii="Cambria Math" w:hAnsi="Cambria Math" w:cs="Times New Roman"/>
                <w:iCs/>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3</m:t>
            </m:r>
          </m:sub>
        </m:sSub>
        <m:r>
          <m:rPr>
            <m:sty m:val="p"/>
          </m:rPr>
          <w:rPr>
            <w:rFonts w:ascii="Cambria Math" w:hAnsi="Cambria Math" w:cs="Times New Roman"/>
            <w:szCs w:val="22"/>
            <w:lang w:val="en-US"/>
          </w:rPr>
          <m:t>R-</m:t>
        </m:r>
        <m:sSub>
          <m:sSubPr>
            <m:ctrlPr>
              <w:rPr>
                <w:rFonts w:ascii="Cambria Math" w:hAnsi="Cambria Math" w:cs="Times New Roman"/>
                <w:iCs/>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4</m:t>
            </m:r>
          </m:sub>
        </m:sSub>
        <m:r>
          <m:rPr>
            <m:sty m:val="p"/>
          </m:rPr>
          <w:rPr>
            <w:rFonts w:ascii="Cambria Math" w:hAnsi="Cambria Math" w:cs="Times New Roman"/>
            <w:szCs w:val="22"/>
            <w:lang w:val="en-US"/>
          </w:rPr>
          <m:t>logR+</m:t>
        </m:r>
        <m:sSub>
          <m:sSubPr>
            <m:ctrlPr>
              <w:rPr>
                <w:rFonts w:ascii="Cambria Math" w:hAnsi="Cambria Math" w:cs="Times New Roman"/>
                <w:iCs/>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5</m:t>
            </m:r>
          </m:sub>
        </m:sSub>
        <m:r>
          <m:rPr>
            <m:sty m:val="p"/>
          </m:rPr>
          <w:rPr>
            <w:rFonts w:ascii="Cambria Math" w:hAnsi="Cambria Math" w:cs="Times New Roman"/>
            <w:szCs w:val="22"/>
            <w:lang w:val="en-US"/>
          </w:rPr>
          <m:t>H</m:t>
        </m:r>
      </m:oMath>
      <w:r w:rsidR="00535F78" w:rsidRPr="000954C1">
        <w:rPr>
          <w:rFonts w:cs="Times New Roman"/>
          <w:szCs w:val="22"/>
          <w:lang w:val="en-US"/>
        </w:rPr>
        <w:t xml:space="preserve">  </w:t>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3A1C43" w:rsidRPr="000954C1">
        <w:rPr>
          <w:rFonts w:cs="Times New Roman"/>
          <w:szCs w:val="22"/>
          <w:lang w:val="en-US"/>
        </w:rPr>
        <w:t xml:space="preserve">   </w:t>
      </w:r>
      <w:r w:rsidR="00535F78" w:rsidRPr="000954C1">
        <w:rPr>
          <w:rFonts w:cs="Times New Roman"/>
          <w:szCs w:val="22"/>
          <w:lang w:val="en-US"/>
        </w:rPr>
        <w:t>(</w:t>
      </w:r>
      <w:r w:rsidR="00BE7D4C">
        <w:rPr>
          <w:rFonts w:cs="Times New Roman"/>
          <w:szCs w:val="22"/>
          <w:lang w:val="en-US"/>
        </w:rPr>
        <w:t>2</w:t>
      </w:r>
      <w:r w:rsidR="00535F78" w:rsidRPr="000954C1">
        <w:rPr>
          <w:rFonts w:cs="Times New Roman"/>
          <w:szCs w:val="22"/>
          <w:lang w:val="en-US"/>
        </w:rPr>
        <w:t>)</w:t>
      </w:r>
    </w:p>
    <w:p w14:paraId="125A680A" w14:textId="77777777" w:rsidR="00763AE7" w:rsidRPr="000954C1" w:rsidRDefault="00763AE7" w:rsidP="00763AE7">
      <w:pPr>
        <w:autoSpaceDE w:val="0"/>
        <w:autoSpaceDN w:val="0"/>
        <w:adjustRightInd w:val="0"/>
        <w:rPr>
          <w:rFonts w:cs="Times New Roman"/>
          <w:szCs w:val="22"/>
          <w:lang w:val="en-US"/>
        </w:rPr>
      </w:pPr>
    </w:p>
    <w:p w14:paraId="75DBA33F" w14:textId="627E1CA9" w:rsidR="00763AE7" w:rsidRPr="000954C1" w:rsidRDefault="00763AE7" w:rsidP="00763AE7">
      <w:pPr>
        <w:autoSpaceDE w:val="0"/>
        <w:autoSpaceDN w:val="0"/>
        <w:adjustRightInd w:val="0"/>
        <w:rPr>
          <w:rFonts w:cs="Times New Roman"/>
          <w:szCs w:val="22"/>
          <w:lang w:val="en-US"/>
        </w:rPr>
      </w:pPr>
      <w:r w:rsidRPr="000954C1">
        <w:rPr>
          <w:rFonts w:cs="Times New Roman"/>
          <w:szCs w:val="22"/>
          <w:lang w:val="en-US"/>
        </w:rPr>
        <w:t>where Y is the horizontal PGA values, M</w:t>
      </w:r>
      <w:r w:rsidRPr="000954C1">
        <w:rPr>
          <w:rFonts w:cs="Times New Roman"/>
          <w:szCs w:val="22"/>
          <w:vertAlign w:val="subscript"/>
          <w:lang w:val="en-US"/>
        </w:rPr>
        <w:t>W</w:t>
      </w:r>
      <w:r w:rsidRPr="000954C1">
        <w:rPr>
          <w:rFonts w:cs="Times New Roman"/>
          <w:szCs w:val="22"/>
          <w:lang w:val="en-US"/>
        </w:rPr>
        <w:t xml:space="preserve"> is the moment magnitude, R is the </w:t>
      </w:r>
      <w:proofErr w:type="spellStart"/>
      <w:r w:rsidRPr="000954C1">
        <w:rPr>
          <w:rFonts w:cs="Times New Roman"/>
          <w:szCs w:val="22"/>
          <w:lang w:val="en-US"/>
        </w:rPr>
        <w:t>hypocentral</w:t>
      </w:r>
      <w:proofErr w:type="spellEnd"/>
      <w:r w:rsidRPr="000954C1">
        <w:rPr>
          <w:rFonts w:cs="Times New Roman"/>
          <w:szCs w:val="22"/>
          <w:lang w:val="en-US"/>
        </w:rPr>
        <w:t xml:space="preserve"> distance (km), H is the focal depth (km). </w:t>
      </w:r>
    </w:p>
    <w:p w14:paraId="4987B29A" w14:textId="77777777" w:rsidR="00763AE7" w:rsidRPr="000954C1" w:rsidRDefault="00763AE7" w:rsidP="00763AE7">
      <w:pPr>
        <w:autoSpaceDE w:val="0"/>
        <w:autoSpaceDN w:val="0"/>
        <w:adjustRightInd w:val="0"/>
        <w:rPr>
          <w:rFonts w:cs="Times New Roman"/>
          <w:iCs/>
          <w:szCs w:val="22"/>
          <w:lang w:val="en-US"/>
        </w:rPr>
      </w:pPr>
    </w:p>
    <w:p w14:paraId="305348DA" w14:textId="48ED0E60" w:rsidR="00763AE7" w:rsidRPr="000954C1" w:rsidRDefault="0016277D" w:rsidP="00311162">
      <w:pPr>
        <w:jc w:val="left"/>
        <w:rPr>
          <w:b/>
          <w:bCs/>
          <w:lang w:val="en-US"/>
        </w:rPr>
      </w:pPr>
      <w:r w:rsidRPr="000954C1">
        <w:rPr>
          <w:b/>
          <w:bCs/>
          <w:lang w:val="en-US"/>
        </w:rPr>
        <w:t xml:space="preserve">c.) </w:t>
      </w:r>
      <w:r w:rsidR="00763AE7" w:rsidRPr="000954C1">
        <w:rPr>
          <w:b/>
          <w:bCs/>
          <w:lang w:val="en-US"/>
        </w:rPr>
        <w:t xml:space="preserve">Zhao et al. </w:t>
      </w:r>
      <w:r w:rsidR="00DC31B1" w:rsidRPr="000954C1">
        <w:rPr>
          <w:b/>
          <w:bCs/>
          <w:lang w:val="en-US"/>
        </w:rPr>
        <w:t>(</w:t>
      </w:r>
      <w:r w:rsidR="00763AE7" w:rsidRPr="000954C1">
        <w:rPr>
          <w:b/>
          <w:bCs/>
          <w:lang w:val="en-US"/>
        </w:rPr>
        <w:t>2006</w:t>
      </w:r>
      <w:r w:rsidR="00DC31B1" w:rsidRPr="000954C1">
        <w:rPr>
          <w:b/>
          <w:bCs/>
          <w:lang w:val="en-US"/>
        </w:rPr>
        <w:t>)</w:t>
      </w:r>
    </w:p>
    <w:p w14:paraId="52FA6E32" w14:textId="7539EBD5" w:rsidR="00FA65B7" w:rsidRPr="000954C1" w:rsidRDefault="000637C0" w:rsidP="00E937C0">
      <w:pPr>
        <w:pStyle w:val="NormalWeb"/>
        <w:rPr>
          <w:sz w:val="22"/>
          <w:szCs w:val="22"/>
          <w:lang w:val="en-US"/>
        </w:rPr>
      </w:pPr>
      <w:r w:rsidRPr="000954C1">
        <w:rPr>
          <w:sz w:val="22"/>
          <w:szCs w:val="22"/>
          <w:lang w:val="en-US"/>
        </w:rPr>
        <w:t xml:space="preserve">This relation used to estimate ground motions for </w:t>
      </w:r>
      <w:proofErr w:type="spellStart"/>
      <w:r w:rsidRPr="000954C1">
        <w:rPr>
          <w:sz w:val="22"/>
          <w:szCs w:val="22"/>
          <w:lang w:val="en-US"/>
        </w:rPr>
        <w:t>intraslab</w:t>
      </w:r>
      <w:proofErr w:type="spellEnd"/>
      <w:r w:rsidRPr="000954C1">
        <w:rPr>
          <w:sz w:val="22"/>
          <w:szCs w:val="22"/>
          <w:lang w:val="en-US"/>
        </w:rPr>
        <w:t xml:space="preserve"> events and the active shallow crust has a form of</w:t>
      </w:r>
    </w:p>
    <w:p w14:paraId="4A195393" w14:textId="77777777" w:rsidR="000637C0" w:rsidRPr="000954C1" w:rsidRDefault="000637C0" w:rsidP="00E937C0">
      <w:pPr>
        <w:pStyle w:val="NormalWeb"/>
        <w:rPr>
          <w:b/>
          <w:sz w:val="28"/>
          <w:szCs w:val="28"/>
          <w:lang w:val="en-US"/>
        </w:rPr>
      </w:pPr>
    </w:p>
    <w:p w14:paraId="7F0646BE" w14:textId="4BB04E5C" w:rsidR="00C12C93" w:rsidRPr="000954C1" w:rsidRDefault="006633A7" w:rsidP="00C12C93">
      <w:pPr>
        <w:autoSpaceDE w:val="0"/>
        <w:autoSpaceDN w:val="0"/>
        <w:adjustRightInd w:val="0"/>
        <w:rPr>
          <w:rFonts w:cs="Times New Roman"/>
          <w:szCs w:val="22"/>
          <w:lang w:val="en-US"/>
        </w:rPr>
      </w:pPr>
      <m:oMath>
        <m:r>
          <m:rPr>
            <m:sty m:val="p"/>
          </m:rPr>
          <w:rPr>
            <w:rFonts w:ascii="Cambria Math" w:hAnsi="Cambria Math" w:cs="Times New Roman"/>
            <w:szCs w:val="22"/>
            <w:lang w:val="en-US"/>
          </w:rPr>
          <m:t>In</m:t>
        </m:r>
        <m:d>
          <m:dPr>
            <m:ctrlPr>
              <w:rPr>
                <w:rFonts w:ascii="Cambria Math" w:hAnsi="Cambria Math" w:cs="Times New Roman"/>
                <w:szCs w:val="22"/>
                <w:lang w:val="en-US"/>
              </w:rPr>
            </m:ctrlPr>
          </m:dPr>
          <m:e>
            <m:r>
              <m:rPr>
                <m:sty m:val="p"/>
              </m:rPr>
              <w:rPr>
                <w:rFonts w:ascii="Cambria Math" w:hAnsi="Cambria Math" w:cs="Times New Roman"/>
                <w:szCs w:val="22"/>
                <w:lang w:val="en-US"/>
              </w:rPr>
              <m:t>Y</m:t>
            </m:r>
          </m:e>
        </m:d>
        <m:r>
          <m:rPr>
            <m:sty m:val="p"/>
          </m:rPr>
          <w:rPr>
            <w:rFonts w:ascii="Cambria Math" w:hAnsi="Cambria Math" w:cs="Times New Roman"/>
            <w:szCs w:val="22"/>
            <w:lang w:val="en-US"/>
          </w:rPr>
          <m:t>=a</m:t>
        </m:r>
        <m:sSub>
          <m:sSubPr>
            <m:ctrlPr>
              <w:rPr>
                <w:rFonts w:ascii="Cambria Math" w:hAnsi="Cambria Math" w:cs="Times New Roman"/>
                <w:szCs w:val="22"/>
                <w:lang w:val="en-US"/>
              </w:rPr>
            </m:ctrlPr>
          </m:sSubPr>
          <m:e>
            <m:r>
              <m:rPr>
                <m:sty m:val="p"/>
              </m:rPr>
              <w:rPr>
                <w:rFonts w:ascii="Cambria Math" w:hAnsi="Cambria Math" w:cs="Times New Roman"/>
                <w:szCs w:val="22"/>
                <w:lang w:val="en-US"/>
              </w:rPr>
              <m:t>M</m:t>
            </m:r>
          </m:e>
          <m:sub>
            <m:r>
              <m:rPr>
                <m:sty m:val="p"/>
              </m:rPr>
              <w:rPr>
                <w:rFonts w:ascii="Cambria Math" w:hAnsi="Cambria Math" w:cs="Times New Roman"/>
                <w:szCs w:val="22"/>
                <w:lang w:val="en-US"/>
              </w:rPr>
              <m:t>w</m:t>
            </m:r>
          </m:sub>
        </m:sSub>
        <m:r>
          <m:rPr>
            <m:sty m:val="p"/>
          </m:rPr>
          <w:rPr>
            <w:rFonts w:ascii="Cambria Math" w:hAnsi="Cambria Math" w:cs="Times New Roman"/>
            <w:szCs w:val="22"/>
            <w:lang w:val="en-US"/>
          </w:rPr>
          <m:t>+bx-In</m:t>
        </m:r>
        <m:d>
          <m:dPr>
            <m:ctrlPr>
              <w:rPr>
                <w:rFonts w:ascii="Cambria Math" w:hAnsi="Cambria Math" w:cs="Times New Roman"/>
                <w:szCs w:val="22"/>
                <w:lang w:val="en-US"/>
              </w:rPr>
            </m:ctrlPr>
          </m:dPr>
          <m:e>
            <m:r>
              <m:rPr>
                <m:sty m:val="p"/>
              </m:rPr>
              <w:rPr>
                <w:rFonts w:ascii="Cambria Math" w:hAnsi="Cambria Math" w:cs="Times New Roman"/>
                <w:szCs w:val="22"/>
                <w:lang w:val="en-US"/>
              </w:rPr>
              <m:t>r</m:t>
            </m:r>
          </m:e>
        </m:d>
        <m:r>
          <m:rPr>
            <m:sty m:val="p"/>
          </m:rPr>
          <w:rPr>
            <w:rFonts w:ascii="Cambria Math" w:hAnsi="Cambria Math" w:cs="Times New Roman"/>
            <w:szCs w:val="22"/>
            <w:lang w:val="en-US"/>
          </w:rPr>
          <m:t>+e</m:t>
        </m:r>
        <m:d>
          <m:dPr>
            <m:ctrlPr>
              <w:rPr>
                <w:rFonts w:ascii="Cambria Math" w:hAnsi="Cambria Math" w:cs="Times New Roman"/>
                <w:szCs w:val="22"/>
                <w:lang w:val="en-US"/>
              </w:rPr>
            </m:ctrlPr>
          </m:dPr>
          <m:e>
            <m:r>
              <m:rPr>
                <m:sty m:val="p"/>
              </m:rPr>
              <w:rPr>
                <w:rFonts w:ascii="Cambria Math" w:hAnsi="Cambria Math" w:cs="Times New Roman"/>
                <w:szCs w:val="22"/>
                <w:lang w:val="en-US"/>
              </w:rPr>
              <m:t>h-</m:t>
            </m:r>
            <m:sSub>
              <m:sSubPr>
                <m:ctrlPr>
                  <w:rPr>
                    <w:rFonts w:ascii="Cambria Math" w:hAnsi="Cambria Math" w:cs="Times New Roman"/>
                    <w:szCs w:val="22"/>
                    <w:lang w:val="en-US"/>
                  </w:rPr>
                </m:ctrlPr>
              </m:sSubPr>
              <m:e>
                <m:r>
                  <m:rPr>
                    <m:sty m:val="p"/>
                  </m:rPr>
                  <w:rPr>
                    <w:rFonts w:ascii="Cambria Math" w:hAnsi="Cambria Math" w:cs="Times New Roman"/>
                    <w:szCs w:val="22"/>
                    <w:lang w:val="en-US"/>
                  </w:rPr>
                  <m:t>h</m:t>
                </m:r>
              </m:e>
              <m:sub>
                <m:r>
                  <m:rPr>
                    <m:sty m:val="p"/>
                  </m:rPr>
                  <w:rPr>
                    <w:rFonts w:ascii="Cambria Math" w:hAnsi="Cambria Math" w:cs="Times New Roman"/>
                    <w:szCs w:val="22"/>
                    <w:lang w:val="en-US"/>
                  </w:rPr>
                  <m:t>c</m:t>
                </m:r>
              </m:sub>
            </m:sSub>
          </m:e>
        </m:d>
        <m:sSub>
          <m:sSubPr>
            <m:ctrlPr>
              <w:rPr>
                <w:rFonts w:ascii="Cambria Math" w:hAnsi="Cambria Math" w:cs="Times New Roman"/>
                <w:szCs w:val="22"/>
                <w:lang w:val="en-US"/>
              </w:rPr>
            </m:ctrlPr>
          </m:sSubPr>
          <m:e>
            <m:r>
              <m:rPr>
                <m:sty m:val="p"/>
              </m:rPr>
              <w:rPr>
                <w:rFonts w:ascii="Cambria Math" w:hAnsi="Cambria Math" w:cs="Times New Roman"/>
                <w:szCs w:val="22"/>
                <w:lang w:val="en-US"/>
              </w:rPr>
              <w:sym w:font="Symbol" w:char="F064"/>
            </m:r>
          </m:e>
          <m:sub>
            <m:r>
              <m:rPr>
                <m:sty m:val="p"/>
              </m:rPr>
              <w:rPr>
                <w:rFonts w:ascii="Cambria Math" w:hAnsi="Cambria Math" w:cs="Times New Roman"/>
                <w:szCs w:val="22"/>
                <w:lang w:val="en-US"/>
              </w:rPr>
              <m:t>h</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F</m:t>
            </m:r>
          </m:e>
          <m:sub>
            <m:r>
              <m:rPr>
                <m:sty m:val="p"/>
              </m:rPr>
              <w:rPr>
                <w:rFonts w:ascii="Cambria Math" w:hAnsi="Cambria Math" w:cs="Times New Roman"/>
                <w:szCs w:val="22"/>
                <w:lang w:val="en-US"/>
              </w:rPr>
              <m:t>R</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S</m:t>
            </m:r>
          </m:e>
          <m:sub>
            <m:r>
              <m:rPr>
                <m:sty m:val="p"/>
              </m:rPr>
              <w:rPr>
                <w:rFonts w:ascii="Cambria Math" w:hAnsi="Cambria Math" w:cs="Times New Roman"/>
                <w:szCs w:val="22"/>
                <w:lang w:val="en-US"/>
              </w:rPr>
              <m:t>I</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S</m:t>
            </m:r>
          </m:e>
          <m:sub>
            <m:r>
              <m:rPr>
                <m:sty m:val="p"/>
              </m:rPr>
              <w:rPr>
                <w:rFonts w:ascii="Cambria Math" w:hAnsi="Cambria Math" w:cs="Times New Roman"/>
                <w:szCs w:val="22"/>
                <w:lang w:val="en-US"/>
              </w:rPr>
              <m:t>s</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S</m:t>
            </m:r>
          </m:e>
          <m:sub>
            <m:r>
              <m:rPr>
                <m:sty m:val="p"/>
              </m:rPr>
              <w:rPr>
                <w:rFonts w:ascii="Cambria Math" w:hAnsi="Cambria Math" w:cs="Times New Roman"/>
                <w:szCs w:val="22"/>
                <w:lang w:val="en-US"/>
              </w:rPr>
              <m:t>SL</m:t>
            </m:r>
          </m:sub>
        </m:sSub>
        <m:func>
          <m:funcPr>
            <m:ctrlPr>
              <w:rPr>
                <w:rFonts w:ascii="Cambria Math" w:hAnsi="Cambria Math" w:cs="Times New Roman"/>
                <w:szCs w:val="22"/>
                <w:lang w:val="en-US"/>
              </w:rPr>
            </m:ctrlPr>
          </m:funcPr>
          <m:fName>
            <m:r>
              <m:rPr>
                <m:sty m:val="p"/>
              </m:rPr>
              <w:rPr>
                <w:rFonts w:ascii="Cambria Math" w:hAnsi="Cambria Math" w:cs="Times New Roman"/>
                <w:szCs w:val="22"/>
                <w:lang w:val="en-US"/>
              </w:rPr>
              <m:t>log</m:t>
            </m:r>
          </m:fName>
          <m:e>
            <m:d>
              <m:dPr>
                <m:ctrlPr>
                  <w:rPr>
                    <w:rFonts w:ascii="Cambria Math" w:hAnsi="Cambria Math" w:cs="Times New Roman"/>
                    <w:szCs w:val="22"/>
                    <w:lang w:val="en-US"/>
                  </w:rPr>
                </m:ctrlPr>
              </m:dPr>
              <m:e>
                <m:r>
                  <m:rPr>
                    <m:sty m:val="p"/>
                  </m:rPr>
                  <w:rPr>
                    <w:rFonts w:ascii="Cambria Math" w:hAnsi="Cambria Math" w:cs="Times New Roman"/>
                    <w:szCs w:val="22"/>
                    <w:lang w:val="en-US"/>
                  </w:rPr>
                  <m:t>x</m:t>
                </m:r>
              </m:e>
            </m:d>
          </m:e>
        </m:func>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k</m:t>
            </m:r>
          </m:sub>
        </m:sSub>
      </m:oMath>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3A1C43" w:rsidRPr="000954C1">
        <w:rPr>
          <w:rFonts w:cs="Times New Roman"/>
          <w:szCs w:val="22"/>
          <w:lang w:val="en-US"/>
        </w:rPr>
        <w:t xml:space="preserve">   </w:t>
      </w:r>
      <w:r w:rsidR="00535F78" w:rsidRPr="000954C1">
        <w:rPr>
          <w:rFonts w:cs="Times New Roman"/>
          <w:szCs w:val="22"/>
          <w:lang w:val="en-US"/>
        </w:rPr>
        <w:t>(</w:t>
      </w:r>
      <w:r w:rsidR="00BE7D4C">
        <w:rPr>
          <w:rFonts w:cs="Times New Roman"/>
          <w:szCs w:val="22"/>
          <w:lang w:val="en-US"/>
        </w:rPr>
        <w:t>3</w:t>
      </w:r>
      <w:r w:rsidR="00535F78" w:rsidRPr="000954C1">
        <w:rPr>
          <w:rFonts w:cs="Times New Roman"/>
          <w:szCs w:val="22"/>
          <w:lang w:val="en-US"/>
        </w:rPr>
        <w:t>)</w:t>
      </w:r>
    </w:p>
    <w:p w14:paraId="1442D7EC" w14:textId="56EAFF52" w:rsidR="00FA65B7" w:rsidRPr="000954C1" w:rsidRDefault="00FA65B7" w:rsidP="00E937C0">
      <w:pPr>
        <w:pStyle w:val="NormalWeb"/>
        <w:rPr>
          <w:b/>
          <w:sz w:val="28"/>
          <w:szCs w:val="28"/>
          <w:lang w:val="en-US"/>
        </w:rPr>
      </w:pPr>
    </w:p>
    <w:p w14:paraId="746F369B" w14:textId="32DF1B28" w:rsidR="004C2380" w:rsidRPr="000954C1" w:rsidRDefault="004C2380" w:rsidP="004C2380">
      <w:pPr>
        <w:autoSpaceDE w:val="0"/>
        <w:autoSpaceDN w:val="0"/>
        <w:adjustRightInd w:val="0"/>
        <w:rPr>
          <w:rFonts w:cs="Times New Roman"/>
          <w:szCs w:val="22"/>
          <w:lang w:val="en-US"/>
        </w:rPr>
      </w:pPr>
      <m:oMath>
        <m:r>
          <m:rPr>
            <m:sty m:val="p"/>
          </m:rPr>
          <w:rPr>
            <w:rFonts w:ascii="Cambria Math" w:hAnsi="Cambria Math" w:cs="Times New Roman"/>
            <w:szCs w:val="22"/>
            <w:lang w:val="en-US"/>
          </w:rPr>
          <m:t>r=x+c exp⁡(d</m:t>
        </m:r>
        <m:sSub>
          <m:sSubPr>
            <m:ctrlPr>
              <w:rPr>
                <w:rFonts w:ascii="Cambria Math" w:hAnsi="Cambria Math" w:cs="Times New Roman"/>
                <w:szCs w:val="22"/>
                <w:lang w:val="en-US"/>
              </w:rPr>
            </m:ctrlPr>
          </m:sSubPr>
          <m:e>
            <m:r>
              <m:rPr>
                <m:sty m:val="p"/>
              </m:rPr>
              <w:rPr>
                <w:rFonts w:ascii="Cambria Math" w:hAnsi="Cambria Math" w:cs="Times New Roman"/>
                <w:szCs w:val="22"/>
                <w:lang w:val="en-US"/>
              </w:rPr>
              <m:t>M</m:t>
            </m:r>
          </m:e>
          <m:sub>
            <m:r>
              <m:rPr>
                <m:sty m:val="p"/>
              </m:rPr>
              <w:rPr>
                <w:rFonts w:ascii="Cambria Math" w:hAnsi="Cambria Math" w:cs="Times New Roman"/>
                <w:szCs w:val="22"/>
                <w:lang w:val="en-US"/>
              </w:rPr>
              <m:t>w</m:t>
            </m:r>
          </m:sub>
        </m:sSub>
        <m:r>
          <m:rPr>
            <m:sty m:val="p"/>
          </m:rPr>
          <w:rPr>
            <w:rFonts w:ascii="Cambria Math" w:hAnsi="Cambria Math" w:cs="Times New Roman"/>
            <w:szCs w:val="22"/>
            <w:lang w:val="en-US"/>
          </w:rPr>
          <m:t>)</m:t>
        </m:r>
      </m:oMath>
      <w:r w:rsidR="00535F78" w:rsidRPr="000954C1">
        <w:rPr>
          <w:rFonts w:cs="Times New Roman"/>
          <w:szCs w:val="22"/>
          <w:lang w:val="en-US"/>
        </w:rPr>
        <w:t xml:space="preserve"> </w:t>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535F78" w:rsidRPr="000954C1">
        <w:rPr>
          <w:rFonts w:cs="Times New Roman"/>
          <w:szCs w:val="22"/>
          <w:lang w:val="en-US"/>
        </w:rPr>
        <w:tab/>
      </w:r>
      <w:r w:rsidR="003A1C43" w:rsidRPr="000954C1">
        <w:rPr>
          <w:rFonts w:cs="Times New Roman"/>
          <w:szCs w:val="22"/>
          <w:lang w:val="en-US"/>
        </w:rPr>
        <w:t xml:space="preserve">   </w:t>
      </w:r>
      <w:r w:rsidR="00535F78" w:rsidRPr="000954C1">
        <w:rPr>
          <w:rFonts w:cs="Times New Roman"/>
          <w:szCs w:val="22"/>
          <w:lang w:val="en-US"/>
        </w:rPr>
        <w:t>(</w:t>
      </w:r>
      <w:r w:rsidR="00BE7D4C">
        <w:rPr>
          <w:rFonts w:cs="Times New Roman"/>
          <w:szCs w:val="22"/>
          <w:lang w:val="en-US"/>
        </w:rPr>
        <w:t>4</w:t>
      </w:r>
      <w:r w:rsidR="00535F78" w:rsidRPr="000954C1">
        <w:rPr>
          <w:rFonts w:cs="Times New Roman"/>
          <w:szCs w:val="22"/>
          <w:lang w:val="en-US"/>
        </w:rPr>
        <w:t>)</w:t>
      </w:r>
    </w:p>
    <w:p w14:paraId="1646B256" w14:textId="7D2154B4" w:rsidR="006E5A06" w:rsidRPr="000954C1" w:rsidRDefault="004C2380" w:rsidP="002D29DC">
      <w:pPr>
        <w:autoSpaceDE w:val="0"/>
        <w:autoSpaceDN w:val="0"/>
        <w:adjustRightInd w:val="0"/>
        <w:rPr>
          <w:rFonts w:cs="Times New Roman"/>
          <w:szCs w:val="22"/>
          <w:lang w:val="en-US"/>
        </w:rPr>
      </w:pPr>
      <w:r w:rsidRPr="000954C1">
        <w:rPr>
          <w:bCs/>
          <w:szCs w:val="22"/>
          <w:lang w:val="en-US"/>
        </w:rPr>
        <w:lastRenderedPageBreak/>
        <w:t xml:space="preserve">where </w:t>
      </w:r>
      <w:r w:rsidR="009E656D" w:rsidRPr="000954C1">
        <w:rPr>
          <w:bCs/>
          <w:szCs w:val="22"/>
          <w:lang w:val="en-US"/>
        </w:rPr>
        <w:t>Y</w:t>
      </w:r>
      <w:r w:rsidRPr="000954C1">
        <w:rPr>
          <w:bCs/>
          <w:szCs w:val="22"/>
          <w:lang w:val="en-US"/>
        </w:rPr>
        <w:t xml:space="preserve"> is PGA (cm/sec</w:t>
      </w:r>
      <w:r w:rsidRPr="000954C1">
        <w:rPr>
          <w:bCs/>
          <w:szCs w:val="22"/>
          <w:vertAlign w:val="superscript"/>
          <w:lang w:val="en-US"/>
        </w:rPr>
        <w:t>2</w:t>
      </w:r>
      <w:r w:rsidR="002D29DC" w:rsidRPr="000954C1">
        <w:rPr>
          <w:bCs/>
          <w:szCs w:val="22"/>
          <w:lang w:val="en-US"/>
        </w:rPr>
        <w:t>),</w:t>
      </w:r>
      <w:r w:rsidR="002D29DC" w:rsidRPr="000954C1">
        <w:rPr>
          <w:rFonts w:cs="Times New Roman"/>
          <w:szCs w:val="22"/>
          <w:lang w:val="en-US"/>
        </w:rPr>
        <w:t xml:space="preserve"> M</w:t>
      </w:r>
      <w:r w:rsidR="002D29DC" w:rsidRPr="000954C1">
        <w:rPr>
          <w:rFonts w:cs="Times New Roman"/>
          <w:szCs w:val="22"/>
          <w:vertAlign w:val="subscript"/>
          <w:lang w:val="en-US"/>
        </w:rPr>
        <w:t>W</w:t>
      </w:r>
      <w:r w:rsidR="002D29DC" w:rsidRPr="000954C1">
        <w:rPr>
          <w:rFonts w:cs="Times New Roman"/>
          <w:szCs w:val="22"/>
          <w:lang w:val="en-US"/>
        </w:rPr>
        <w:t xml:space="preserve"> is the moment magnitude, x is the source distance in km, h is the focal depth (km)</w:t>
      </w:r>
      <w:r w:rsidR="003932DC" w:rsidRPr="003932DC">
        <w:rPr>
          <w:sz w:val="20"/>
          <w:szCs w:val="20"/>
          <w:lang w:val="en-US"/>
        </w:rPr>
        <w:t xml:space="preserve"> </w:t>
      </w:r>
      <w:r w:rsidR="003932DC">
        <w:rPr>
          <w:sz w:val="20"/>
          <w:szCs w:val="20"/>
          <w:lang w:val="en-US"/>
        </w:rPr>
        <w:t>(</w:t>
      </w:r>
      <w:r w:rsidR="003932DC" w:rsidRPr="003932DC">
        <w:rPr>
          <w:sz w:val="20"/>
          <w:szCs w:val="20"/>
          <w:lang w:val="en-US"/>
        </w:rPr>
        <w:t xml:space="preserve">Md. </w:t>
      </w:r>
      <w:proofErr w:type="spellStart"/>
      <w:r w:rsidR="003932DC" w:rsidRPr="003932DC">
        <w:rPr>
          <w:sz w:val="20"/>
          <w:szCs w:val="20"/>
          <w:lang w:val="en-US"/>
        </w:rPr>
        <w:t>Zillur</w:t>
      </w:r>
      <w:bookmarkStart w:id="0" w:name="_GoBack"/>
      <w:bookmarkEnd w:id="0"/>
      <w:proofErr w:type="spellEnd"/>
      <w:r w:rsidR="003932DC">
        <w:rPr>
          <w:sz w:val="20"/>
          <w:szCs w:val="20"/>
          <w:lang w:val="en-US"/>
        </w:rPr>
        <w:t>, 2019)</w:t>
      </w:r>
      <w:r w:rsidR="002D29DC" w:rsidRPr="000954C1">
        <w:rPr>
          <w:rFonts w:cs="Times New Roman"/>
          <w:szCs w:val="22"/>
          <w:lang w:val="en-US"/>
        </w:rPr>
        <w:t>. F</w:t>
      </w:r>
      <w:r w:rsidR="002D29DC" w:rsidRPr="000954C1">
        <w:rPr>
          <w:rFonts w:cs="Times New Roman"/>
          <w:szCs w:val="22"/>
          <w:vertAlign w:val="subscript"/>
          <w:lang w:val="en-US"/>
        </w:rPr>
        <w:t>R</w:t>
      </w:r>
      <w:r w:rsidR="002D29DC" w:rsidRPr="000954C1">
        <w:rPr>
          <w:rFonts w:cs="Times New Roman"/>
          <w:szCs w:val="22"/>
          <w:lang w:val="en-US"/>
        </w:rPr>
        <w:t xml:space="preserve"> is zero for crustal events with a reverse faulting mechanism. S</w:t>
      </w:r>
      <w:r w:rsidR="002D29DC" w:rsidRPr="000954C1">
        <w:rPr>
          <w:rFonts w:cs="Times New Roman"/>
          <w:szCs w:val="22"/>
          <w:vertAlign w:val="subscript"/>
          <w:lang w:val="en-US"/>
        </w:rPr>
        <w:t>I</w:t>
      </w:r>
      <w:r w:rsidR="002D29DC" w:rsidRPr="000954C1">
        <w:rPr>
          <w:rFonts w:cs="Times New Roman"/>
          <w:szCs w:val="22"/>
          <w:lang w:val="en-US"/>
        </w:rPr>
        <w:t xml:space="preserve"> is zero for interface events. </w:t>
      </w:r>
      <w:r w:rsidR="006E5A06" w:rsidRPr="000954C1">
        <w:rPr>
          <w:rFonts w:cs="Times New Roman"/>
          <w:szCs w:val="22"/>
          <w:lang w:val="en-US"/>
        </w:rPr>
        <w:t>S</w:t>
      </w:r>
      <w:r w:rsidR="006E5A06" w:rsidRPr="000954C1">
        <w:rPr>
          <w:rFonts w:cs="Times New Roman"/>
          <w:szCs w:val="22"/>
          <w:vertAlign w:val="subscript"/>
          <w:lang w:val="en-US"/>
        </w:rPr>
        <w:t>S</w:t>
      </w:r>
      <w:r w:rsidR="006E5A06" w:rsidRPr="000954C1">
        <w:rPr>
          <w:rFonts w:cs="Times New Roman"/>
          <w:szCs w:val="22"/>
          <w:lang w:val="en-US"/>
        </w:rPr>
        <w:t xml:space="preserve"> is zero for subduction slab events. S</w:t>
      </w:r>
      <w:r w:rsidR="006E5A06" w:rsidRPr="000954C1">
        <w:rPr>
          <w:rFonts w:cs="Times New Roman"/>
          <w:szCs w:val="22"/>
          <w:vertAlign w:val="subscript"/>
          <w:lang w:val="en-US"/>
        </w:rPr>
        <w:t>L</w:t>
      </w:r>
      <w:r w:rsidR="006E5A06" w:rsidRPr="000954C1">
        <w:rPr>
          <w:rFonts w:cs="Times New Roman"/>
          <w:szCs w:val="22"/>
          <w:lang w:val="en-US"/>
        </w:rPr>
        <w:t xml:space="preserve"> is a magnitude-independent path. C</w:t>
      </w:r>
      <w:r w:rsidR="006E5A06" w:rsidRPr="000954C1">
        <w:rPr>
          <w:rFonts w:cs="Times New Roman"/>
          <w:szCs w:val="22"/>
          <w:vertAlign w:val="subscript"/>
          <w:lang w:val="en-US"/>
        </w:rPr>
        <w:t xml:space="preserve">k </w:t>
      </w:r>
      <w:r w:rsidR="006E5A06" w:rsidRPr="000954C1">
        <w:rPr>
          <w:rFonts w:cs="Times New Roman"/>
          <w:szCs w:val="22"/>
          <w:lang w:val="en-US"/>
        </w:rPr>
        <w:t xml:space="preserve">is the site-class term. </w:t>
      </w:r>
      <w:proofErr w:type="spellStart"/>
      <w:r w:rsidR="006E5A06" w:rsidRPr="000954C1">
        <w:rPr>
          <w:rFonts w:cs="Times New Roman"/>
          <w:szCs w:val="22"/>
          <w:lang w:val="en-US"/>
        </w:rPr>
        <w:t>h</w:t>
      </w:r>
      <w:r w:rsidR="006E5A06" w:rsidRPr="000954C1">
        <w:rPr>
          <w:rFonts w:cs="Times New Roman"/>
          <w:szCs w:val="22"/>
          <w:vertAlign w:val="subscript"/>
          <w:lang w:val="en-US"/>
        </w:rPr>
        <w:t>c</w:t>
      </w:r>
      <w:proofErr w:type="spellEnd"/>
      <w:r w:rsidR="006E5A06" w:rsidRPr="000954C1">
        <w:rPr>
          <w:rFonts w:cs="Times New Roman"/>
          <w:szCs w:val="22"/>
          <w:lang w:val="en-US"/>
        </w:rPr>
        <w:t xml:space="preserve"> is a depth constant. </w:t>
      </w:r>
    </w:p>
    <w:p w14:paraId="1E88482A" w14:textId="77777777" w:rsidR="00695475" w:rsidRPr="000954C1" w:rsidRDefault="00695475" w:rsidP="002D29DC">
      <w:pPr>
        <w:autoSpaceDE w:val="0"/>
        <w:autoSpaceDN w:val="0"/>
        <w:adjustRightInd w:val="0"/>
        <w:rPr>
          <w:rFonts w:cs="Times New Roman"/>
          <w:szCs w:val="22"/>
          <w:lang w:val="en-US"/>
        </w:rPr>
      </w:pPr>
    </w:p>
    <w:p w14:paraId="3CCBE2B5" w14:textId="37A93723" w:rsidR="006E5A06" w:rsidRPr="000954C1" w:rsidRDefault="0016277D" w:rsidP="002D29DC">
      <w:pPr>
        <w:autoSpaceDE w:val="0"/>
        <w:autoSpaceDN w:val="0"/>
        <w:adjustRightInd w:val="0"/>
        <w:rPr>
          <w:rFonts w:cs="Times New Roman"/>
          <w:b/>
          <w:bCs/>
          <w:szCs w:val="22"/>
          <w:lang w:val="en-US"/>
        </w:rPr>
      </w:pPr>
      <w:r w:rsidRPr="000954C1">
        <w:rPr>
          <w:rFonts w:cs="Times New Roman"/>
          <w:b/>
          <w:bCs/>
          <w:szCs w:val="22"/>
          <w:lang w:val="en-US"/>
        </w:rPr>
        <w:t xml:space="preserve">d.) </w:t>
      </w:r>
      <w:proofErr w:type="spellStart"/>
      <w:r w:rsidR="006E5A06" w:rsidRPr="000954C1">
        <w:rPr>
          <w:rFonts w:cs="Times New Roman"/>
          <w:b/>
          <w:bCs/>
          <w:szCs w:val="22"/>
          <w:lang w:val="en-US"/>
        </w:rPr>
        <w:t>Akkar</w:t>
      </w:r>
      <w:proofErr w:type="spellEnd"/>
      <w:r w:rsidR="006E5A06" w:rsidRPr="000954C1">
        <w:rPr>
          <w:rFonts w:cs="Times New Roman"/>
          <w:b/>
          <w:bCs/>
          <w:szCs w:val="22"/>
          <w:lang w:val="en-US"/>
        </w:rPr>
        <w:t xml:space="preserve"> and </w:t>
      </w:r>
      <w:proofErr w:type="spellStart"/>
      <w:r w:rsidR="006E5A06" w:rsidRPr="000954C1">
        <w:rPr>
          <w:rFonts w:cs="Times New Roman"/>
          <w:b/>
          <w:bCs/>
          <w:szCs w:val="22"/>
          <w:lang w:val="en-US"/>
        </w:rPr>
        <w:t>Cagnan</w:t>
      </w:r>
      <w:proofErr w:type="spellEnd"/>
      <w:r w:rsidR="006E5A06" w:rsidRPr="000954C1">
        <w:rPr>
          <w:rFonts w:cs="Times New Roman"/>
          <w:b/>
          <w:bCs/>
          <w:szCs w:val="22"/>
          <w:lang w:val="en-US"/>
        </w:rPr>
        <w:t xml:space="preserve"> </w:t>
      </w:r>
      <w:r w:rsidR="00DC31B1" w:rsidRPr="000954C1">
        <w:rPr>
          <w:rFonts w:cs="Times New Roman"/>
          <w:b/>
          <w:bCs/>
          <w:szCs w:val="22"/>
          <w:lang w:val="en-US"/>
        </w:rPr>
        <w:t>(</w:t>
      </w:r>
      <w:r w:rsidR="008C01DE" w:rsidRPr="000954C1">
        <w:rPr>
          <w:rFonts w:cs="Times New Roman"/>
          <w:b/>
          <w:bCs/>
          <w:szCs w:val="22"/>
          <w:lang w:val="en-US"/>
        </w:rPr>
        <w:t>2010</w:t>
      </w:r>
      <w:r w:rsidR="00DC31B1" w:rsidRPr="000954C1">
        <w:rPr>
          <w:rFonts w:cs="Times New Roman"/>
          <w:b/>
          <w:bCs/>
          <w:szCs w:val="22"/>
          <w:lang w:val="en-US"/>
        </w:rPr>
        <w:t>)</w:t>
      </w:r>
    </w:p>
    <w:p w14:paraId="26D0680D" w14:textId="726DE08C" w:rsidR="006E5A06" w:rsidRPr="000954C1" w:rsidRDefault="006E5A06" w:rsidP="008C01DE">
      <w:pPr>
        <w:autoSpaceDE w:val="0"/>
        <w:autoSpaceDN w:val="0"/>
        <w:adjustRightInd w:val="0"/>
        <w:rPr>
          <w:rFonts w:cs="Times New Roman"/>
          <w:szCs w:val="22"/>
          <w:lang w:val="en-US"/>
        </w:rPr>
      </w:pPr>
      <w:r w:rsidRPr="000954C1">
        <w:rPr>
          <w:rFonts w:cs="Times New Roman"/>
          <w:szCs w:val="22"/>
          <w:lang w:val="en-US"/>
        </w:rPr>
        <w:t xml:space="preserve">This equation </w:t>
      </w:r>
      <w:r w:rsidR="008C01DE" w:rsidRPr="000954C1">
        <w:rPr>
          <w:rFonts w:cs="Times New Roman"/>
          <w:szCs w:val="22"/>
          <w:lang w:val="en-US"/>
        </w:rPr>
        <w:t>account</w:t>
      </w:r>
      <w:r w:rsidR="003F786C" w:rsidRPr="000954C1">
        <w:rPr>
          <w:rFonts w:cs="Times New Roman"/>
          <w:szCs w:val="22"/>
          <w:lang w:val="en-US"/>
        </w:rPr>
        <w:t>s</w:t>
      </w:r>
      <w:r w:rsidR="008C01DE" w:rsidRPr="000954C1">
        <w:rPr>
          <w:rFonts w:cs="Times New Roman"/>
          <w:szCs w:val="22"/>
          <w:lang w:val="en-US"/>
        </w:rPr>
        <w:t xml:space="preserve"> for saturation and magnitude-dependent decay effects</w:t>
      </w:r>
      <w:r w:rsidR="003F786C" w:rsidRPr="000954C1">
        <w:rPr>
          <w:rFonts w:cs="Times New Roman"/>
          <w:szCs w:val="22"/>
          <w:lang w:val="en-US"/>
        </w:rPr>
        <w:t xml:space="preserve"> </w:t>
      </w:r>
      <w:r w:rsidR="00E62B7E" w:rsidRPr="000954C1">
        <w:rPr>
          <w:rFonts w:cs="Times New Roman"/>
          <w:szCs w:val="22"/>
          <w:lang w:val="en-US"/>
        </w:rPr>
        <w:t>are</w:t>
      </w:r>
      <w:r w:rsidR="003F786C" w:rsidRPr="000954C1">
        <w:rPr>
          <w:rFonts w:cs="Times New Roman"/>
          <w:szCs w:val="22"/>
          <w:lang w:val="en-US"/>
        </w:rPr>
        <w:t>;</w:t>
      </w:r>
    </w:p>
    <w:p w14:paraId="0782C8A3" w14:textId="193DD81B" w:rsidR="002D29DC" w:rsidRPr="000954C1" w:rsidRDefault="002D29DC" w:rsidP="002D29DC">
      <w:pPr>
        <w:autoSpaceDE w:val="0"/>
        <w:autoSpaceDN w:val="0"/>
        <w:adjustRightInd w:val="0"/>
        <w:rPr>
          <w:rFonts w:cs="Times New Roman"/>
          <w:iCs/>
          <w:szCs w:val="22"/>
          <w:lang w:val="en-US"/>
        </w:rPr>
      </w:pPr>
    </w:p>
    <w:p w14:paraId="74984EA9" w14:textId="2C96FB92" w:rsidR="008C01DE" w:rsidRPr="000954C1" w:rsidRDefault="008C01DE" w:rsidP="002D29DC">
      <w:pPr>
        <w:autoSpaceDE w:val="0"/>
        <w:autoSpaceDN w:val="0"/>
        <w:adjustRightInd w:val="0"/>
        <w:rPr>
          <w:rFonts w:cs="Times New Roman"/>
          <w:sz w:val="20"/>
          <w:szCs w:val="20"/>
          <w:lang w:val="en-US"/>
        </w:rPr>
      </w:pPr>
      <w:r w:rsidRPr="000954C1">
        <w:rPr>
          <w:rFonts w:cs="Times New Roman"/>
          <w:sz w:val="20"/>
          <w:szCs w:val="20"/>
          <w:lang w:val="en-US"/>
        </w:rPr>
        <w:t xml:space="preserve">For M ≤ </w:t>
      </w:r>
      <w:r w:rsidRPr="000954C1">
        <w:rPr>
          <w:rFonts w:cs="Times New Roman"/>
          <w:szCs w:val="22"/>
          <w:lang w:val="en-US"/>
        </w:rPr>
        <w:t>c</w:t>
      </w:r>
      <w:r w:rsidRPr="000954C1">
        <w:rPr>
          <w:rFonts w:cs="Times New Roman"/>
          <w:sz w:val="14"/>
          <w:szCs w:val="14"/>
          <w:lang w:val="en-US"/>
        </w:rPr>
        <w:t>1</w:t>
      </w:r>
      <w:r w:rsidRPr="000954C1">
        <w:rPr>
          <w:rFonts w:cs="Times New Roman"/>
          <w:sz w:val="20"/>
          <w:szCs w:val="20"/>
          <w:lang w:val="en-US"/>
        </w:rPr>
        <w:t>:</w:t>
      </w:r>
    </w:p>
    <w:p w14:paraId="373DEE00" w14:textId="77777777" w:rsidR="00D15A47" w:rsidRPr="000954C1" w:rsidRDefault="00D15A47" w:rsidP="002D29DC">
      <w:pPr>
        <w:autoSpaceDE w:val="0"/>
        <w:autoSpaceDN w:val="0"/>
        <w:adjustRightInd w:val="0"/>
        <w:rPr>
          <w:rFonts w:cs="Times New Roman"/>
          <w:iCs/>
          <w:szCs w:val="22"/>
          <w:lang w:val="en-US"/>
        </w:rPr>
      </w:pPr>
    </w:p>
    <w:p w14:paraId="7FD95885" w14:textId="092A642E" w:rsidR="008C01DE" w:rsidRPr="000954C1" w:rsidRDefault="00D15A47" w:rsidP="008C01DE">
      <w:pPr>
        <w:autoSpaceDE w:val="0"/>
        <w:autoSpaceDN w:val="0"/>
        <w:adjustRightInd w:val="0"/>
        <w:rPr>
          <w:rFonts w:cs="Times New Roman"/>
          <w:szCs w:val="22"/>
          <w:lang w:val="en-US"/>
        </w:rPr>
      </w:pPr>
      <m:oMath>
        <m:r>
          <m:rPr>
            <m:sty m:val="p"/>
          </m:rPr>
          <w:rPr>
            <w:rFonts w:ascii="Cambria Math" w:hAnsi="Cambria Math" w:cs="Times New Roman"/>
            <w:szCs w:val="22"/>
            <w:lang w:val="en-US"/>
          </w:rPr>
          <m:t>In</m:t>
        </m:r>
        <m:d>
          <m:dPr>
            <m:ctrlPr>
              <w:rPr>
                <w:rFonts w:ascii="Cambria Math" w:hAnsi="Cambria Math" w:cs="Times New Roman"/>
                <w:szCs w:val="22"/>
                <w:lang w:val="en-US"/>
              </w:rPr>
            </m:ctrlPr>
          </m:dPr>
          <m:e>
            <m:r>
              <m:rPr>
                <m:sty m:val="p"/>
              </m:rPr>
              <w:rPr>
                <w:rFonts w:ascii="Cambria Math" w:hAnsi="Cambria Math" w:cs="Times New Roman"/>
                <w:szCs w:val="22"/>
                <w:lang w:val="en-US"/>
              </w:rPr>
              <m:t>Y</m:t>
            </m:r>
          </m:e>
        </m:d>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1</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2</m:t>
            </m:r>
          </m:sub>
        </m:sSub>
        <m:d>
          <m:dPr>
            <m:ctrlPr>
              <w:rPr>
                <w:rFonts w:ascii="Cambria Math" w:hAnsi="Cambria Math" w:cs="Times New Roman"/>
                <w:szCs w:val="22"/>
                <w:lang w:val="en-US"/>
              </w:rPr>
            </m:ctrlPr>
          </m:dPr>
          <m:e>
            <m:r>
              <m:rPr>
                <m:sty m:val="p"/>
              </m:rPr>
              <w:rPr>
                <w:rFonts w:ascii="Cambria Math" w:hAnsi="Cambria Math" w:cs="Times New Roman"/>
                <w:szCs w:val="22"/>
                <w:lang w:val="en-US"/>
              </w:rPr>
              <m:t>M-</m:t>
            </m:r>
            <m:sSub>
              <m:sSubPr>
                <m:ctrlPr>
                  <w:rPr>
                    <w:rFonts w:ascii="Cambria Math" w:hAnsi="Cambria Math" w:cs="Times New Roman"/>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1</m:t>
                </m:r>
              </m:sub>
            </m:sSub>
          </m:e>
        </m:d>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4</m:t>
            </m:r>
          </m:sub>
        </m:sSub>
        <m:sSup>
          <m:sSupPr>
            <m:ctrlPr>
              <w:rPr>
                <w:rFonts w:ascii="Cambria Math" w:hAnsi="Cambria Math" w:cs="Times New Roman"/>
                <w:szCs w:val="22"/>
                <w:lang w:val="en-US"/>
              </w:rPr>
            </m:ctrlPr>
          </m:sSupPr>
          <m:e>
            <m:d>
              <m:dPr>
                <m:ctrlPr>
                  <w:rPr>
                    <w:rFonts w:ascii="Cambria Math" w:hAnsi="Cambria Math" w:cs="Times New Roman"/>
                    <w:szCs w:val="22"/>
                    <w:lang w:val="en-US"/>
                  </w:rPr>
                </m:ctrlPr>
              </m:dPr>
              <m:e>
                <m:r>
                  <m:rPr>
                    <m:sty m:val="p"/>
                  </m:rPr>
                  <w:rPr>
                    <w:rFonts w:ascii="Cambria Math" w:hAnsi="Cambria Math" w:cs="Times New Roman"/>
                    <w:szCs w:val="22"/>
                    <w:lang w:val="en-US"/>
                  </w:rPr>
                  <m:t>8.5-M</m:t>
                </m:r>
              </m:e>
            </m:d>
          </m:e>
          <m:sup>
            <m:r>
              <m:rPr>
                <m:sty m:val="p"/>
              </m:rPr>
              <w:rPr>
                <w:rFonts w:ascii="Cambria Math" w:hAnsi="Cambria Math" w:cs="Times New Roman"/>
                <w:szCs w:val="22"/>
                <w:lang w:val="en-US"/>
              </w:rPr>
              <m:t>2</m:t>
            </m:r>
          </m:sup>
        </m:sSup>
        <m:r>
          <m:rPr>
            <m:sty m:val="p"/>
          </m:rPr>
          <w:rPr>
            <w:rFonts w:ascii="Cambria Math" w:hAnsi="Cambria Math" w:cs="Times New Roman"/>
            <w:szCs w:val="22"/>
            <w:lang w:val="en-US"/>
          </w:rPr>
          <m:t>+</m:t>
        </m:r>
        <m:d>
          <m:dPr>
            <m:begChr m:val="["/>
            <m:endChr m:val="]"/>
            <m:ctrlPr>
              <w:rPr>
                <w:rFonts w:ascii="Cambria Math" w:hAnsi="Cambria Math" w:cs="Times New Roman"/>
                <w:szCs w:val="22"/>
                <w:lang w:val="en-US"/>
              </w:rPr>
            </m:ctrlPr>
          </m:dPr>
          <m:e>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5</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6</m:t>
                </m:r>
              </m:sub>
            </m:sSub>
            <m:d>
              <m:dPr>
                <m:ctrlPr>
                  <w:rPr>
                    <w:rFonts w:ascii="Cambria Math" w:hAnsi="Cambria Math" w:cs="Times New Roman"/>
                    <w:szCs w:val="22"/>
                    <w:lang w:val="en-US"/>
                  </w:rPr>
                </m:ctrlPr>
              </m:dPr>
              <m:e>
                <m:r>
                  <m:rPr>
                    <m:sty m:val="p"/>
                  </m:rPr>
                  <w:rPr>
                    <w:rFonts w:ascii="Cambria Math" w:hAnsi="Cambria Math" w:cs="Times New Roman"/>
                    <w:szCs w:val="22"/>
                    <w:lang w:val="en-US"/>
                  </w:rPr>
                  <m:t>M-</m:t>
                </m:r>
                <m:sSub>
                  <m:sSubPr>
                    <m:ctrlPr>
                      <w:rPr>
                        <w:rFonts w:ascii="Cambria Math" w:hAnsi="Cambria Math" w:cs="Times New Roman"/>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1</m:t>
                    </m:r>
                  </m:sub>
                </m:sSub>
              </m:e>
            </m:d>
          </m:e>
        </m:d>
        <m:r>
          <m:rPr>
            <m:sty m:val="p"/>
          </m:rPr>
          <w:rPr>
            <w:rFonts w:ascii="Cambria Math" w:hAnsi="Cambria Math" w:cs="Times New Roman"/>
            <w:szCs w:val="22"/>
            <w:lang w:val="en-US"/>
          </w:rPr>
          <m:t>In</m:t>
        </m:r>
        <m:rad>
          <m:radPr>
            <m:degHide m:val="1"/>
            <m:ctrlPr>
              <w:rPr>
                <w:rFonts w:ascii="Cambria Math" w:hAnsi="Cambria Math" w:cs="Times New Roman"/>
                <w:szCs w:val="22"/>
                <w:lang w:val="en-US"/>
              </w:rPr>
            </m:ctrlPr>
          </m:radPr>
          <m:deg/>
          <m:e>
            <m:sSup>
              <m:sSupPr>
                <m:ctrlPr>
                  <w:rPr>
                    <w:rFonts w:ascii="Cambria Math" w:hAnsi="Cambria Math" w:cs="Times New Roman"/>
                    <w:szCs w:val="22"/>
                    <w:lang w:val="en-US"/>
                  </w:rPr>
                </m:ctrlPr>
              </m:sSupPr>
              <m:e>
                <m:r>
                  <m:rPr>
                    <m:sty m:val="p"/>
                  </m:rPr>
                  <w:rPr>
                    <w:rFonts w:ascii="Cambria Math" w:hAnsi="Cambria Math" w:cs="Times New Roman"/>
                    <w:szCs w:val="22"/>
                    <w:lang w:val="en-US"/>
                  </w:rPr>
                  <m:t>R</m:t>
                </m:r>
              </m:e>
              <m:sup>
                <m:r>
                  <m:rPr>
                    <m:sty m:val="p"/>
                  </m:rPr>
                  <w:rPr>
                    <w:rFonts w:ascii="Cambria Math" w:hAnsi="Cambria Math" w:cs="Times New Roman"/>
                    <w:szCs w:val="22"/>
                    <w:lang w:val="en-US"/>
                  </w:rPr>
                  <m:t>2</m:t>
                </m:r>
              </m:sup>
            </m:sSup>
            <m:r>
              <m:rPr>
                <m:sty m:val="p"/>
              </m:rPr>
              <w:rPr>
                <w:rFonts w:ascii="Cambria Math" w:hAnsi="Cambria Math" w:cs="Times New Roman"/>
                <w:szCs w:val="22"/>
                <w:lang w:val="en-US"/>
              </w:rPr>
              <m:t>+</m:t>
            </m:r>
            <m:sSubSup>
              <m:sSubSupPr>
                <m:ctrlPr>
                  <w:rPr>
                    <w:rFonts w:ascii="Cambria Math" w:hAnsi="Cambria Math" w:cs="Times New Roman"/>
                    <w:szCs w:val="22"/>
                    <w:lang w:val="en-US"/>
                  </w:rPr>
                </m:ctrlPr>
              </m:sSubSupPr>
              <m:e>
                <m:r>
                  <m:rPr>
                    <m:sty m:val="p"/>
                  </m:rPr>
                  <w:rPr>
                    <w:rFonts w:ascii="Cambria Math" w:hAnsi="Cambria Math" w:cs="Times New Roman"/>
                    <w:szCs w:val="22"/>
                    <w:lang w:val="en-US"/>
                  </w:rPr>
                  <m:t>a</m:t>
                </m:r>
              </m:e>
              <m:sub>
                <m:r>
                  <m:rPr>
                    <m:sty m:val="p"/>
                  </m:rPr>
                  <w:rPr>
                    <w:rFonts w:ascii="Cambria Math" w:hAnsi="Cambria Math" w:cs="Times New Roman"/>
                    <w:szCs w:val="22"/>
                    <w:lang w:val="en-US"/>
                  </w:rPr>
                  <m:t>7</m:t>
                </m:r>
              </m:sub>
              <m:sup>
                <m:r>
                  <m:rPr>
                    <m:sty m:val="p"/>
                  </m:rPr>
                  <w:rPr>
                    <w:rFonts w:ascii="Cambria Math" w:hAnsi="Cambria Math" w:cs="Times New Roman"/>
                    <w:szCs w:val="22"/>
                    <w:lang w:val="en-US"/>
                  </w:rPr>
                  <m:t>2</m:t>
                </m:r>
              </m:sup>
            </m:sSubSup>
          </m:e>
        </m:rad>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8</m:t>
            </m:r>
          </m:sub>
        </m:sSub>
        <m:sSub>
          <m:sSubPr>
            <m:ctrlPr>
              <w:rPr>
                <w:rFonts w:ascii="Cambria Math" w:hAnsi="Cambria Math" w:cs="Times New Roman"/>
                <w:szCs w:val="22"/>
                <w:lang w:val="en-US"/>
              </w:rPr>
            </m:ctrlPr>
          </m:sSubPr>
          <m:e>
            <m:r>
              <m:rPr>
                <m:sty m:val="p"/>
              </m:rPr>
              <w:rPr>
                <w:rFonts w:ascii="Cambria Math" w:hAnsi="Cambria Math" w:cs="Times New Roman"/>
                <w:szCs w:val="22"/>
                <w:lang w:val="en-US"/>
              </w:rPr>
              <m:t>F</m:t>
            </m:r>
          </m:e>
          <m:sub>
            <m:r>
              <m:rPr>
                <m:sty m:val="p"/>
              </m:rPr>
              <w:rPr>
                <w:rFonts w:ascii="Cambria Math" w:hAnsi="Cambria Math" w:cs="Times New Roman"/>
                <w:szCs w:val="22"/>
                <w:lang w:val="en-US"/>
              </w:rPr>
              <m:t>N</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9</m:t>
            </m:r>
          </m:sub>
        </m:sSub>
        <m:sSub>
          <m:sSubPr>
            <m:ctrlPr>
              <w:rPr>
                <w:rFonts w:ascii="Cambria Math" w:hAnsi="Cambria Math" w:cs="Times New Roman"/>
                <w:szCs w:val="22"/>
                <w:lang w:val="en-US"/>
              </w:rPr>
            </m:ctrlPr>
          </m:sSubPr>
          <m:e>
            <m:r>
              <m:rPr>
                <m:sty m:val="p"/>
              </m:rPr>
              <w:rPr>
                <w:rFonts w:ascii="Cambria Math" w:hAnsi="Cambria Math" w:cs="Times New Roman"/>
                <w:szCs w:val="22"/>
                <w:lang w:val="en-US"/>
              </w:rPr>
              <m:t>F</m:t>
            </m:r>
          </m:e>
          <m:sub>
            <m:r>
              <m:rPr>
                <m:sty m:val="p"/>
              </m:rPr>
              <w:rPr>
                <w:rFonts w:ascii="Cambria Math" w:hAnsi="Cambria Math" w:cs="Times New Roman"/>
                <w:szCs w:val="22"/>
                <w:lang w:val="en-US"/>
              </w:rPr>
              <m:t>R</m:t>
            </m:r>
          </m:sub>
        </m:sSub>
      </m:oMath>
      <w:r w:rsidR="00535F78" w:rsidRPr="000954C1">
        <w:rPr>
          <w:rFonts w:cs="Times New Roman"/>
          <w:szCs w:val="22"/>
          <w:lang w:val="en-US"/>
        </w:rPr>
        <w:t xml:space="preserve"> </w:t>
      </w:r>
      <w:r w:rsidR="00535F78" w:rsidRPr="000954C1">
        <w:rPr>
          <w:rFonts w:cs="Times New Roman"/>
          <w:szCs w:val="22"/>
          <w:lang w:val="en-US"/>
        </w:rPr>
        <w:tab/>
      </w:r>
      <w:r w:rsidR="003A1C43" w:rsidRPr="000954C1">
        <w:rPr>
          <w:rFonts w:cs="Times New Roman"/>
          <w:szCs w:val="22"/>
          <w:lang w:val="en-US"/>
        </w:rPr>
        <w:t xml:space="preserve">   </w:t>
      </w:r>
      <w:r w:rsidR="00535F78" w:rsidRPr="000954C1">
        <w:rPr>
          <w:rFonts w:cs="Times New Roman"/>
          <w:szCs w:val="22"/>
          <w:lang w:val="en-US"/>
        </w:rPr>
        <w:t>(</w:t>
      </w:r>
      <w:r w:rsidR="00BE7D4C">
        <w:rPr>
          <w:rFonts w:cs="Times New Roman"/>
          <w:szCs w:val="22"/>
          <w:lang w:val="en-US"/>
        </w:rPr>
        <w:t>5</w:t>
      </w:r>
      <w:r w:rsidR="00535F78" w:rsidRPr="000954C1">
        <w:rPr>
          <w:rFonts w:cs="Times New Roman"/>
          <w:szCs w:val="22"/>
          <w:lang w:val="en-US"/>
        </w:rPr>
        <w:t>)</w:t>
      </w:r>
    </w:p>
    <w:p w14:paraId="0F8C33BF" w14:textId="77777777" w:rsidR="00D15A47" w:rsidRPr="000954C1" w:rsidRDefault="00D15A47" w:rsidP="00D15A47">
      <w:pPr>
        <w:autoSpaceDE w:val="0"/>
        <w:autoSpaceDN w:val="0"/>
        <w:adjustRightInd w:val="0"/>
        <w:rPr>
          <w:rFonts w:cs="Times New Roman"/>
          <w:sz w:val="20"/>
          <w:szCs w:val="20"/>
          <w:lang w:val="en-US"/>
        </w:rPr>
      </w:pPr>
    </w:p>
    <w:p w14:paraId="558A100F" w14:textId="77777777" w:rsidR="00D15A47" w:rsidRPr="000954C1" w:rsidRDefault="00D15A47" w:rsidP="00D15A47">
      <w:pPr>
        <w:autoSpaceDE w:val="0"/>
        <w:autoSpaceDN w:val="0"/>
        <w:adjustRightInd w:val="0"/>
        <w:rPr>
          <w:rFonts w:cs="Times New Roman"/>
          <w:sz w:val="20"/>
          <w:szCs w:val="20"/>
          <w:lang w:val="en-US"/>
        </w:rPr>
      </w:pPr>
      <w:r w:rsidRPr="000954C1">
        <w:rPr>
          <w:rFonts w:cs="Times New Roman"/>
          <w:sz w:val="20"/>
          <w:szCs w:val="20"/>
          <w:lang w:val="en-US"/>
        </w:rPr>
        <w:t xml:space="preserve">For M &gt; </w:t>
      </w:r>
      <w:r w:rsidRPr="000954C1">
        <w:rPr>
          <w:rFonts w:cs="Times New Roman"/>
          <w:szCs w:val="22"/>
          <w:lang w:val="en-US"/>
        </w:rPr>
        <w:t>c</w:t>
      </w:r>
      <w:r w:rsidRPr="000954C1">
        <w:rPr>
          <w:rFonts w:cs="Times New Roman"/>
          <w:sz w:val="14"/>
          <w:szCs w:val="14"/>
          <w:lang w:val="en-US"/>
        </w:rPr>
        <w:t>1</w:t>
      </w:r>
      <w:r w:rsidRPr="000954C1">
        <w:rPr>
          <w:rFonts w:cs="Times New Roman"/>
          <w:sz w:val="20"/>
          <w:szCs w:val="20"/>
          <w:lang w:val="en-US"/>
        </w:rPr>
        <w:t>:</w:t>
      </w:r>
    </w:p>
    <w:p w14:paraId="2C991DBF" w14:textId="748E1738" w:rsidR="00D15A47" w:rsidRPr="000954C1" w:rsidRDefault="00D15A47" w:rsidP="00D15A47">
      <w:pPr>
        <w:autoSpaceDE w:val="0"/>
        <w:autoSpaceDN w:val="0"/>
        <w:adjustRightInd w:val="0"/>
        <w:rPr>
          <w:rFonts w:cs="Times New Roman"/>
          <w:sz w:val="20"/>
          <w:szCs w:val="20"/>
          <w:lang w:val="en-US"/>
        </w:rPr>
      </w:pPr>
      <m:oMathPara>
        <m:oMath>
          <m:r>
            <m:rPr>
              <m:sty m:val="p"/>
            </m:rPr>
            <w:rPr>
              <w:rFonts w:ascii="Cambria Math" w:hAnsi="Cambria Math" w:cs="Times New Roman"/>
              <w:szCs w:val="22"/>
              <w:lang w:val="en-US"/>
            </w:rPr>
            <w:br/>
            <m:t>In</m:t>
          </m:r>
          <m:d>
            <m:dPr>
              <m:ctrlPr>
                <w:rPr>
                  <w:rFonts w:ascii="Cambria Math" w:hAnsi="Cambria Math" w:cs="Times New Roman"/>
                  <w:szCs w:val="22"/>
                  <w:lang w:val="en-US"/>
                </w:rPr>
              </m:ctrlPr>
            </m:dPr>
            <m:e>
              <m:r>
                <m:rPr>
                  <m:sty m:val="p"/>
                </m:rPr>
                <w:rPr>
                  <w:rFonts w:ascii="Cambria Math" w:hAnsi="Cambria Math" w:cs="Times New Roman"/>
                  <w:szCs w:val="22"/>
                  <w:lang w:val="en-US"/>
                </w:rPr>
                <m:t>Y</m:t>
              </m:r>
            </m:e>
          </m:d>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1</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3</m:t>
              </m:r>
            </m:sub>
          </m:sSub>
          <m:d>
            <m:dPr>
              <m:ctrlPr>
                <w:rPr>
                  <w:rFonts w:ascii="Cambria Math" w:hAnsi="Cambria Math" w:cs="Times New Roman"/>
                  <w:szCs w:val="22"/>
                  <w:lang w:val="en-US"/>
                </w:rPr>
              </m:ctrlPr>
            </m:dPr>
            <m:e>
              <m:r>
                <m:rPr>
                  <m:sty m:val="p"/>
                </m:rPr>
                <w:rPr>
                  <w:rFonts w:ascii="Cambria Math" w:hAnsi="Cambria Math" w:cs="Times New Roman"/>
                  <w:szCs w:val="22"/>
                  <w:lang w:val="en-US"/>
                </w:rPr>
                <m:t>M-</m:t>
              </m:r>
              <m:sSub>
                <m:sSubPr>
                  <m:ctrlPr>
                    <w:rPr>
                      <w:rFonts w:ascii="Cambria Math" w:hAnsi="Cambria Math" w:cs="Times New Roman"/>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1</m:t>
                  </m:r>
                </m:sub>
              </m:sSub>
            </m:e>
          </m:d>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4</m:t>
              </m:r>
            </m:sub>
          </m:sSub>
          <m:sSup>
            <m:sSupPr>
              <m:ctrlPr>
                <w:rPr>
                  <w:rFonts w:ascii="Cambria Math" w:hAnsi="Cambria Math" w:cs="Times New Roman"/>
                  <w:szCs w:val="22"/>
                  <w:lang w:val="en-US"/>
                </w:rPr>
              </m:ctrlPr>
            </m:sSupPr>
            <m:e>
              <m:d>
                <m:dPr>
                  <m:ctrlPr>
                    <w:rPr>
                      <w:rFonts w:ascii="Cambria Math" w:hAnsi="Cambria Math" w:cs="Times New Roman"/>
                      <w:szCs w:val="22"/>
                      <w:lang w:val="en-US"/>
                    </w:rPr>
                  </m:ctrlPr>
                </m:dPr>
                <m:e>
                  <m:r>
                    <m:rPr>
                      <m:sty m:val="p"/>
                    </m:rPr>
                    <w:rPr>
                      <w:rFonts w:ascii="Cambria Math" w:hAnsi="Cambria Math" w:cs="Times New Roman"/>
                      <w:szCs w:val="22"/>
                      <w:lang w:val="en-US"/>
                    </w:rPr>
                    <m:t>8.5-M</m:t>
                  </m:r>
                </m:e>
              </m:d>
            </m:e>
            <m:sup>
              <m:r>
                <m:rPr>
                  <m:sty m:val="p"/>
                </m:rPr>
                <w:rPr>
                  <w:rFonts w:ascii="Cambria Math" w:hAnsi="Cambria Math" w:cs="Times New Roman"/>
                  <w:szCs w:val="22"/>
                  <w:lang w:val="en-US"/>
                </w:rPr>
                <m:t>2</m:t>
              </m:r>
            </m:sup>
          </m:sSup>
          <m:r>
            <m:rPr>
              <m:sty m:val="p"/>
            </m:rPr>
            <w:rPr>
              <w:rFonts w:ascii="Cambria Math" w:hAnsi="Cambria Math" w:cs="Times New Roman"/>
              <w:szCs w:val="22"/>
              <w:lang w:val="en-US"/>
            </w:rPr>
            <m:t>+</m:t>
          </m:r>
          <m:d>
            <m:dPr>
              <m:begChr m:val="["/>
              <m:endChr m:val="]"/>
              <m:ctrlPr>
                <w:rPr>
                  <w:rFonts w:ascii="Cambria Math" w:hAnsi="Cambria Math" w:cs="Times New Roman"/>
                  <w:szCs w:val="22"/>
                  <w:lang w:val="en-US"/>
                </w:rPr>
              </m:ctrlPr>
            </m:dPr>
            <m:e>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5</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6</m:t>
                  </m:r>
                </m:sub>
              </m:sSub>
              <m:d>
                <m:dPr>
                  <m:ctrlPr>
                    <w:rPr>
                      <w:rFonts w:ascii="Cambria Math" w:hAnsi="Cambria Math" w:cs="Times New Roman"/>
                      <w:szCs w:val="22"/>
                      <w:lang w:val="en-US"/>
                    </w:rPr>
                  </m:ctrlPr>
                </m:dPr>
                <m:e>
                  <m:r>
                    <m:rPr>
                      <m:sty m:val="p"/>
                    </m:rPr>
                    <w:rPr>
                      <w:rFonts w:ascii="Cambria Math" w:hAnsi="Cambria Math" w:cs="Times New Roman"/>
                      <w:szCs w:val="22"/>
                      <w:lang w:val="en-US"/>
                    </w:rPr>
                    <m:t>M-</m:t>
                  </m:r>
                  <m:sSub>
                    <m:sSubPr>
                      <m:ctrlPr>
                        <w:rPr>
                          <w:rFonts w:ascii="Cambria Math" w:hAnsi="Cambria Math" w:cs="Times New Roman"/>
                          <w:szCs w:val="22"/>
                          <w:lang w:val="en-US"/>
                        </w:rPr>
                      </m:ctrlPr>
                    </m:sSubPr>
                    <m:e>
                      <m:r>
                        <m:rPr>
                          <m:sty m:val="p"/>
                        </m:rPr>
                        <w:rPr>
                          <w:rFonts w:ascii="Cambria Math" w:hAnsi="Cambria Math" w:cs="Times New Roman"/>
                          <w:szCs w:val="22"/>
                          <w:lang w:val="en-US"/>
                        </w:rPr>
                        <m:t>c</m:t>
                      </m:r>
                    </m:e>
                    <m:sub>
                      <m:r>
                        <m:rPr>
                          <m:sty m:val="p"/>
                        </m:rPr>
                        <w:rPr>
                          <w:rFonts w:ascii="Cambria Math" w:hAnsi="Cambria Math" w:cs="Times New Roman"/>
                          <w:szCs w:val="22"/>
                          <w:lang w:val="en-US"/>
                        </w:rPr>
                        <m:t>1</m:t>
                      </m:r>
                    </m:sub>
                  </m:sSub>
                </m:e>
              </m:d>
            </m:e>
          </m:d>
          <m:r>
            <m:rPr>
              <m:sty m:val="p"/>
            </m:rPr>
            <w:rPr>
              <w:rFonts w:ascii="Cambria Math" w:hAnsi="Cambria Math" w:cs="Times New Roman"/>
              <w:szCs w:val="22"/>
              <w:lang w:val="en-US"/>
            </w:rPr>
            <m:t>In</m:t>
          </m:r>
          <m:rad>
            <m:radPr>
              <m:degHide m:val="1"/>
              <m:ctrlPr>
                <w:rPr>
                  <w:rFonts w:ascii="Cambria Math" w:hAnsi="Cambria Math" w:cs="Times New Roman"/>
                  <w:szCs w:val="22"/>
                  <w:lang w:val="en-US"/>
                </w:rPr>
              </m:ctrlPr>
            </m:radPr>
            <m:deg/>
            <m:e>
              <m:sSup>
                <m:sSupPr>
                  <m:ctrlPr>
                    <w:rPr>
                      <w:rFonts w:ascii="Cambria Math" w:hAnsi="Cambria Math" w:cs="Times New Roman"/>
                      <w:szCs w:val="22"/>
                      <w:lang w:val="en-US"/>
                    </w:rPr>
                  </m:ctrlPr>
                </m:sSupPr>
                <m:e>
                  <m:r>
                    <m:rPr>
                      <m:sty m:val="p"/>
                    </m:rPr>
                    <w:rPr>
                      <w:rFonts w:ascii="Cambria Math" w:hAnsi="Cambria Math" w:cs="Times New Roman"/>
                      <w:szCs w:val="22"/>
                      <w:lang w:val="en-US"/>
                    </w:rPr>
                    <m:t>R</m:t>
                  </m:r>
                </m:e>
                <m:sup>
                  <m:r>
                    <m:rPr>
                      <m:sty m:val="p"/>
                    </m:rPr>
                    <w:rPr>
                      <w:rFonts w:ascii="Cambria Math" w:hAnsi="Cambria Math" w:cs="Times New Roman"/>
                      <w:szCs w:val="22"/>
                      <w:lang w:val="en-US"/>
                    </w:rPr>
                    <m:t>2</m:t>
                  </m:r>
                </m:sup>
              </m:sSup>
              <m:r>
                <m:rPr>
                  <m:sty m:val="p"/>
                </m:rPr>
                <w:rPr>
                  <w:rFonts w:ascii="Cambria Math" w:hAnsi="Cambria Math" w:cs="Times New Roman"/>
                  <w:szCs w:val="22"/>
                  <w:lang w:val="en-US"/>
                </w:rPr>
                <m:t>+</m:t>
              </m:r>
              <m:sSubSup>
                <m:sSubSupPr>
                  <m:ctrlPr>
                    <w:rPr>
                      <w:rFonts w:ascii="Cambria Math" w:hAnsi="Cambria Math" w:cs="Times New Roman"/>
                      <w:szCs w:val="22"/>
                      <w:lang w:val="en-US"/>
                    </w:rPr>
                  </m:ctrlPr>
                </m:sSubSupPr>
                <m:e>
                  <m:r>
                    <m:rPr>
                      <m:sty m:val="p"/>
                    </m:rPr>
                    <w:rPr>
                      <w:rFonts w:ascii="Cambria Math" w:hAnsi="Cambria Math" w:cs="Times New Roman"/>
                      <w:szCs w:val="22"/>
                      <w:lang w:val="en-US"/>
                    </w:rPr>
                    <m:t>a</m:t>
                  </m:r>
                </m:e>
                <m:sub>
                  <m:r>
                    <m:rPr>
                      <m:sty m:val="p"/>
                    </m:rPr>
                    <w:rPr>
                      <w:rFonts w:ascii="Cambria Math" w:hAnsi="Cambria Math" w:cs="Times New Roman"/>
                      <w:szCs w:val="22"/>
                      <w:lang w:val="en-US"/>
                    </w:rPr>
                    <m:t>7</m:t>
                  </m:r>
                </m:sub>
                <m:sup>
                  <m:r>
                    <m:rPr>
                      <m:sty m:val="p"/>
                    </m:rPr>
                    <w:rPr>
                      <w:rFonts w:ascii="Cambria Math" w:hAnsi="Cambria Math" w:cs="Times New Roman"/>
                      <w:szCs w:val="22"/>
                      <w:lang w:val="en-US"/>
                    </w:rPr>
                    <m:t>2</m:t>
                  </m:r>
                </m:sup>
              </m:sSubSup>
            </m:e>
          </m:rad>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8</m:t>
              </m:r>
            </m:sub>
          </m:sSub>
          <m:sSub>
            <m:sSubPr>
              <m:ctrlPr>
                <w:rPr>
                  <w:rFonts w:ascii="Cambria Math" w:hAnsi="Cambria Math" w:cs="Times New Roman"/>
                  <w:szCs w:val="22"/>
                  <w:lang w:val="en-US"/>
                </w:rPr>
              </m:ctrlPr>
            </m:sSubPr>
            <m:e>
              <m:r>
                <m:rPr>
                  <m:sty m:val="p"/>
                </m:rPr>
                <w:rPr>
                  <w:rFonts w:ascii="Cambria Math" w:hAnsi="Cambria Math" w:cs="Times New Roman"/>
                  <w:szCs w:val="22"/>
                  <w:lang w:val="en-US"/>
                </w:rPr>
                <m:t>F</m:t>
              </m:r>
            </m:e>
            <m:sub>
              <m:r>
                <m:rPr>
                  <m:sty m:val="p"/>
                </m:rPr>
                <w:rPr>
                  <w:rFonts w:ascii="Cambria Math" w:hAnsi="Cambria Math" w:cs="Times New Roman"/>
                  <w:szCs w:val="22"/>
                  <w:lang w:val="en-US"/>
                </w:rPr>
                <m:t>N</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9</m:t>
              </m:r>
            </m:sub>
          </m:sSub>
          <m:sSub>
            <m:sSubPr>
              <m:ctrlPr>
                <w:rPr>
                  <w:rFonts w:ascii="Cambria Math" w:hAnsi="Cambria Math" w:cs="Times New Roman"/>
                  <w:szCs w:val="22"/>
                  <w:lang w:val="en-US"/>
                </w:rPr>
              </m:ctrlPr>
            </m:sSubPr>
            <m:e>
              <m:r>
                <m:rPr>
                  <m:sty m:val="p"/>
                </m:rPr>
                <w:rPr>
                  <w:rFonts w:ascii="Cambria Math" w:hAnsi="Cambria Math" w:cs="Times New Roman"/>
                  <w:szCs w:val="22"/>
                  <w:lang w:val="en-US"/>
                </w:rPr>
                <m:t>F</m:t>
              </m:r>
            </m:e>
            <m:sub>
              <m:r>
                <m:rPr>
                  <m:sty m:val="p"/>
                </m:rPr>
                <w:rPr>
                  <w:rFonts w:ascii="Cambria Math" w:hAnsi="Cambria Math" w:cs="Times New Roman"/>
                  <w:szCs w:val="22"/>
                  <w:lang w:val="en-US"/>
                </w:rPr>
                <m:t>R</m:t>
              </m:r>
            </m:sub>
          </m:sSub>
        </m:oMath>
      </m:oMathPara>
      <w:r w:rsidR="00535F78" w:rsidRPr="000954C1">
        <w:rPr>
          <w:rFonts w:cs="Times New Roman"/>
          <w:szCs w:val="22"/>
          <w:lang w:val="en-US"/>
        </w:rPr>
        <w:t xml:space="preserve"> </w:t>
      </w:r>
      <w:r w:rsidR="00535F78" w:rsidRPr="000954C1">
        <w:rPr>
          <w:rFonts w:cs="Times New Roman"/>
          <w:szCs w:val="22"/>
          <w:lang w:val="en-US"/>
        </w:rPr>
        <w:tab/>
      </w:r>
      <w:r w:rsidR="003A1C43" w:rsidRPr="000954C1">
        <w:rPr>
          <w:rFonts w:cs="Times New Roman"/>
          <w:szCs w:val="22"/>
          <w:lang w:val="en-US"/>
        </w:rPr>
        <w:t xml:space="preserve">   </w:t>
      </w:r>
      <w:r w:rsidR="00535F78" w:rsidRPr="000954C1">
        <w:rPr>
          <w:rFonts w:cs="Times New Roman"/>
          <w:szCs w:val="22"/>
          <w:lang w:val="en-US"/>
        </w:rPr>
        <w:t>(</w:t>
      </w:r>
      <w:r w:rsidR="00BE7D4C">
        <w:rPr>
          <w:rFonts w:cs="Times New Roman"/>
          <w:szCs w:val="22"/>
          <w:lang w:val="en-US"/>
        </w:rPr>
        <w:t>6</w:t>
      </w:r>
      <w:r w:rsidR="00535F78" w:rsidRPr="000954C1">
        <w:rPr>
          <w:rFonts w:cs="Times New Roman"/>
          <w:szCs w:val="22"/>
          <w:lang w:val="en-US"/>
        </w:rPr>
        <w:t>)</w:t>
      </w:r>
    </w:p>
    <w:p w14:paraId="5FF71046" w14:textId="77777777" w:rsidR="00610AB7" w:rsidRPr="000954C1" w:rsidRDefault="00610AB7" w:rsidP="00D15A47">
      <w:pPr>
        <w:autoSpaceDE w:val="0"/>
        <w:autoSpaceDN w:val="0"/>
        <w:adjustRightInd w:val="0"/>
        <w:rPr>
          <w:rFonts w:cs="Times New Roman"/>
          <w:szCs w:val="22"/>
          <w:lang w:val="en-US"/>
        </w:rPr>
      </w:pPr>
    </w:p>
    <w:p w14:paraId="581E7192" w14:textId="360BC462" w:rsidR="00D15A47" w:rsidRPr="000954C1" w:rsidRDefault="009E656D" w:rsidP="00D15A47">
      <w:pPr>
        <w:autoSpaceDE w:val="0"/>
        <w:autoSpaceDN w:val="0"/>
        <w:adjustRightInd w:val="0"/>
        <w:rPr>
          <w:rFonts w:cs="Times New Roman"/>
          <w:szCs w:val="22"/>
          <w:lang w:val="en-US"/>
        </w:rPr>
      </w:pPr>
      <w:r w:rsidRPr="000954C1">
        <w:rPr>
          <w:bCs/>
          <w:szCs w:val="22"/>
          <w:lang w:val="en-US"/>
        </w:rPr>
        <w:t>where Y is PGA (cm/sec</w:t>
      </w:r>
      <w:r w:rsidRPr="000954C1">
        <w:rPr>
          <w:bCs/>
          <w:szCs w:val="22"/>
          <w:vertAlign w:val="superscript"/>
          <w:lang w:val="en-US"/>
        </w:rPr>
        <w:t>2</w:t>
      </w:r>
      <w:r w:rsidRPr="000954C1">
        <w:rPr>
          <w:bCs/>
          <w:szCs w:val="22"/>
          <w:lang w:val="en-US"/>
        </w:rPr>
        <w:t>),</w:t>
      </w:r>
      <w:r w:rsidRPr="000954C1">
        <w:rPr>
          <w:rFonts w:cs="Times New Roman"/>
          <w:szCs w:val="22"/>
          <w:lang w:val="en-US"/>
        </w:rPr>
        <w:t xml:space="preserve"> t</w:t>
      </w:r>
      <w:r w:rsidR="00D15A47" w:rsidRPr="000954C1">
        <w:rPr>
          <w:rFonts w:cs="Times New Roman"/>
          <w:szCs w:val="22"/>
          <w:lang w:val="en-US"/>
        </w:rPr>
        <w:t>he reference magnitude</w:t>
      </w:r>
      <w:r w:rsidR="00D4714F" w:rsidRPr="000954C1">
        <w:rPr>
          <w:rFonts w:cs="Times New Roman"/>
          <w:szCs w:val="22"/>
          <w:lang w:val="en-US"/>
        </w:rPr>
        <w:t xml:space="preserve"> is c</w:t>
      </w:r>
      <w:r w:rsidR="00D4714F" w:rsidRPr="000954C1">
        <w:rPr>
          <w:rFonts w:cs="Times New Roman"/>
          <w:szCs w:val="22"/>
          <w:vertAlign w:val="subscript"/>
          <w:lang w:val="en-US"/>
        </w:rPr>
        <w:t>1</w:t>
      </w:r>
      <w:r w:rsidR="00D15A47" w:rsidRPr="000954C1">
        <w:rPr>
          <w:rFonts w:cs="Times New Roman"/>
          <w:szCs w:val="22"/>
          <w:lang w:val="en-US"/>
        </w:rPr>
        <w:t>, and it is 6.5 in this study. The parameters F</w:t>
      </w:r>
      <w:r w:rsidR="00D15A47" w:rsidRPr="000954C1">
        <w:rPr>
          <w:rFonts w:cs="Times New Roman"/>
          <w:szCs w:val="22"/>
          <w:vertAlign w:val="subscript"/>
          <w:lang w:val="en-US"/>
        </w:rPr>
        <w:t>N</w:t>
      </w:r>
      <w:r w:rsidR="00D15A47" w:rsidRPr="000954C1">
        <w:rPr>
          <w:rFonts w:cs="Times New Roman"/>
          <w:szCs w:val="22"/>
          <w:lang w:val="en-US"/>
        </w:rPr>
        <w:t xml:space="preserve"> and F</w:t>
      </w:r>
      <w:r w:rsidR="00D15A47" w:rsidRPr="000954C1">
        <w:rPr>
          <w:rFonts w:cs="Times New Roman"/>
          <w:szCs w:val="22"/>
          <w:vertAlign w:val="subscript"/>
          <w:lang w:val="en-US"/>
        </w:rPr>
        <w:t>R</w:t>
      </w:r>
      <w:r w:rsidR="00D15A47" w:rsidRPr="000954C1">
        <w:rPr>
          <w:rFonts w:cs="Times New Roman"/>
          <w:szCs w:val="22"/>
          <w:lang w:val="en-US"/>
        </w:rPr>
        <w:t xml:space="preserve"> are dummy variables for the influence of faulting</w:t>
      </w:r>
      <w:r w:rsidR="00610AB7" w:rsidRPr="000954C1">
        <w:rPr>
          <w:rFonts w:cs="Times New Roman"/>
          <w:szCs w:val="22"/>
          <w:lang w:val="en-US"/>
        </w:rPr>
        <w:t xml:space="preserve"> and </w:t>
      </w:r>
      <w:r w:rsidR="00E62B7E" w:rsidRPr="000954C1">
        <w:rPr>
          <w:rFonts w:cs="Times New Roman"/>
          <w:szCs w:val="22"/>
          <w:lang w:val="en-US"/>
        </w:rPr>
        <w:t>are</w:t>
      </w:r>
      <w:r w:rsidR="00610AB7" w:rsidRPr="000954C1">
        <w:rPr>
          <w:rFonts w:cs="Times New Roman"/>
          <w:szCs w:val="22"/>
          <w:lang w:val="en-US"/>
        </w:rPr>
        <w:t xml:space="preserve"> </w:t>
      </w:r>
      <w:r w:rsidR="00D15A47" w:rsidRPr="000954C1">
        <w:rPr>
          <w:rFonts w:cs="Times New Roman"/>
          <w:szCs w:val="22"/>
          <w:lang w:val="en-US"/>
        </w:rPr>
        <w:t>tak</w:t>
      </w:r>
      <w:r w:rsidR="00610AB7" w:rsidRPr="000954C1">
        <w:rPr>
          <w:rFonts w:cs="Times New Roman"/>
          <w:szCs w:val="22"/>
          <w:lang w:val="en-US"/>
        </w:rPr>
        <w:t xml:space="preserve">en </w:t>
      </w:r>
      <w:r w:rsidR="00D15A47" w:rsidRPr="000954C1">
        <w:rPr>
          <w:rFonts w:cs="Times New Roman"/>
          <w:szCs w:val="22"/>
          <w:lang w:val="en-US"/>
        </w:rPr>
        <w:t>values of 1 for normal and reverse faults and zero</w:t>
      </w:r>
      <w:r w:rsidR="00D4714F" w:rsidRPr="000954C1">
        <w:rPr>
          <w:rFonts w:cs="Times New Roman"/>
          <w:szCs w:val="22"/>
          <w:lang w:val="en-US"/>
        </w:rPr>
        <w:t xml:space="preserve"> </w:t>
      </w:r>
      <w:r w:rsidR="00D15A47" w:rsidRPr="000954C1">
        <w:rPr>
          <w:rFonts w:cs="Times New Roman"/>
          <w:szCs w:val="22"/>
          <w:lang w:val="en-US"/>
        </w:rPr>
        <w:t>otherwise</w:t>
      </w:r>
      <w:r w:rsidR="006A4165" w:rsidRPr="006A4165">
        <w:rPr>
          <w:sz w:val="20"/>
          <w:szCs w:val="20"/>
          <w:lang w:val="en-US"/>
        </w:rPr>
        <w:t xml:space="preserve"> </w:t>
      </w:r>
      <w:r w:rsidR="006A4165">
        <w:rPr>
          <w:sz w:val="20"/>
          <w:szCs w:val="20"/>
          <w:lang w:val="en-US"/>
        </w:rPr>
        <w:t>(</w:t>
      </w:r>
      <w:proofErr w:type="spellStart"/>
      <w:r w:rsidR="006A4165" w:rsidRPr="006A4165">
        <w:rPr>
          <w:sz w:val="20"/>
          <w:szCs w:val="20"/>
          <w:lang w:val="en-US"/>
        </w:rPr>
        <w:t>Kartal</w:t>
      </w:r>
      <w:proofErr w:type="spellEnd"/>
      <w:r w:rsidR="006A4165">
        <w:rPr>
          <w:sz w:val="20"/>
          <w:szCs w:val="20"/>
          <w:lang w:val="en-US"/>
        </w:rPr>
        <w:t xml:space="preserve"> et al, 2014).</w:t>
      </w:r>
    </w:p>
    <w:p w14:paraId="0D1D9B6F" w14:textId="77777777" w:rsidR="00D15A47" w:rsidRPr="000954C1" w:rsidRDefault="00D15A47" w:rsidP="00D15A47">
      <w:pPr>
        <w:autoSpaceDE w:val="0"/>
        <w:autoSpaceDN w:val="0"/>
        <w:adjustRightInd w:val="0"/>
        <w:rPr>
          <w:rFonts w:cs="Times New Roman"/>
          <w:iCs/>
          <w:szCs w:val="22"/>
          <w:lang w:val="en-US"/>
        </w:rPr>
      </w:pPr>
    </w:p>
    <w:p w14:paraId="114043DF" w14:textId="377EFBBD" w:rsidR="00813914" w:rsidRPr="000954C1" w:rsidRDefault="0016277D" w:rsidP="00813914">
      <w:pPr>
        <w:autoSpaceDE w:val="0"/>
        <w:autoSpaceDN w:val="0"/>
        <w:adjustRightInd w:val="0"/>
        <w:rPr>
          <w:rFonts w:cs="Times New Roman"/>
          <w:b/>
          <w:bCs/>
          <w:szCs w:val="22"/>
          <w:lang w:val="en-US"/>
        </w:rPr>
      </w:pPr>
      <w:r w:rsidRPr="000954C1">
        <w:rPr>
          <w:rFonts w:cs="Times New Roman"/>
          <w:b/>
          <w:bCs/>
          <w:szCs w:val="22"/>
          <w:lang w:val="en-US"/>
        </w:rPr>
        <w:t xml:space="preserve">e.) </w:t>
      </w:r>
      <w:r w:rsidR="00610AB7" w:rsidRPr="000954C1">
        <w:rPr>
          <w:rFonts w:cs="Times New Roman"/>
          <w:b/>
          <w:bCs/>
          <w:szCs w:val="22"/>
          <w:lang w:val="en-US"/>
        </w:rPr>
        <w:t>Megawat</w:t>
      </w:r>
      <w:r w:rsidR="00DC31B1" w:rsidRPr="000954C1">
        <w:rPr>
          <w:rFonts w:cs="Times New Roman"/>
          <w:b/>
          <w:bCs/>
          <w:szCs w:val="22"/>
          <w:lang w:val="en-US"/>
        </w:rPr>
        <w:t xml:space="preserve">i and </w:t>
      </w:r>
      <w:r w:rsidR="00610AB7" w:rsidRPr="000954C1">
        <w:rPr>
          <w:rFonts w:cs="Times New Roman"/>
          <w:b/>
          <w:bCs/>
          <w:szCs w:val="22"/>
          <w:lang w:val="en-US"/>
        </w:rPr>
        <w:t xml:space="preserve">Pan </w:t>
      </w:r>
      <w:r w:rsidR="00DC31B1" w:rsidRPr="000954C1">
        <w:rPr>
          <w:rFonts w:cs="Times New Roman"/>
          <w:b/>
          <w:bCs/>
          <w:szCs w:val="22"/>
          <w:lang w:val="en-US"/>
        </w:rPr>
        <w:t>(</w:t>
      </w:r>
      <w:r w:rsidR="00610AB7" w:rsidRPr="000954C1">
        <w:rPr>
          <w:rFonts w:cs="Times New Roman"/>
          <w:b/>
          <w:bCs/>
          <w:szCs w:val="22"/>
          <w:lang w:val="en-US"/>
        </w:rPr>
        <w:t>2009</w:t>
      </w:r>
      <w:r w:rsidR="00DC31B1" w:rsidRPr="000954C1">
        <w:rPr>
          <w:rFonts w:cs="Times New Roman"/>
          <w:b/>
          <w:bCs/>
          <w:szCs w:val="22"/>
          <w:lang w:val="en-US"/>
        </w:rPr>
        <w:t>)</w:t>
      </w:r>
    </w:p>
    <w:p w14:paraId="74EECE0C" w14:textId="33DC4145" w:rsidR="00813914" w:rsidRPr="000954C1" w:rsidRDefault="00813914" w:rsidP="00813914">
      <w:pPr>
        <w:autoSpaceDE w:val="0"/>
        <w:autoSpaceDN w:val="0"/>
        <w:adjustRightInd w:val="0"/>
        <w:rPr>
          <w:rFonts w:ascii="Times" w:eastAsia="Times New Roman" w:hAnsi="Times" w:cs="Times New Roman"/>
          <w:szCs w:val="22"/>
          <w:lang w:val="en-US" w:eastAsia="tr-TR"/>
        </w:rPr>
      </w:pPr>
      <w:r w:rsidRPr="000954C1">
        <w:rPr>
          <w:rFonts w:ascii="Times" w:eastAsia="Times New Roman" w:hAnsi="Times" w:cs="Times New Roman"/>
          <w:szCs w:val="22"/>
          <w:lang w:val="en-US" w:eastAsia="tr-TR"/>
        </w:rPr>
        <w:t>Th</w:t>
      </w:r>
      <w:r w:rsidR="003F786C" w:rsidRPr="000954C1">
        <w:rPr>
          <w:rFonts w:ascii="Times" w:eastAsia="Times New Roman" w:hAnsi="Times" w:cs="Times New Roman"/>
          <w:szCs w:val="22"/>
          <w:lang w:val="en-US" w:eastAsia="tr-TR"/>
        </w:rPr>
        <w:t>is relation</w:t>
      </w:r>
      <w:r w:rsidRPr="000954C1">
        <w:rPr>
          <w:rFonts w:ascii="Times" w:eastAsia="Times New Roman" w:hAnsi="Times" w:cs="Times New Roman"/>
          <w:szCs w:val="22"/>
          <w:lang w:val="en-US" w:eastAsia="tr-TR"/>
        </w:rPr>
        <w:t xml:space="preserve"> developed </w:t>
      </w:r>
      <w:r w:rsidR="003F786C" w:rsidRPr="000954C1">
        <w:rPr>
          <w:rFonts w:ascii="Times" w:eastAsia="Times New Roman" w:hAnsi="Times" w:cs="Times New Roman"/>
          <w:szCs w:val="22"/>
          <w:lang w:val="en-US" w:eastAsia="tr-TR"/>
        </w:rPr>
        <w:t>using</w:t>
      </w:r>
      <w:r w:rsidRPr="000954C1">
        <w:rPr>
          <w:rFonts w:ascii="Times" w:eastAsia="Times New Roman" w:hAnsi="Times" w:cs="Times New Roman"/>
          <w:szCs w:val="22"/>
          <w:lang w:val="en-US" w:eastAsia="tr-TR"/>
        </w:rPr>
        <w:t xml:space="preserve"> the earthquake magnitude and source-station distance represent the complicated and time-consuming ground-motion simulations</w:t>
      </w:r>
      <w:r w:rsidR="003932DC" w:rsidRPr="003932DC">
        <w:rPr>
          <w:sz w:val="20"/>
          <w:szCs w:val="21"/>
        </w:rPr>
        <w:t xml:space="preserve"> </w:t>
      </w:r>
      <w:r w:rsidR="003932DC">
        <w:rPr>
          <w:sz w:val="20"/>
          <w:szCs w:val="21"/>
        </w:rPr>
        <w:t>(Sengupta P, 2014)</w:t>
      </w:r>
      <w:r w:rsidRPr="000954C1">
        <w:rPr>
          <w:rFonts w:ascii="Times" w:eastAsia="Times New Roman" w:hAnsi="Times" w:cs="Times New Roman"/>
          <w:szCs w:val="22"/>
          <w:lang w:val="en-US" w:eastAsia="tr-TR"/>
        </w:rPr>
        <w:t xml:space="preserve">. The functional form </w:t>
      </w:r>
      <w:r w:rsidR="003F786C" w:rsidRPr="000954C1">
        <w:rPr>
          <w:rFonts w:ascii="Times" w:eastAsia="Times New Roman" w:hAnsi="Times" w:cs="Times New Roman"/>
          <w:szCs w:val="22"/>
          <w:lang w:val="en-US" w:eastAsia="tr-TR"/>
        </w:rPr>
        <w:t>is</w:t>
      </w:r>
      <w:r w:rsidR="009E656D" w:rsidRPr="000954C1">
        <w:rPr>
          <w:rFonts w:ascii="Times" w:eastAsia="Times New Roman" w:hAnsi="Times" w:cs="Times New Roman"/>
          <w:szCs w:val="22"/>
          <w:lang w:val="en-US" w:eastAsia="tr-TR"/>
        </w:rPr>
        <w:t>;</w:t>
      </w:r>
    </w:p>
    <w:p w14:paraId="0DED3FCB" w14:textId="77777777" w:rsidR="009E656D" w:rsidRPr="000954C1" w:rsidRDefault="009E656D" w:rsidP="00813914">
      <w:pPr>
        <w:autoSpaceDE w:val="0"/>
        <w:autoSpaceDN w:val="0"/>
        <w:adjustRightInd w:val="0"/>
        <w:rPr>
          <w:rFonts w:ascii="Times" w:eastAsia="Times New Roman" w:hAnsi="Times" w:cs="Times New Roman"/>
          <w:szCs w:val="22"/>
          <w:lang w:val="en-US" w:eastAsia="tr-TR"/>
        </w:rPr>
      </w:pPr>
    </w:p>
    <w:p w14:paraId="49B502D2" w14:textId="2F0B750F" w:rsidR="009E656D" w:rsidRPr="000954C1" w:rsidRDefault="009E656D" w:rsidP="009E656D">
      <w:pPr>
        <w:autoSpaceDE w:val="0"/>
        <w:autoSpaceDN w:val="0"/>
        <w:adjustRightInd w:val="0"/>
        <w:rPr>
          <w:rFonts w:cs="Times New Roman"/>
          <w:szCs w:val="22"/>
          <w:lang w:val="en-US"/>
        </w:rPr>
      </w:pPr>
      <m:oMath>
        <m:r>
          <m:rPr>
            <m:sty m:val="p"/>
          </m:rPr>
          <w:rPr>
            <w:rFonts w:ascii="Cambria Math" w:hAnsi="Cambria Math" w:cs="Times New Roman"/>
            <w:szCs w:val="22"/>
            <w:lang w:val="en-US"/>
          </w:rPr>
          <m:t>In</m:t>
        </m:r>
        <m:d>
          <m:dPr>
            <m:ctrlPr>
              <w:rPr>
                <w:rFonts w:ascii="Cambria Math" w:hAnsi="Cambria Math" w:cs="Times New Roman"/>
                <w:szCs w:val="22"/>
                <w:lang w:val="en-US"/>
              </w:rPr>
            </m:ctrlPr>
          </m:dPr>
          <m:e>
            <m:r>
              <m:rPr>
                <m:sty m:val="p"/>
              </m:rPr>
              <w:rPr>
                <w:rFonts w:ascii="Cambria Math" w:hAnsi="Cambria Math" w:cs="Times New Roman"/>
                <w:szCs w:val="22"/>
                <w:lang w:val="en-US"/>
              </w:rPr>
              <m:t>Y</m:t>
            </m:r>
          </m:e>
        </m:d>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0</m:t>
            </m:r>
          </m:sub>
        </m:sSub>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1</m:t>
            </m:r>
          </m:sub>
        </m:sSub>
        <m:d>
          <m:dPr>
            <m:ctrlPr>
              <w:rPr>
                <w:rFonts w:ascii="Cambria Math" w:hAnsi="Cambria Math" w:cs="Times New Roman"/>
                <w:szCs w:val="22"/>
                <w:lang w:val="en-US"/>
              </w:rPr>
            </m:ctrlPr>
          </m:dPr>
          <m:e>
            <m:r>
              <m:rPr>
                <m:sty m:val="p"/>
              </m:rPr>
              <w:rPr>
                <w:rFonts w:ascii="Cambria Math" w:hAnsi="Cambria Math" w:cs="Times New Roman"/>
                <w:szCs w:val="22"/>
                <w:lang w:val="en-US"/>
              </w:rPr>
              <m:t>M-6</m:t>
            </m:r>
          </m:e>
        </m:d>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2</m:t>
            </m:r>
          </m:sub>
        </m:sSub>
        <m:sSup>
          <m:sSupPr>
            <m:ctrlPr>
              <w:rPr>
                <w:rFonts w:ascii="Cambria Math" w:hAnsi="Cambria Math" w:cs="Times New Roman"/>
                <w:szCs w:val="22"/>
                <w:lang w:val="en-US"/>
              </w:rPr>
            </m:ctrlPr>
          </m:sSupPr>
          <m:e>
            <m:d>
              <m:dPr>
                <m:ctrlPr>
                  <w:rPr>
                    <w:rFonts w:ascii="Cambria Math" w:hAnsi="Cambria Math" w:cs="Times New Roman"/>
                    <w:szCs w:val="22"/>
                    <w:lang w:val="en-US"/>
                  </w:rPr>
                </m:ctrlPr>
              </m:dPr>
              <m:e>
                <m:r>
                  <m:rPr>
                    <m:sty m:val="p"/>
                  </m:rPr>
                  <w:rPr>
                    <w:rFonts w:ascii="Cambria Math" w:hAnsi="Cambria Math" w:cs="Times New Roman"/>
                    <w:szCs w:val="22"/>
                    <w:lang w:val="en-US"/>
                  </w:rPr>
                  <m:t>M-6</m:t>
                </m:r>
              </m:e>
            </m:d>
          </m:e>
          <m:sup>
            <m:r>
              <m:rPr>
                <m:sty m:val="p"/>
              </m:rPr>
              <w:rPr>
                <w:rFonts w:ascii="Cambria Math" w:hAnsi="Cambria Math" w:cs="Times New Roman"/>
                <w:szCs w:val="22"/>
                <w:lang w:val="en-US"/>
              </w:rPr>
              <m:t>2</m:t>
            </m:r>
          </m:sup>
        </m:sSup>
        <m:r>
          <m:rPr>
            <m:sty m:val="p"/>
          </m:rPr>
          <w:rPr>
            <w:rFonts w:ascii="Cambria Math" w:hAnsi="Cambria Math" w:cs="Times New Roman"/>
            <w:szCs w:val="22"/>
            <w:lang w:val="en-US"/>
          </w:rPr>
          <m:t>+</m:t>
        </m:r>
        <m:sSub>
          <m:sSubPr>
            <m:ctrlPr>
              <w:rPr>
                <w:rFonts w:ascii="Cambria Math" w:hAnsi="Cambria Math" w:cs="Times New Roman"/>
                <w:szCs w:val="22"/>
                <w:lang w:val="en-US"/>
              </w:rPr>
            </m:ctrlPr>
          </m:sSubPr>
          <m:e>
            <m:r>
              <w:rPr>
                <w:rFonts w:ascii="Cambria Math" w:hAnsi="Cambria Math" w:cs="Times New Roman"/>
                <w:szCs w:val="22"/>
                <w:lang w:val="en-US"/>
              </w:rPr>
              <m:t>a</m:t>
            </m:r>
          </m:e>
          <m:sub>
            <m:r>
              <w:rPr>
                <w:rFonts w:ascii="Cambria Math" w:hAnsi="Cambria Math" w:cs="Times New Roman"/>
                <w:szCs w:val="22"/>
                <w:lang w:val="en-US"/>
              </w:rPr>
              <m:t>3</m:t>
            </m:r>
          </m:sub>
        </m:sSub>
        <m:r>
          <m:rPr>
            <m:sty m:val="p"/>
          </m:rPr>
          <w:rPr>
            <w:rFonts w:ascii="Cambria Math" w:hAnsi="Cambria Math" w:cs="Times New Roman"/>
            <w:szCs w:val="22"/>
            <w:lang w:val="en-US"/>
          </w:rPr>
          <m:t>InR+</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4</m:t>
            </m:r>
          </m:sub>
        </m:sSub>
        <m:r>
          <w:rPr>
            <w:rFonts w:ascii="Cambria Math" w:hAnsi="Cambria Math" w:cs="Times New Roman"/>
            <w:szCs w:val="22"/>
            <w:lang w:val="en-US"/>
          </w:rPr>
          <m:t>+</m:t>
        </m:r>
        <m:sSub>
          <m:sSubPr>
            <m:ctrlPr>
              <w:rPr>
                <w:rFonts w:ascii="Cambria Math" w:hAnsi="Cambria Math" w:cs="Times New Roman"/>
                <w:szCs w:val="22"/>
                <w:lang w:val="en-US"/>
              </w:rPr>
            </m:ctrlPr>
          </m:sSubPr>
          <m:e>
            <m:r>
              <m:rPr>
                <m:sty m:val="p"/>
              </m:rPr>
              <w:rPr>
                <w:rFonts w:ascii="Cambria Math" w:hAnsi="Cambria Math" w:cs="Times New Roman"/>
                <w:szCs w:val="22"/>
                <w:lang w:val="en-US"/>
              </w:rPr>
              <m:t>a</m:t>
            </m:r>
          </m:e>
          <m:sub>
            <m:r>
              <m:rPr>
                <m:sty m:val="p"/>
              </m:rPr>
              <w:rPr>
                <w:rFonts w:ascii="Cambria Math" w:hAnsi="Cambria Math" w:cs="Times New Roman"/>
                <w:szCs w:val="22"/>
                <w:lang w:val="en-US"/>
              </w:rPr>
              <m:t>5</m:t>
            </m:r>
          </m:sub>
        </m:sSub>
        <m:r>
          <m:rPr>
            <m:sty m:val="p"/>
          </m:rPr>
          <w:rPr>
            <w:rFonts w:ascii="Cambria Math" w:hAnsi="Cambria Math" w:cs="Times New Roman"/>
            <w:szCs w:val="22"/>
            <w:lang w:val="en-US"/>
          </w:rPr>
          <m:t>M)R</m:t>
        </m:r>
      </m:oMath>
      <w:r w:rsidR="00535F78" w:rsidRPr="000954C1">
        <w:rPr>
          <w:rFonts w:cs="Times New Roman"/>
          <w:szCs w:val="22"/>
          <w:lang w:val="en-US"/>
        </w:rPr>
        <w:t xml:space="preserve"> </w:t>
      </w:r>
      <w:r w:rsidR="00BE7D4C">
        <w:rPr>
          <w:rFonts w:cs="Times New Roman"/>
          <w:szCs w:val="22"/>
          <w:lang w:val="en-US"/>
        </w:rPr>
        <w:tab/>
      </w:r>
      <w:r w:rsidR="00BE7D4C">
        <w:rPr>
          <w:rFonts w:cs="Times New Roman"/>
          <w:szCs w:val="22"/>
          <w:lang w:val="en-US"/>
        </w:rPr>
        <w:tab/>
      </w:r>
      <w:r w:rsidR="00BE7D4C">
        <w:rPr>
          <w:rFonts w:cs="Times New Roman"/>
          <w:szCs w:val="22"/>
          <w:lang w:val="en-US"/>
        </w:rPr>
        <w:tab/>
      </w:r>
      <w:r w:rsidR="00BE7D4C">
        <w:rPr>
          <w:rFonts w:cs="Times New Roman"/>
          <w:szCs w:val="22"/>
          <w:lang w:val="en-US"/>
        </w:rPr>
        <w:tab/>
        <w:t xml:space="preserve">   </w:t>
      </w:r>
      <w:r w:rsidR="00535F78" w:rsidRPr="000954C1">
        <w:rPr>
          <w:rFonts w:cs="Times New Roman"/>
          <w:szCs w:val="22"/>
          <w:lang w:val="en-US"/>
        </w:rPr>
        <w:t>(</w:t>
      </w:r>
      <w:r w:rsidR="00BE7D4C">
        <w:rPr>
          <w:rFonts w:cs="Times New Roman"/>
          <w:szCs w:val="22"/>
          <w:lang w:val="en-US"/>
        </w:rPr>
        <w:t>7</w:t>
      </w:r>
      <w:r w:rsidR="00535F78" w:rsidRPr="000954C1">
        <w:rPr>
          <w:rFonts w:cs="Times New Roman"/>
          <w:szCs w:val="22"/>
          <w:lang w:val="en-US"/>
        </w:rPr>
        <w:t>)</w:t>
      </w:r>
    </w:p>
    <w:p w14:paraId="2FB99478" w14:textId="77777777" w:rsidR="00BE7D4C" w:rsidRDefault="00BE7D4C" w:rsidP="00DC31B1">
      <w:pPr>
        <w:spacing w:before="100" w:beforeAutospacing="1" w:after="100" w:afterAutospacing="1"/>
        <w:contextualSpacing/>
        <w:rPr>
          <w:rFonts w:eastAsia="Times New Roman" w:cs="Times New Roman"/>
          <w:szCs w:val="22"/>
          <w:lang w:val="en-US" w:eastAsia="tr-TR"/>
        </w:rPr>
      </w:pPr>
    </w:p>
    <w:p w14:paraId="48F413F9" w14:textId="4E084E88" w:rsidR="00620C97" w:rsidRPr="000954C1" w:rsidRDefault="009E656D" w:rsidP="00DC31B1">
      <w:pPr>
        <w:spacing w:before="100" w:beforeAutospacing="1" w:after="100" w:afterAutospacing="1"/>
        <w:contextualSpacing/>
        <w:rPr>
          <w:rFonts w:eastAsia="Times New Roman" w:cs="Times New Roman"/>
          <w:szCs w:val="22"/>
          <w:lang w:val="en-US" w:eastAsia="tr-TR"/>
        </w:rPr>
      </w:pPr>
      <w:r w:rsidRPr="000954C1">
        <w:rPr>
          <w:rFonts w:eastAsia="Times New Roman" w:cs="Times New Roman"/>
          <w:szCs w:val="22"/>
          <w:lang w:val="en-US" w:eastAsia="tr-TR"/>
        </w:rPr>
        <w:t>where Y is PGA, PGV or RSA values at various natural periods. The unit for the acceleration values is cm/s</w:t>
      </w:r>
      <w:r w:rsidRPr="000954C1">
        <w:rPr>
          <w:rFonts w:eastAsia="Times New Roman" w:cs="Times New Roman"/>
          <w:position w:val="8"/>
          <w:szCs w:val="22"/>
          <w:vertAlign w:val="superscript"/>
          <w:lang w:val="en-US" w:eastAsia="tr-TR"/>
        </w:rPr>
        <w:t>2</w:t>
      </w:r>
      <w:r w:rsidRPr="000954C1">
        <w:rPr>
          <w:rFonts w:eastAsia="Times New Roman" w:cs="Times New Roman"/>
          <w:position w:val="8"/>
          <w:szCs w:val="22"/>
          <w:lang w:val="en-US" w:eastAsia="tr-TR"/>
        </w:rPr>
        <w:t xml:space="preserve"> </w:t>
      </w:r>
      <w:r w:rsidRPr="000954C1">
        <w:rPr>
          <w:rFonts w:eastAsia="Times New Roman" w:cs="Times New Roman"/>
          <w:szCs w:val="22"/>
          <w:lang w:val="en-US" w:eastAsia="tr-TR"/>
        </w:rPr>
        <w:t>and that for velocity is cm/s. M</w:t>
      </w:r>
      <w:r w:rsidRPr="000954C1">
        <w:rPr>
          <w:rFonts w:eastAsia="Times New Roman" w:cs="Times New Roman"/>
          <w:position w:val="-4"/>
          <w:szCs w:val="22"/>
          <w:lang w:val="en-US" w:eastAsia="tr-TR"/>
        </w:rPr>
        <w:t xml:space="preserve"> </w:t>
      </w:r>
      <w:r w:rsidRPr="000954C1">
        <w:rPr>
          <w:rFonts w:eastAsia="Times New Roman" w:cs="Times New Roman"/>
          <w:szCs w:val="22"/>
          <w:lang w:val="en-US" w:eastAsia="tr-TR"/>
        </w:rPr>
        <w:t xml:space="preserve">is the moment magnitude and R is the distance, in km. </w:t>
      </w:r>
    </w:p>
    <w:p w14:paraId="6A1B9824" w14:textId="77777777" w:rsidR="00E62B7E" w:rsidRPr="000954C1" w:rsidRDefault="00E62B7E" w:rsidP="00DC31B1">
      <w:pPr>
        <w:spacing w:before="100" w:beforeAutospacing="1" w:after="100" w:afterAutospacing="1"/>
        <w:contextualSpacing/>
        <w:rPr>
          <w:rFonts w:eastAsia="Times New Roman" w:cs="Times New Roman"/>
          <w:szCs w:val="22"/>
          <w:lang w:val="en-US" w:eastAsia="tr-TR"/>
        </w:rPr>
      </w:pPr>
    </w:p>
    <w:p w14:paraId="6B6D3A85" w14:textId="51E45CE5" w:rsidR="00311162" w:rsidRPr="000954C1" w:rsidRDefault="008A50F4" w:rsidP="00311162">
      <w:pPr>
        <w:rPr>
          <w:rFonts w:eastAsia="Arial" w:cs="Times New Roman"/>
          <w:b/>
          <w:sz w:val="28"/>
          <w:szCs w:val="22"/>
          <w:lang w:val="en-US"/>
        </w:rPr>
      </w:pPr>
      <w:r w:rsidRPr="000954C1">
        <w:rPr>
          <w:rFonts w:eastAsia="Arial" w:cs="Times New Roman"/>
          <w:b/>
          <w:sz w:val="28"/>
          <w:szCs w:val="22"/>
          <w:lang w:val="en-US"/>
        </w:rPr>
        <w:t xml:space="preserve">Comparison of observed data </w:t>
      </w:r>
      <w:r w:rsidR="00437F02" w:rsidRPr="000954C1">
        <w:rPr>
          <w:rFonts w:eastAsia="Arial" w:cs="Times New Roman"/>
          <w:b/>
          <w:sz w:val="28"/>
          <w:szCs w:val="22"/>
          <w:lang w:val="en-US"/>
        </w:rPr>
        <w:t>with</w:t>
      </w:r>
      <w:r w:rsidRPr="000954C1">
        <w:rPr>
          <w:rFonts w:eastAsia="Arial" w:cs="Times New Roman"/>
          <w:b/>
          <w:sz w:val="28"/>
          <w:szCs w:val="22"/>
          <w:lang w:val="en-US"/>
        </w:rPr>
        <w:t xml:space="preserve"> GMPEs</w:t>
      </w:r>
      <w:r w:rsidR="00342F77" w:rsidRPr="000954C1">
        <w:rPr>
          <w:rFonts w:eastAsia="Arial" w:cs="Times New Roman"/>
          <w:b/>
          <w:sz w:val="28"/>
          <w:szCs w:val="22"/>
          <w:lang w:val="en-US"/>
        </w:rPr>
        <w:t xml:space="preserve"> </w:t>
      </w:r>
    </w:p>
    <w:p w14:paraId="1D8C4F10" w14:textId="77777777" w:rsidR="00311162" w:rsidRPr="000954C1" w:rsidRDefault="00311162" w:rsidP="00342F77">
      <w:pPr>
        <w:rPr>
          <w:rFonts w:eastAsia="Arial" w:cs="Times New Roman"/>
          <w:b/>
          <w:sz w:val="28"/>
          <w:szCs w:val="22"/>
          <w:lang w:val="en-US"/>
        </w:rPr>
      </w:pPr>
    </w:p>
    <w:p w14:paraId="1478D505" w14:textId="024683E5" w:rsidR="00311162" w:rsidRPr="000954C1" w:rsidRDefault="00E62B7E" w:rsidP="008A50F4">
      <w:pPr>
        <w:pStyle w:val="NormalWeb"/>
        <w:rPr>
          <w:rFonts w:eastAsia="Times New Roman"/>
          <w:sz w:val="22"/>
          <w:szCs w:val="22"/>
          <w:lang w:val="en-US" w:eastAsia="tr-TR"/>
        </w:rPr>
      </w:pPr>
      <w:r w:rsidRPr="000954C1">
        <w:rPr>
          <w:rFonts w:eastAsia="Times New Roman"/>
          <w:sz w:val="22"/>
          <w:szCs w:val="22"/>
          <w:lang w:val="en-US" w:eastAsia="tr-TR"/>
        </w:rPr>
        <w:t xml:space="preserve">Observed earthquake ground motion data from the selected active shallow and subduction earthquakes (see Table 1) has </w:t>
      </w:r>
      <w:r w:rsidR="00861006" w:rsidRPr="000954C1">
        <w:rPr>
          <w:rFonts w:eastAsia="Times New Roman"/>
          <w:sz w:val="22"/>
          <w:szCs w:val="22"/>
          <w:lang w:val="en-US" w:eastAsia="tr-TR"/>
        </w:rPr>
        <w:t xml:space="preserve">been </w:t>
      </w:r>
      <w:r w:rsidRPr="000954C1">
        <w:rPr>
          <w:rFonts w:eastAsia="Times New Roman"/>
          <w:sz w:val="22"/>
          <w:szCs w:val="22"/>
          <w:lang w:val="en-US" w:eastAsia="tr-TR"/>
        </w:rPr>
        <w:t xml:space="preserve">compared with ground motions estimated by the aforementioned equations. For the comparison of PGA data, the equations from Garcia et al. (2005), Lee and Lin (2008), </w:t>
      </w:r>
      <w:proofErr w:type="spellStart"/>
      <w:r w:rsidRPr="000954C1">
        <w:rPr>
          <w:rFonts w:eastAsia="Times New Roman"/>
          <w:sz w:val="22"/>
          <w:szCs w:val="22"/>
          <w:lang w:val="en-US" w:eastAsia="tr-TR"/>
        </w:rPr>
        <w:t>Akkar</w:t>
      </w:r>
      <w:proofErr w:type="spellEnd"/>
      <w:r w:rsidRPr="000954C1">
        <w:rPr>
          <w:rFonts w:eastAsia="Times New Roman"/>
          <w:sz w:val="22"/>
          <w:szCs w:val="22"/>
          <w:lang w:val="en-US" w:eastAsia="tr-TR"/>
        </w:rPr>
        <w:t xml:space="preserve"> and </w:t>
      </w:r>
      <w:proofErr w:type="spellStart"/>
      <w:r w:rsidRPr="000954C1">
        <w:rPr>
          <w:rFonts w:eastAsia="Times New Roman"/>
          <w:sz w:val="22"/>
          <w:szCs w:val="22"/>
          <w:lang w:val="en-US" w:eastAsia="tr-TR"/>
        </w:rPr>
        <w:t>Cagnan</w:t>
      </w:r>
      <w:proofErr w:type="spellEnd"/>
      <w:r w:rsidRPr="000954C1">
        <w:rPr>
          <w:rFonts w:eastAsia="Times New Roman"/>
          <w:sz w:val="22"/>
          <w:szCs w:val="22"/>
          <w:lang w:val="en-US" w:eastAsia="tr-TR"/>
        </w:rPr>
        <w:t xml:space="preserve"> (2010), Zhao et al. (2006), Megawati and Pan (2009) has </w:t>
      </w:r>
      <w:r w:rsidR="00861006" w:rsidRPr="000954C1">
        <w:rPr>
          <w:rFonts w:eastAsia="Times New Roman"/>
          <w:sz w:val="22"/>
          <w:szCs w:val="22"/>
          <w:lang w:val="en-US" w:eastAsia="tr-TR"/>
        </w:rPr>
        <w:t xml:space="preserve">been </w:t>
      </w:r>
      <w:r w:rsidRPr="000954C1">
        <w:rPr>
          <w:rFonts w:eastAsia="Times New Roman"/>
          <w:sz w:val="22"/>
          <w:szCs w:val="22"/>
          <w:lang w:val="en-US" w:eastAsia="tr-TR"/>
        </w:rPr>
        <w:t xml:space="preserve">used. </w:t>
      </w:r>
      <w:r w:rsidR="00C408A8" w:rsidRPr="000954C1">
        <w:rPr>
          <w:rFonts w:eastAsia="Times New Roman"/>
          <w:sz w:val="22"/>
          <w:szCs w:val="22"/>
          <w:lang w:val="en-US" w:eastAsia="tr-TR"/>
        </w:rPr>
        <w:t xml:space="preserve"> GMPEs and observed data for both active shallow and subduction zones are considered together due to the difficulty of separation of earthquakes. </w:t>
      </w:r>
    </w:p>
    <w:p w14:paraId="7A90E260" w14:textId="77777777" w:rsidR="00311162" w:rsidRPr="000954C1" w:rsidRDefault="00311162" w:rsidP="0090213B">
      <w:pPr>
        <w:pStyle w:val="NormalWeb"/>
        <w:rPr>
          <w:rFonts w:eastAsia="Times New Roman"/>
          <w:sz w:val="22"/>
          <w:szCs w:val="22"/>
          <w:lang w:val="en-US" w:eastAsia="tr-TR"/>
        </w:rPr>
      </w:pPr>
    </w:p>
    <w:p w14:paraId="46E64DE4" w14:textId="026774A8" w:rsidR="0090213B" w:rsidRPr="000954C1" w:rsidRDefault="002B6E9E" w:rsidP="0090213B">
      <w:pPr>
        <w:pStyle w:val="NormalWeb"/>
        <w:rPr>
          <w:rFonts w:eastAsia="Times New Roman"/>
          <w:sz w:val="22"/>
          <w:szCs w:val="22"/>
          <w:lang w:val="en-US" w:eastAsia="tr-TR"/>
        </w:rPr>
      </w:pPr>
      <w:r w:rsidRPr="000954C1">
        <w:rPr>
          <w:rFonts w:eastAsia="Times New Roman"/>
          <w:sz w:val="22"/>
          <w:szCs w:val="22"/>
          <w:lang w:val="en-US" w:eastAsia="tr-TR"/>
        </w:rPr>
        <w:t xml:space="preserve">Figure 3 represents the comparison of observed PGA data with selected aforementioned GMPEs. The values obtained from Lee and Lin (2008) and Zhao et al. (2006) equations are higher than the observed data. These relations are valid for the data recorded during subduction zone earthquakes. In this study, earthquake data from this zone is rare. These may affect the results. The estimated data obtained by </w:t>
      </w:r>
      <w:proofErr w:type="spellStart"/>
      <w:r w:rsidRPr="000954C1">
        <w:rPr>
          <w:rFonts w:eastAsia="Times New Roman"/>
          <w:sz w:val="22"/>
          <w:szCs w:val="22"/>
          <w:lang w:val="en-US" w:eastAsia="tr-TR"/>
        </w:rPr>
        <w:t>Akkar</w:t>
      </w:r>
      <w:proofErr w:type="spellEnd"/>
      <w:r w:rsidRPr="000954C1">
        <w:rPr>
          <w:rFonts w:eastAsia="Times New Roman"/>
          <w:sz w:val="22"/>
          <w:szCs w:val="22"/>
          <w:lang w:val="en-US" w:eastAsia="tr-TR"/>
        </w:rPr>
        <w:t xml:space="preserve"> and </w:t>
      </w:r>
      <w:proofErr w:type="spellStart"/>
      <w:r w:rsidRPr="000954C1">
        <w:rPr>
          <w:rFonts w:eastAsia="Times New Roman"/>
          <w:sz w:val="22"/>
          <w:szCs w:val="22"/>
          <w:lang w:val="en-US" w:eastAsia="tr-TR"/>
        </w:rPr>
        <w:t>Cagnan</w:t>
      </w:r>
      <w:proofErr w:type="spellEnd"/>
      <w:r w:rsidRPr="000954C1">
        <w:rPr>
          <w:rFonts w:eastAsia="Times New Roman"/>
          <w:sz w:val="22"/>
          <w:szCs w:val="22"/>
          <w:lang w:val="en-US" w:eastAsia="tr-TR"/>
        </w:rPr>
        <w:t xml:space="preserve"> (2010) correlates well with observed data. Considering all schemes, ground motion prediction equations fulfill the upper and lower band of observed data.</w:t>
      </w:r>
    </w:p>
    <w:p w14:paraId="4624051B" w14:textId="77777777" w:rsidR="002B6E9E" w:rsidRPr="000954C1" w:rsidRDefault="002B6E9E" w:rsidP="0090213B">
      <w:pPr>
        <w:pStyle w:val="NormalWeb"/>
        <w:rPr>
          <w:rFonts w:eastAsia="Times New Roman"/>
          <w:sz w:val="22"/>
          <w:szCs w:val="22"/>
          <w:lang w:val="en-US" w:eastAsia="tr-TR"/>
        </w:rPr>
      </w:pPr>
    </w:p>
    <w:p w14:paraId="64E62351" w14:textId="663EA93A" w:rsidR="00CE3FFA" w:rsidRPr="000954C1" w:rsidRDefault="00E02C87" w:rsidP="008B7867">
      <w:pPr>
        <w:pStyle w:val="NormalWeb"/>
        <w:tabs>
          <w:tab w:val="left" w:pos="1760"/>
        </w:tabs>
        <w:rPr>
          <w:rFonts w:eastAsia="Times New Roman"/>
          <w:sz w:val="22"/>
          <w:szCs w:val="22"/>
          <w:lang w:val="en-US" w:eastAsia="tr-TR"/>
        </w:rPr>
      </w:pPr>
      <w:r w:rsidRPr="000954C1">
        <w:rPr>
          <w:rFonts w:eastAsia="Times New Roman"/>
          <w:sz w:val="22"/>
          <w:szCs w:val="22"/>
          <w:lang w:val="en-US" w:eastAsia="tr-TR"/>
        </w:rPr>
        <w:t xml:space="preserve">In Figure 4, observed PGV data is compared with GMPEs proposed by Garcia et al. (2005), </w:t>
      </w:r>
      <w:proofErr w:type="spellStart"/>
      <w:r w:rsidRPr="000954C1">
        <w:rPr>
          <w:rFonts w:eastAsia="Times New Roman"/>
          <w:sz w:val="22"/>
          <w:szCs w:val="22"/>
          <w:lang w:val="en-US" w:eastAsia="tr-TR"/>
        </w:rPr>
        <w:t>Akkar</w:t>
      </w:r>
      <w:proofErr w:type="spellEnd"/>
      <w:r w:rsidRPr="000954C1">
        <w:rPr>
          <w:rFonts w:eastAsia="Times New Roman"/>
          <w:sz w:val="22"/>
          <w:szCs w:val="22"/>
          <w:lang w:val="en-US" w:eastAsia="tr-TR"/>
        </w:rPr>
        <w:t xml:space="preserve"> and </w:t>
      </w:r>
      <w:proofErr w:type="spellStart"/>
      <w:r w:rsidRPr="000954C1">
        <w:rPr>
          <w:rFonts w:eastAsia="Times New Roman"/>
          <w:sz w:val="22"/>
          <w:szCs w:val="22"/>
          <w:lang w:val="en-US" w:eastAsia="tr-TR"/>
        </w:rPr>
        <w:t>Cagnan</w:t>
      </w:r>
      <w:proofErr w:type="spellEnd"/>
      <w:r w:rsidRPr="000954C1">
        <w:rPr>
          <w:rFonts w:eastAsia="Times New Roman"/>
          <w:sz w:val="22"/>
          <w:szCs w:val="22"/>
          <w:lang w:val="en-US" w:eastAsia="tr-TR"/>
        </w:rPr>
        <w:t xml:space="preserve"> (2010), and Megawati and Pan (2009). Megawati and Pan (2009) correlate with a lower band of the observed data at a distance of higher than 20 km. The reason may</w:t>
      </w:r>
      <w:r w:rsidR="00861006" w:rsidRPr="000954C1">
        <w:rPr>
          <w:rFonts w:eastAsia="Times New Roman"/>
          <w:sz w:val="22"/>
          <w:szCs w:val="22"/>
          <w:lang w:val="en-US" w:eastAsia="tr-TR"/>
        </w:rPr>
        <w:t xml:space="preserve"> </w:t>
      </w:r>
      <w:r w:rsidRPr="000954C1">
        <w:rPr>
          <w:rFonts w:eastAsia="Times New Roman"/>
          <w:sz w:val="22"/>
          <w:szCs w:val="22"/>
          <w:lang w:val="en-US" w:eastAsia="tr-TR"/>
        </w:rPr>
        <w:t xml:space="preserve">be because of the scarce recorded data at the shorter distance. </w:t>
      </w:r>
      <w:proofErr w:type="spellStart"/>
      <w:r w:rsidRPr="000954C1">
        <w:rPr>
          <w:rFonts w:eastAsia="Times New Roman"/>
          <w:sz w:val="22"/>
          <w:szCs w:val="22"/>
          <w:lang w:val="en-US" w:eastAsia="tr-TR"/>
        </w:rPr>
        <w:t>Akkar</w:t>
      </w:r>
      <w:proofErr w:type="spellEnd"/>
      <w:r w:rsidRPr="000954C1">
        <w:rPr>
          <w:rFonts w:eastAsia="Times New Roman"/>
          <w:sz w:val="22"/>
          <w:szCs w:val="22"/>
          <w:lang w:val="en-US" w:eastAsia="tr-TR"/>
        </w:rPr>
        <w:t xml:space="preserve"> and </w:t>
      </w:r>
      <w:proofErr w:type="spellStart"/>
      <w:r w:rsidRPr="000954C1">
        <w:rPr>
          <w:rFonts w:eastAsia="Times New Roman"/>
          <w:sz w:val="22"/>
          <w:szCs w:val="22"/>
          <w:lang w:val="en-US" w:eastAsia="tr-TR"/>
        </w:rPr>
        <w:t>Cagnan</w:t>
      </w:r>
      <w:proofErr w:type="spellEnd"/>
      <w:r w:rsidRPr="000954C1">
        <w:rPr>
          <w:rFonts w:eastAsia="Times New Roman"/>
          <w:sz w:val="22"/>
          <w:szCs w:val="22"/>
          <w:lang w:val="en-US" w:eastAsia="tr-TR"/>
        </w:rPr>
        <w:t xml:space="preserve"> (2010) and Garcia et al. (2005) have compatibility with the observed data. However, these equations were revised concerning region-specific data.</w:t>
      </w:r>
    </w:p>
    <w:p w14:paraId="570F0F3C" w14:textId="4024FADC" w:rsidR="00A4783A" w:rsidRPr="000954C1" w:rsidRDefault="005B4896" w:rsidP="0090213B">
      <w:pPr>
        <w:pStyle w:val="NormalWeb"/>
        <w:jc w:val="center"/>
        <w:rPr>
          <w:rFonts w:eastAsia="Times New Roman"/>
          <w:sz w:val="22"/>
          <w:szCs w:val="22"/>
          <w:lang w:val="en-US" w:eastAsia="tr-TR"/>
        </w:rPr>
      </w:pPr>
      <w:r w:rsidRPr="000954C1">
        <w:rPr>
          <w:rFonts w:eastAsia="Times New Roman"/>
          <w:noProof/>
          <w:sz w:val="22"/>
          <w:szCs w:val="22"/>
          <w:lang w:val="en-US" w:eastAsia="en-US"/>
        </w:rPr>
        <w:lastRenderedPageBreak/>
        <w:drawing>
          <wp:inline distT="0" distB="0" distL="0" distR="0" wp14:anchorId="65B89719" wp14:editId="50CE91F6">
            <wp:extent cx="5097689" cy="2681456"/>
            <wp:effectExtent l="25400" t="25400" r="33655" b="3683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kran Resmi 2020-03-13 12.13.3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7689" cy="2681456"/>
                    </a:xfrm>
                    <a:prstGeom prst="rect">
                      <a:avLst/>
                    </a:prstGeom>
                    <a:ln>
                      <a:solidFill>
                        <a:schemeClr val="tx1"/>
                      </a:solidFill>
                    </a:ln>
                  </pic:spPr>
                </pic:pic>
              </a:graphicData>
            </a:graphic>
          </wp:inline>
        </w:drawing>
      </w:r>
    </w:p>
    <w:p w14:paraId="3F3819B2" w14:textId="1BDB34CC" w:rsidR="005B4896" w:rsidRPr="000954C1" w:rsidRDefault="00620C97" w:rsidP="00A831CD">
      <w:pPr>
        <w:spacing w:before="100" w:beforeAutospacing="1" w:after="100" w:afterAutospacing="1"/>
        <w:jc w:val="center"/>
        <w:rPr>
          <w:szCs w:val="22"/>
          <w:lang w:val="en-US"/>
        </w:rPr>
      </w:pPr>
      <w:r w:rsidRPr="000954C1">
        <w:rPr>
          <w:szCs w:val="22"/>
          <w:lang w:val="en-US"/>
        </w:rPr>
        <w:t xml:space="preserve">Figure </w:t>
      </w:r>
      <w:r w:rsidR="00222069" w:rsidRPr="000954C1">
        <w:rPr>
          <w:szCs w:val="22"/>
          <w:lang w:val="en-US"/>
        </w:rPr>
        <w:t>3</w:t>
      </w:r>
      <w:r w:rsidRPr="000954C1">
        <w:rPr>
          <w:szCs w:val="22"/>
          <w:lang w:val="en-US"/>
        </w:rPr>
        <w:t xml:space="preserve">. </w:t>
      </w:r>
      <w:r w:rsidR="00222069" w:rsidRPr="000954C1">
        <w:rPr>
          <w:szCs w:val="22"/>
          <w:lang w:val="en-US"/>
        </w:rPr>
        <w:t xml:space="preserve">Comparison of observed </w:t>
      </w:r>
      <w:r w:rsidR="00387E75" w:rsidRPr="000954C1">
        <w:rPr>
          <w:szCs w:val="22"/>
          <w:lang w:val="en-US"/>
        </w:rPr>
        <w:t xml:space="preserve">PGA </w:t>
      </w:r>
      <w:r w:rsidR="00222069" w:rsidRPr="000954C1">
        <w:rPr>
          <w:szCs w:val="22"/>
          <w:lang w:val="en-US"/>
        </w:rPr>
        <w:t xml:space="preserve">data with related </w:t>
      </w:r>
      <w:r w:rsidRPr="000954C1">
        <w:rPr>
          <w:szCs w:val="22"/>
          <w:lang w:val="en-US"/>
        </w:rPr>
        <w:t>GMPEs</w:t>
      </w:r>
    </w:p>
    <w:p w14:paraId="40E86B5A" w14:textId="130FD08C" w:rsidR="00E14DA1" w:rsidRPr="000954C1" w:rsidRDefault="005B4896" w:rsidP="00A831CD">
      <w:pPr>
        <w:spacing w:before="100" w:beforeAutospacing="1" w:after="100" w:afterAutospacing="1"/>
        <w:jc w:val="center"/>
        <w:rPr>
          <w:b/>
          <w:bCs/>
          <w:sz w:val="28"/>
          <w:szCs w:val="28"/>
          <w:lang w:val="en-US"/>
        </w:rPr>
      </w:pPr>
      <w:r w:rsidRPr="000954C1">
        <w:rPr>
          <w:noProof/>
          <w:szCs w:val="22"/>
          <w:lang w:val="en-US" w:eastAsia="en-US"/>
        </w:rPr>
        <w:drawing>
          <wp:inline distT="0" distB="0" distL="0" distR="0" wp14:anchorId="60C0557C" wp14:editId="7AC9B2F0">
            <wp:extent cx="5219065" cy="2923067"/>
            <wp:effectExtent l="25400" t="25400" r="13335" b="2349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kran Resmi 2020-03-13 11.44.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0023" cy="2923604"/>
                    </a:xfrm>
                    <a:prstGeom prst="rect">
                      <a:avLst/>
                    </a:prstGeom>
                    <a:ln>
                      <a:solidFill>
                        <a:schemeClr val="tx1"/>
                      </a:solidFill>
                    </a:ln>
                  </pic:spPr>
                </pic:pic>
              </a:graphicData>
            </a:graphic>
          </wp:inline>
        </w:drawing>
      </w:r>
    </w:p>
    <w:p w14:paraId="26E29D0C" w14:textId="0038BDEF" w:rsidR="00DB16A4" w:rsidRPr="000954C1" w:rsidRDefault="00387E75" w:rsidP="00620C97">
      <w:pPr>
        <w:spacing w:before="100" w:beforeAutospacing="1" w:after="100" w:afterAutospacing="1"/>
        <w:jc w:val="center"/>
        <w:rPr>
          <w:szCs w:val="22"/>
          <w:lang w:val="en-US"/>
        </w:rPr>
      </w:pPr>
      <w:r w:rsidRPr="000954C1">
        <w:rPr>
          <w:szCs w:val="22"/>
          <w:lang w:val="en-US"/>
        </w:rPr>
        <w:t>Figure 4</w:t>
      </w:r>
      <w:r w:rsidR="00620C97" w:rsidRPr="000954C1">
        <w:rPr>
          <w:szCs w:val="22"/>
          <w:lang w:val="en-US"/>
        </w:rPr>
        <w:t xml:space="preserve">. </w:t>
      </w:r>
      <w:r w:rsidRPr="000954C1">
        <w:rPr>
          <w:szCs w:val="22"/>
          <w:lang w:val="en-US"/>
        </w:rPr>
        <w:t>Comparison of observed PGV</w:t>
      </w:r>
      <w:r w:rsidR="00944E68" w:rsidRPr="000954C1">
        <w:rPr>
          <w:szCs w:val="22"/>
          <w:lang w:val="en-US"/>
        </w:rPr>
        <w:t xml:space="preserve"> </w:t>
      </w:r>
      <w:r w:rsidRPr="000954C1">
        <w:rPr>
          <w:szCs w:val="22"/>
          <w:lang w:val="en-US"/>
        </w:rPr>
        <w:t>data with related GMPEs</w:t>
      </w:r>
    </w:p>
    <w:p w14:paraId="5AB0FB81" w14:textId="3CCF716B" w:rsidR="009F118F" w:rsidRPr="000954C1" w:rsidRDefault="00A32576" w:rsidP="0090213B">
      <w:pPr>
        <w:pStyle w:val="NormalWeb"/>
        <w:rPr>
          <w:rFonts w:eastAsia="Times New Roman"/>
          <w:sz w:val="22"/>
          <w:szCs w:val="22"/>
          <w:lang w:val="en-US" w:eastAsia="tr-TR"/>
        </w:rPr>
      </w:pPr>
      <w:r w:rsidRPr="000954C1">
        <w:rPr>
          <w:rFonts w:eastAsia="Times New Roman"/>
          <w:sz w:val="22"/>
          <w:szCs w:val="22"/>
          <w:lang w:val="en-US" w:eastAsia="tr-TR"/>
        </w:rPr>
        <w:t xml:space="preserve">Observed spectral acceleration data </w:t>
      </w:r>
      <w:r w:rsidR="006E6501" w:rsidRPr="000954C1">
        <w:rPr>
          <w:rFonts w:eastAsia="Times New Roman"/>
          <w:sz w:val="22"/>
          <w:szCs w:val="22"/>
          <w:lang w:val="en-US" w:eastAsia="tr-TR"/>
        </w:rPr>
        <w:t>are</w:t>
      </w:r>
      <w:r w:rsidR="00A8761C" w:rsidRPr="000954C1">
        <w:rPr>
          <w:rFonts w:eastAsia="Times New Roman"/>
          <w:sz w:val="22"/>
          <w:szCs w:val="22"/>
          <w:lang w:val="en-US" w:eastAsia="tr-TR"/>
        </w:rPr>
        <w:t xml:space="preserve"> </w:t>
      </w:r>
      <w:r w:rsidRPr="000954C1">
        <w:rPr>
          <w:rFonts w:eastAsia="Times New Roman"/>
          <w:sz w:val="22"/>
          <w:szCs w:val="22"/>
          <w:lang w:val="en-US" w:eastAsia="tr-TR"/>
        </w:rPr>
        <w:t xml:space="preserve">represented in Figure 5 and Figure 6 with GMPEs by Lee and Lin (2008), </w:t>
      </w:r>
      <w:proofErr w:type="spellStart"/>
      <w:r w:rsidRPr="000954C1">
        <w:rPr>
          <w:rFonts w:eastAsia="Times New Roman"/>
          <w:sz w:val="22"/>
          <w:szCs w:val="22"/>
          <w:lang w:val="en-US" w:eastAsia="tr-TR"/>
        </w:rPr>
        <w:t>Akkar</w:t>
      </w:r>
      <w:proofErr w:type="spellEnd"/>
      <w:r w:rsidRPr="000954C1">
        <w:rPr>
          <w:rFonts w:eastAsia="Times New Roman"/>
          <w:sz w:val="22"/>
          <w:szCs w:val="22"/>
          <w:lang w:val="en-US" w:eastAsia="tr-TR"/>
        </w:rPr>
        <w:t xml:space="preserve">, and </w:t>
      </w:r>
      <w:proofErr w:type="spellStart"/>
      <w:r w:rsidRPr="000954C1">
        <w:rPr>
          <w:rFonts w:eastAsia="Times New Roman"/>
          <w:sz w:val="22"/>
          <w:szCs w:val="22"/>
          <w:lang w:val="en-US" w:eastAsia="tr-TR"/>
        </w:rPr>
        <w:t>Cagnan</w:t>
      </w:r>
      <w:proofErr w:type="spellEnd"/>
      <w:r w:rsidRPr="000954C1">
        <w:rPr>
          <w:rFonts w:eastAsia="Times New Roman"/>
          <w:sz w:val="22"/>
          <w:szCs w:val="22"/>
          <w:lang w:val="en-US" w:eastAsia="tr-TR"/>
        </w:rPr>
        <w:t xml:space="preserve"> (2010), Zhao et al. (2006). Spectral acceleration at T=0.2 sec and T=1.0 sec compared with the related ground motion predictions. Both observed data from the active shallow zone and subduction zone are considered together because of the scarcity of data. For further study, it is </w:t>
      </w:r>
      <w:r w:rsidR="00F56042" w:rsidRPr="000954C1">
        <w:rPr>
          <w:rFonts w:eastAsia="Times New Roman"/>
          <w:sz w:val="22"/>
          <w:szCs w:val="22"/>
          <w:lang w:val="en-US" w:eastAsia="tr-TR"/>
        </w:rPr>
        <w:t>planned</w:t>
      </w:r>
      <w:r w:rsidRPr="000954C1">
        <w:rPr>
          <w:rFonts w:eastAsia="Times New Roman"/>
          <w:sz w:val="22"/>
          <w:szCs w:val="22"/>
          <w:lang w:val="en-US" w:eastAsia="tr-TR"/>
        </w:rPr>
        <w:t xml:space="preserve"> to separate and inspect the relation between observed data and ground motion prediction equations in detail.</w:t>
      </w:r>
    </w:p>
    <w:p w14:paraId="6D97E3A2" w14:textId="77777777" w:rsidR="00BE7D4C" w:rsidRDefault="00BE7D4C" w:rsidP="0090213B">
      <w:pPr>
        <w:pStyle w:val="NormalWeb"/>
        <w:rPr>
          <w:rFonts w:eastAsia="Times New Roman"/>
          <w:sz w:val="22"/>
          <w:szCs w:val="22"/>
          <w:lang w:val="en-US" w:eastAsia="tr-TR"/>
        </w:rPr>
      </w:pPr>
    </w:p>
    <w:p w14:paraId="5EAF9293" w14:textId="7D8189FE" w:rsidR="00DB16A4" w:rsidRPr="000954C1" w:rsidRDefault="00A32576" w:rsidP="0090213B">
      <w:pPr>
        <w:pStyle w:val="NormalWeb"/>
        <w:rPr>
          <w:rFonts w:eastAsia="Times New Roman"/>
          <w:sz w:val="22"/>
          <w:szCs w:val="22"/>
          <w:lang w:val="en-US" w:eastAsia="tr-TR"/>
        </w:rPr>
      </w:pPr>
      <w:r w:rsidRPr="000954C1">
        <w:rPr>
          <w:rFonts w:eastAsia="Times New Roman"/>
          <w:sz w:val="22"/>
          <w:szCs w:val="22"/>
          <w:lang w:val="en-US" w:eastAsia="tr-TR"/>
        </w:rPr>
        <w:t xml:space="preserve">Figure 5 represents the compatibility of Sa (T=0.2 sec) with related GMPEs. </w:t>
      </w:r>
      <w:proofErr w:type="spellStart"/>
      <w:r w:rsidRPr="000954C1">
        <w:rPr>
          <w:rFonts w:eastAsia="Times New Roman"/>
          <w:sz w:val="22"/>
          <w:szCs w:val="22"/>
          <w:lang w:val="en-US" w:eastAsia="tr-TR"/>
        </w:rPr>
        <w:t>Akkar</w:t>
      </w:r>
      <w:proofErr w:type="spellEnd"/>
      <w:r w:rsidRPr="000954C1">
        <w:rPr>
          <w:rFonts w:eastAsia="Times New Roman"/>
          <w:sz w:val="22"/>
          <w:szCs w:val="22"/>
          <w:lang w:val="en-US" w:eastAsia="tr-TR"/>
        </w:rPr>
        <w:t xml:space="preserve"> and </w:t>
      </w:r>
      <w:proofErr w:type="spellStart"/>
      <w:r w:rsidRPr="000954C1">
        <w:rPr>
          <w:rFonts w:eastAsia="Times New Roman"/>
          <w:sz w:val="22"/>
          <w:szCs w:val="22"/>
          <w:lang w:val="en-US" w:eastAsia="tr-TR"/>
        </w:rPr>
        <w:t>Cagnan</w:t>
      </w:r>
      <w:proofErr w:type="spellEnd"/>
      <w:r w:rsidRPr="000954C1">
        <w:rPr>
          <w:rFonts w:eastAsia="Times New Roman"/>
          <w:sz w:val="22"/>
          <w:szCs w:val="22"/>
          <w:lang w:val="en-US" w:eastAsia="tr-TR"/>
        </w:rPr>
        <w:t xml:space="preserve"> (2010) correlate well in the distance band from 20 km to 100 km. Lin and Lee (2008) seem to is higher than the observed data. However, it covers the upper band of observed data. It is related to the observing data from the subduction zone. Likewise, as expected, the correlations in Figure 6 are compatible with Figure 5.</w:t>
      </w:r>
    </w:p>
    <w:p w14:paraId="4C57ACFA" w14:textId="011AC53C" w:rsidR="00E14DA1" w:rsidRPr="000954C1" w:rsidRDefault="005B4896" w:rsidP="0038115C">
      <w:pPr>
        <w:spacing w:before="100" w:beforeAutospacing="1" w:after="100" w:afterAutospacing="1"/>
        <w:jc w:val="center"/>
        <w:rPr>
          <w:lang w:val="en-US"/>
        </w:rPr>
      </w:pPr>
      <w:r w:rsidRPr="000954C1">
        <w:rPr>
          <w:noProof/>
          <w:lang w:val="en-US" w:eastAsia="en-US"/>
        </w:rPr>
        <w:lastRenderedPageBreak/>
        <w:drawing>
          <wp:inline distT="0" distB="0" distL="0" distR="0" wp14:anchorId="7B0D492A" wp14:editId="648BFE1D">
            <wp:extent cx="5223537" cy="2785533"/>
            <wp:effectExtent l="25400" t="25400" r="34290" b="342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7204" cy="2792821"/>
                    </a:xfrm>
                    <a:prstGeom prst="rect">
                      <a:avLst/>
                    </a:prstGeom>
                    <a:ln>
                      <a:solidFill>
                        <a:schemeClr val="tx1"/>
                      </a:solidFill>
                    </a:ln>
                  </pic:spPr>
                </pic:pic>
              </a:graphicData>
            </a:graphic>
          </wp:inline>
        </w:drawing>
      </w:r>
    </w:p>
    <w:p w14:paraId="031049D7" w14:textId="7704C28C" w:rsidR="005B4896" w:rsidRPr="000954C1" w:rsidRDefault="00944E68" w:rsidP="00620C97">
      <w:pPr>
        <w:spacing w:before="100" w:beforeAutospacing="1" w:after="100" w:afterAutospacing="1"/>
        <w:jc w:val="center"/>
        <w:rPr>
          <w:szCs w:val="22"/>
          <w:lang w:val="en-US"/>
        </w:rPr>
      </w:pPr>
      <w:r w:rsidRPr="000954C1">
        <w:rPr>
          <w:szCs w:val="22"/>
          <w:lang w:val="en-US"/>
        </w:rPr>
        <w:t>Figure 5</w:t>
      </w:r>
      <w:r w:rsidR="00620C97" w:rsidRPr="000954C1">
        <w:rPr>
          <w:szCs w:val="22"/>
          <w:lang w:val="en-US"/>
        </w:rPr>
        <w:t xml:space="preserve">. </w:t>
      </w:r>
      <w:r w:rsidRPr="000954C1">
        <w:rPr>
          <w:szCs w:val="22"/>
          <w:lang w:val="en-US"/>
        </w:rPr>
        <w:t xml:space="preserve">Comparison of </w:t>
      </w:r>
      <w:r w:rsidR="00620C97" w:rsidRPr="000954C1">
        <w:rPr>
          <w:szCs w:val="22"/>
          <w:lang w:val="en-US"/>
        </w:rPr>
        <w:t xml:space="preserve">Sa (T=0.2 sec) </w:t>
      </w:r>
      <w:r w:rsidRPr="000954C1">
        <w:rPr>
          <w:szCs w:val="22"/>
          <w:lang w:val="en-US"/>
        </w:rPr>
        <w:t>data with related</w:t>
      </w:r>
      <w:r w:rsidR="00620C97" w:rsidRPr="000954C1">
        <w:rPr>
          <w:szCs w:val="22"/>
          <w:lang w:val="en-US"/>
        </w:rPr>
        <w:t xml:space="preserve"> GMPEs</w:t>
      </w:r>
    </w:p>
    <w:p w14:paraId="0713B7B1" w14:textId="7E333077" w:rsidR="005B4896" w:rsidRPr="000954C1" w:rsidRDefault="005B4896" w:rsidP="005B4896">
      <w:pPr>
        <w:spacing w:before="100" w:beforeAutospacing="1" w:after="100" w:afterAutospacing="1"/>
        <w:jc w:val="center"/>
        <w:rPr>
          <w:lang w:val="en-US"/>
        </w:rPr>
      </w:pPr>
      <w:r w:rsidRPr="000954C1">
        <w:rPr>
          <w:noProof/>
          <w:lang w:val="en-US" w:eastAsia="en-US"/>
        </w:rPr>
        <w:drawing>
          <wp:inline distT="0" distB="0" distL="0" distR="0" wp14:anchorId="0CD73AA6" wp14:editId="4F36D263">
            <wp:extent cx="5286141" cy="2726267"/>
            <wp:effectExtent l="25400" t="25400" r="22860" b="171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8229" cy="2732501"/>
                    </a:xfrm>
                    <a:prstGeom prst="rect">
                      <a:avLst/>
                    </a:prstGeom>
                    <a:ln>
                      <a:solidFill>
                        <a:schemeClr val="tx1"/>
                      </a:solidFill>
                    </a:ln>
                  </pic:spPr>
                </pic:pic>
              </a:graphicData>
            </a:graphic>
          </wp:inline>
        </w:drawing>
      </w:r>
    </w:p>
    <w:p w14:paraId="3CCA3991" w14:textId="665162C8" w:rsidR="00E92137" w:rsidRPr="00293702" w:rsidRDefault="005B4896" w:rsidP="00293702">
      <w:pPr>
        <w:spacing w:before="100" w:beforeAutospacing="1" w:after="100" w:afterAutospacing="1"/>
        <w:jc w:val="center"/>
        <w:rPr>
          <w:szCs w:val="22"/>
          <w:lang w:val="en-US"/>
        </w:rPr>
      </w:pPr>
      <w:r w:rsidRPr="000954C1">
        <w:rPr>
          <w:szCs w:val="22"/>
          <w:lang w:val="en-US"/>
        </w:rPr>
        <w:t>Figure 6. Comparison of Sa (T=1 sec) data with related GMPE</w:t>
      </w:r>
    </w:p>
    <w:p w14:paraId="2858DBD2" w14:textId="77777777" w:rsidR="000954C1" w:rsidRDefault="000954C1" w:rsidP="008743AF">
      <w:pPr>
        <w:rPr>
          <w:rFonts w:eastAsia="Arial" w:cs="Times New Roman"/>
          <w:b/>
          <w:sz w:val="28"/>
          <w:szCs w:val="22"/>
          <w:lang w:val="en-US"/>
        </w:rPr>
      </w:pPr>
    </w:p>
    <w:p w14:paraId="27B24C6B" w14:textId="3440786E" w:rsidR="00A96C6C" w:rsidRPr="000954C1" w:rsidRDefault="00A96C6C" w:rsidP="008743AF">
      <w:pPr>
        <w:rPr>
          <w:rFonts w:eastAsia="Arial" w:cs="Times New Roman"/>
          <w:b/>
          <w:sz w:val="28"/>
          <w:szCs w:val="22"/>
          <w:lang w:val="en-US"/>
        </w:rPr>
      </w:pPr>
      <w:r w:rsidRPr="000954C1">
        <w:rPr>
          <w:rFonts w:eastAsia="Arial" w:cs="Times New Roman"/>
          <w:b/>
          <w:sz w:val="28"/>
          <w:szCs w:val="22"/>
          <w:lang w:val="en-US"/>
        </w:rPr>
        <w:t>Conclusion</w:t>
      </w:r>
      <w:r w:rsidR="000E5CA9" w:rsidRPr="000954C1">
        <w:rPr>
          <w:rFonts w:eastAsia="Arial" w:cs="Times New Roman"/>
          <w:b/>
          <w:sz w:val="28"/>
          <w:szCs w:val="22"/>
          <w:lang w:val="en-US"/>
        </w:rPr>
        <w:t>s</w:t>
      </w:r>
    </w:p>
    <w:p w14:paraId="4EE7AE25" w14:textId="77777777" w:rsidR="0098105B" w:rsidRPr="000954C1" w:rsidRDefault="0098105B" w:rsidP="0098105B">
      <w:pPr>
        <w:rPr>
          <w:rFonts w:eastAsia="Arial" w:cs="Times New Roman"/>
          <w:b/>
          <w:sz w:val="28"/>
          <w:szCs w:val="22"/>
          <w:lang w:val="en-US"/>
        </w:rPr>
      </w:pPr>
    </w:p>
    <w:p w14:paraId="1F9B8931" w14:textId="2CEAD692" w:rsidR="00A4011E" w:rsidRPr="000954C1" w:rsidRDefault="00C82840" w:rsidP="0098105B">
      <w:pPr>
        <w:rPr>
          <w:rFonts w:eastAsia="Times New Roman"/>
          <w:szCs w:val="22"/>
          <w:lang w:val="en-US" w:eastAsia="tr-TR"/>
        </w:rPr>
      </w:pPr>
      <w:r w:rsidRPr="000954C1">
        <w:rPr>
          <w:rFonts w:eastAsia="Times New Roman"/>
          <w:szCs w:val="22"/>
          <w:lang w:val="en-US" w:eastAsia="tr-TR"/>
        </w:rPr>
        <w:t>In this study,</w:t>
      </w:r>
      <w:r w:rsidR="001B6F6B" w:rsidRPr="000954C1">
        <w:rPr>
          <w:rFonts w:eastAsia="Times New Roman"/>
          <w:szCs w:val="22"/>
          <w:lang w:val="en-US" w:eastAsia="tr-TR"/>
        </w:rPr>
        <w:t xml:space="preserve"> ground motion prediction equations mentioned and analyzed in SHARE project for active shallow and subduction zones are used: Garcia et al. (2005), Lee and Lin (2008), </w:t>
      </w:r>
      <w:proofErr w:type="spellStart"/>
      <w:r w:rsidR="001B6F6B" w:rsidRPr="000954C1">
        <w:rPr>
          <w:rFonts w:eastAsia="Times New Roman"/>
          <w:szCs w:val="22"/>
          <w:lang w:val="en-US" w:eastAsia="tr-TR"/>
        </w:rPr>
        <w:t>Akkar</w:t>
      </w:r>
      <w:proofErr w:type="spellEnd"/>
      <w:r w:rsidR="001B6F6B" w:rsidRPr="000954C1">
        <w:rPr>
          <w:rFonts w:eastAsia="Times New Roman"/>
          <w:szCs w:val="22"/>
          <w:lang w:val="en-US" w:eastAsia="tr-TR"/>
        </w:rPr>
        <w:t xml:space="preserve">, and </w:t>
      </w:r>
      <w:proofErr w:type="spellStart"/>
      <w:r w:rsidR="001B6F6B" w:rsidRPr="000954C1">
        <w:rPr>
          <w:rFonts w:eastAsia="Times New Roman"/>
          <w:szCs w:val="22"/>
          <w:lang w:val="en-US" w:eastAsia="tr-TR"/>
        </w:rPr>
        <w:t>Cagnan</w:t>
      </w:r>
      <w:proofErr w:type="spellEnd"/>
      <w:r w:rsidR="001B6F6B" w:rsidRPr="000954C1">
        <w:rPr>
          <w:rFonts w:eastAsia="Times New Roman"/>
          <w:szCs w:val="22"/>
          <w:lang w:val="en-US" w:eastAsia="tr-TR"/>
        </w:rPr>
        <w:t xml:space="preserve"> (2010), Zhao et al. (2006), Megawati and Pan (2009).  </w:t>
      </w:r>
      <w:r w:rsidR="0098105B" w:rsidRPr="000954C1">
        <w:rPr>
          <w:rFonts w:eastAsia="Times New Roman"/>
          <w:szCs w:val="22"/>
          <w:lang w:val="en-US" w:eastAsia="tr-TR"/>
        </w:rPr>
        <w:t>Observed earthquake ground motion data from the selected active shallow and subduction earthquakes</w:t>
      </w:r>
      <w:r w:rsidR="001B6F6B" w:rsidRPr="000954C1">
        <w:rPr>
          <w:rFonts w:eastAsia="Times New Roman"/>
          <w:szCs w:val="22"/>
          <w:lang w:val="en-US" w:eastAsia="tr-TR"/>
        </w:rPr>
        <w:t xml:space="preserve"> </w:t>
      </w:r>
      <w:r w:rsidR="003F3FC5" w:rsidRPr="000954C1">
        <w:rPr>
          <w:rFonts w:eastAsia="Times New Roman"/>
          <w:szCs w:val="22"/>
          <w:lang w:val="en-US" w:eastAsia="tr-TR"/>
        </w:rPr>
        <w:t>recorded by Turkis</w:t>
      </w:r>
      <w:r w:rsidRPr="000954C1">
        <w:rPr>
          <w:rFonts w:eastAsia="Times New Roman"/>
          <w:szCs w:val="22"/>
          <w:lang w:val="en-US" w:eastAsia="tr-TR"/>
        </w:rPr>
        <w:t>h Strong Motion Station Network</w:t>
      </w:r>
      <w:r w:rsidR="003F3FC5" w:rsidRPr="000954C1">
        <w:rPr>
          <w:rFonts w:eastAsia="Times New Roman"/>
          <w:szCs w:val="22"/>
          <w:lang w:val="en-US" w:eastAsia="tr-TR"/>
        </w:rPr>
        <w:t xml:space="preserve"> of AFAD </w:t>
      </w:r>
      <w:r w:rsidR="001B6F6B" w:rsidRPr="000954C1">
        <w:rPr>
          <w:rFonts w:eastAsia="Times New Roman"/>
          <w:szCs w:val="22"/>
          <w:lang w:val="en-US" w:eastAsia="tr-TR"/>
        </w:rPr>
        <w:t>are compared with these GMPEs</w:t>
      </w:r>
      <w:r w:rsidR="003F3FC5" w:rsidRPr="000954C1">
        <w:rPr>
          <w:rFonts w:eastAsia="Times New Roman"/>
          <w:szCs w:val="22"/>
          <w:lang w:val="en-US" w:eastAsia="tr-TR"/>
        </w:rPr>
        <w:t xml:space="preserve">. </w:t>
      </w:r>
      <w:r w:rsidRPr="000954C1">
        <w:rPr>
          <w:rFonts w:eastAsia="Times New Roman"/>
          <w:szCs w:val="22"/>
          <w:lang w:val="en-US" w:eastAsia="tr-TR"/>
        </w:rPr>
        <w:t>The compatibility</w:t>
      </w:r>
      <w:r w:rsidR="00A4011E" w:rsidRPr="000954C1">
        <w:rPr>
          <w:rFonts w:eastAsia="Times New Roman"/>
          <w:szCs w:val="22"/>
          <w:lang w:val="en-US" w:eastAsia="tr-TR"/>
        </w:rPr>
        <w:t xml:space="preserve"> is</w:t>
      </w:r>
      <w:r w:rsidRPr="000954C1">
        <w:rPr>
          <w:rFonts w:eastAsia="Times New Roman"/>
          <w:szCs w:val="22"/>
          <w:lang w:val="en-US" w:eastAsia="tr-TR"/>
        </w:rPr>
        <w:t xml:space="preserve"> </w:t>
      </w:r>
      <w:r w:rsidR="00A4011E" w:rsidRPr="000954C1">
        <w:rPr>
          <w:rFonts w:eastAsia="Times New Roman"/>
          <w:szCs w:val="22"/>
          <w:lang w:val="en-US" w:eastAsia="tr-TR"/>
        </w:rPr>
        <w:t>investigated</w:t>
      </w:r>
      <w:r w:rsidRPr="000954C1">
        <w:rPr>
          <w:rFonts w:eastAsia="Times New Roman"/>
          <w:szCs w:val="22"/>
          <w:lang w:val="en-US" w:eastAsia="tr-TR"/>
        </w:rPr>
        <w:t xml:space="preserve"> in terms of peak ground acceleration (PGA), peak ground velocity (PGV) and spectral acceleration at T=0.2 and T=1 sec. </w:t>
      </w:r>
    </w:p>
    <w:p w14:paraId="1464D384" w14:textId="77777777" w:rsidR="00A96C6C" w:rsidRPr="000954C1" w:rsidRDefault="00A96C6C" w:rsidP="008743AF">
      <w:pPr>
        <w:rPr>
          <w:rFonts w:eastAsia="Times New Roman"/>
          <w:szCs w:val="22"/>
          <w:lang w:val="en-US" w:eastAsia="tr-TR"/>
        </w:rPr>
      </w:pPr>
    </w:p>
    <w:p w14:paraId="3FFA8A3A" w14:textId="2EA62D5B" w:rsidR="00E409DA" w:rsidRPr="000954C1" w:rsidRDefault="00E409DA" w:rsidP="008743AF">
      <w:pPr>
        <w:rPr>
          <w:rFonts w:eastAsia="Times New Roman"/>
          <w:szCs w:val="22"/>
          <w:lang w:val="en-US" w:eastAsia="tr-TR"/>
        </w:rPr>
      </w:pPr>
      <w:r w:rsidRPr="000954C1">
        <w:rPr>
          <w:rFonts w:eastAsia="Times New Roman"/>
          <w:szCs w:val="22"/>
          <w:lang w:val="en-US" w:eastAsia="tr-TR"/>
        </w:rPr>
        <w:lastRenderedPageBreak/>
        <w:t xml:space="preserve">Even though </w:t>
      </w:r>
      <w:r w:rsidR="00A4011E" w:rsidRPr="000954C1">
        <w:rPr>
          <w:rFonts w:eastAsia="Times New Roman"/>
          <w:szCs w:val="22"/>
          <w:lang w:val="en-US" w:eastAsia="tr-TR"/>
        </w:rPr>
        <w:t>good correlation with observed data and related ground motion prediction equations</w:t>
      </w:r>
      <w:r w:rsidR="00E74C38" w:rsidRPr="000954C1">
        <w:rPr>
          <w:rFonts w:eastAsia="Times New Roman"/>
          <w:szCs w:val="22"/>
          <w:lang w:val="en-US" w:eastAsia="tr-TR"/>
        </w:rPr>
        <w:t xml:space="preserve"> has been observed</w:t>
      </w:r>
      <w:r w:rsidR="001D4D9D" w:rsidRPr="000954C1">
        <w:rPr>
          <w:rFonts w:eastAsia="Times New Roman"/>
          <w:szCs w:val="22"/>
          <w:lang w:val="en-US" w:eastAsia="tr-TR"/>
        </w:rPr>
        <w:t xml:space="preserve"> in a wide range, it could be important that since the development of computer technology, ground motion prediction equations may be improved</w:t>
      </w:r>
      <w:r w:rsidRPr="000954C1">
        <w:rPr>
          <w:rFonts w:eastAsia="Times New Roman"/>
          <w:szCs w:val="22"/>
          <w:lang w:val="en-US" w:eastAsia="tr-TR"/>
        </w:rPr>
        <w:t>.</w:t>
      </w:r>
    </w:p>
    <w:p w14:paraId="0A25341E" w14:textId="77777777" w:rsidR="00E409DA" w:rsidRPr="000954C1" w:rsidRDefault="00E409DA" w:rsidP="008743AF">
      <w:pPr>
        <w:rPr>
          <w:rFonts w:eastAsia="Times New Roman"/>
          <w:szCs w:val="22"/>
          <w:lang w:val="en-US" w:eastAsia="tr-TR"/>
        </w:rPr>
      </w:pPr>
    </w:p>
    <w:p w14:paraId="7105868A" w14:textId="1B5A832B" w:rsidR="00C82840" w:rsidRPr="000954C1" w:rsidRDefault="00C82840" w:rsidP="008743AF">
      <w:pPr>
        <w:rPr>
          <w:rFonts w:eastAsia="Times New Roman"/>
          <w:szCs w:val="22"/>
          <w:lang w:val="en-US" w:eastAsia="tr-TR"/>
        </w:rPr>
      </w:pPr>
      <w:r w:rsidRPr="000954C1">
        <w:rPr>
          <w:rFonts w:eastAsia="Times New Roman"/>
          <w:szCs w:val="22"/>
          <w:lang w:val="en-US" w:eastAsia="tr-TR"/>
        </w:rPr>
        <w:t>This preliminary study for the evaluation of recorded data using ground motion prediction equations in Southern A</w:t>
      </w:r>
      <w:r w:rsidR="00F93556">
        <w:rPr>
          <w:rFonts w:eastAsia="Times New Roman"/>
          <w:szCs w:val="22"/>
          <w:lang w:val="en-US" w:eastAsia="tr-TR"/>
        </w:rPr>
        <w:t>e</w:t>
      </w:r>
      <w:r w:rsidRPr="000954C1">
        <w:rPr>
          <w:rFonts w:eastAsia="Times New Roman"/>
          <w:szCs w:val="22"/>
          <w:lang w:val="en-US" w:eastAsia="tr-TR"/>
        </w:rPr>
        <w:t xml:space="preserve">gean Region is important to understand the general characteristics of earthquake data and </w:t>
      </w:r>
      <w:r w:rsidR="005052CA" w:rsidRPr="000954C1">
        <w:rPr>
          <w:rFonts w:eastAsia="Times New Roman"/>
          <w:szCs w:val="22"/>
          <w:lang w:val="en-US" w:eastAsia="tr-TR"/>
        </w:rPr>
        <w:t xml:space="preserve">compliance of GMPEs. When evaluated, more earthquake data are considered to analyze the compatibility of observed and estimated data by GMPEs in a statistical procedure </w:t>
      </w:r>
      <w:r w:rsidR="0079552A" w:rsidRPr="000954C1">
        <w:rPr>
          <w:rFonts w:eastAsia="Times New Roman"/>
          <w:szCs w:val="22"/>
          <w:lang w:val="en-US" w:eastAsia="tr-TR"/>
        </w:rPr>
        <w:t>for the further study</w:t>
      </w:r>
      <w:r w:rsidR="005052CA" w:rsidRPr="000954C1">
        <w:rPr>
          <w:rFonts w:eastAsia="Times New Roman"/>
          <w:szCs w:val="22"/>
          <w:lang w:val="en-US" w:eastAsia="tr-TR"/>
        </w:rPr>
        <w:t xml:space="preserve">. </w:t>
      </w:r>
    </w:p>
    <w:p w14:paraId="44DC7B98" w14:textId="77777777" w:rsidR="008743AF" w:rsidRPr="000954C1" w:rsidRDefault="008743AF" w:rsidP="008743AF">
      <w:pPr>
        <w:rPr>
          <w:rFonts w:eastAsia="Arial" w:cs="Times New Roman"/>
          <w:b/>
          <w:sz w:val="28"/>
          <w:szCs w:val="22"/>
          <w:lang w:val="en-US"/>
        </w:rPr>
      </w:pPr>
    </w:p>
    <w:p w14:paraId="5B475D24" w14:textId="2BB330D3" w:rsidR="0044409E" w:rsidRPr="000954C1" w:rsidRDefault="0044409E" w:rsidP="002042AB">
      <w:pPr>
        <w:pStyle w:val="GvdeMetni3"/>
        <w:jc w:val="both"/>
        <w:outlineLvl w:val="0"/>
        <w:rPr>
          <w:color w:val="000000" w:themeColor="text1"/>
          <w:sz w:val="28"/>
          <w:szCs w:val="28"/>
          <w:lang w:val="en-US"/>
        </w:rPr>
      </w:pPr>
      <w:r w:rsidRPr="000954C1">
        <w:rPr>
          <w:color w:val="000000" w:themeColor="text1"/>
          <w:sz w:val="28"/>
          <w:szCs w:val="28"/>
          <w:lang w:val="en-US"/>
        </w:rPr>
        <w:t>References</w:t>
      </w:r>
    </w:p>
    <w:p w14:paraId="36AA2073" w14:textId="77777777" w:rsidR="00EC7C02" w:rsidRPr="000954C1" w:rsidRDefault="00EC7C02" w:rsidP="00EC7C02">
      <w:pPr>
        <w:pStyle w:val="NormalWeb"/>
        <w:spacing w:line="276" w:lineRule="auto"/>
        <w:ind w:left="709" w:hanging="709"/>
        <w:rPr>
          <w:lang w:val="en-US"/>
        </w:rPr>
      </w:pPr>
    </w:p>
    <w:p w14:paraId="5354E699" w14:textId="3571AC20" w:rsidR="00EC7C02" w:rsidRPr="0074029F" w:rsidRDefault="00EC7C02" w:rsidP="00EC7C02">
      <w:pPr>
        <w:pStyle w:val="NormalWeb"/>
        <w:spacing w:line="276" w:lineRule="auto"/>
        <w:ind w:left="709" w:hanging="709"/>
        <w:rPr>
          <w:sz w:val="20"/>
          <w:szCs w:val="20"/>
          <w:lang w:val="en-US"/>
        </w:rPr>
      </w:pPr>
      <w:r w:rsidRPr="0074029F">
        <w:rPr>
          <w:sz w:val="20"/>
          <w:szCs w:val="20"/>
          <w:lang w:val="en-US"/>
        </w:rPr>
        <w:t>Abrahamson N</w:t>
      </w:r>
      <w:r w:rsidR="00ED1936" w:rsidRPr="0074029F">
        <w:rPr>
          <w:sz w:val="20"/>
          <w:szCs w:val="20"/>
          <w:lang w:val="en-US"/>
        </w:rPr>
        <w:t>.</w:t>
      </w:r>
      <w:r w:rsidRPr="0074029F">
        <w:rPr>
          <w:sz w:val="20"/>
          <w:szCs w:val="20"/>
          <w:lang w:val="en-US"/>
        </w:rPr>
        <w:t xml:space="preserve">, Silva WJ (2008) </w:t>
      </w:r>
      <w:r w:rsidRPr="0074029F">
        <w:rPr>
          <w:i/>
          <w:iCs/>
          <w:sz w:val="20"/>
          <w:szCs w:val="20"/>
          <w:lang w:val="en-US"/>
        </w:rPr>
        <w:t>Summary of the Abrahamson and Silva NGA ground-motion relations</w:t>
      </w:r>
      <w:r w:rsidRPr="0074029F">
        <w:rPr>
          <w:sz w:val="20"/>
          <w:szCs w:val="20"/>
          <w:lang w:val="en-US"/>
        </w:rPr>
        <w:t>, Earthquake Spectra 24:67–97</w:t>
      </w:r>
      <w:r w:rsidR="00E22FD6" w:rsidRPr="0074029F">
        <w:rPr>
          <w:sz w:val="20"/>
          <w:szCs w:val="20"/>
          <w:lang w:val="en-US"/>
        </w:rPr>
        <w:t>.</w:t>
      </w:r>
    </w:p>
    <w:p w14:paraId="26EFE78C" w14:textId="0E615E6F" w:rsidR="00796E9C" w:rsidRPr="0074029F" w:rsidRDefault="00EC7C02" w:rsidP="00EC7C02">
      <w:pPr>
        <w:pStyle w:val="NormalWeb"/>
        <w:spacing w:line="276" w:lineRule="auto"/>
        <w:ind w:left="709" w:hanging="709"/>
        <w:rPr>
          <w:sz w:val="20"/>
          <w:szCs w:val="20"/>
          <w:lang w:val="en-US"/>
        </w:rPr>
      </w:pPr>
      <w:r w:rsidRPr="0074029F">
        <w:rPr>
          <w:sz w:val="20"/>
          <w:szCs w:val="20"/>
          <w:lang w:val="en-US"/>
        </w:rPr>
        <w:t>Abrahamson N</w:t>
      </w:r>
      <w:r w:rsidR="00ED1936" w:rsidRPr="0074029F">
        <w:rPr>
          <w:sz w:val="20"/>
          <w:szCs w:val="20"/>
          <w:lang w:val="en-US"/>
        </w:rPr>
        <w:t>.</w:t>
      </w:r>
      <w:r w:rsidRPr="0074029F">
        <w:rPr>
          <w:sz w:val="20"/>
          <w:szCs w:val="20"/>
          <w:lang w:val="en-US"/>
        </w:rPr>
        <w:t xml:space="preserve">, Silva WJ, </w:t>
      </w:r>
      <w:proofErr w:type="spellStart"/>
      <w:r w:rsidRPr="0074029F">
        <w:rPr>
          <w:sz w:val="20"/>
          <w:szCs w:val="20"/>
          <w:lang w:val="en-US"/>
        </w:rPr>
        <w:t>Kamai</w:t>
      </w:r>
      <w:proofErr w:type="spellEnd"/>
      <w:r w:rsidRPr="0074029F">
        <w:rPr>
          <w:sz w:val="20"/>
          <w:szCs w:val="20"/>
          <w:lang w:val="en-US"/>
        </w:rPr>
        <w:t xml:space="preserve"> R (2014) </w:t>
      </w:r>
      <w:r w:rsidRPr="0074029F">
        <w:rPr>
          <w:i/>
          <w:iCs/>
          <w:sz w:val="20"/>
          <w:szCs w:val="20"/>
          <w:lang w:val="en-US"/>
        </w:rPr>
        <w:t>Summary of the ASK14 ground motion relation for active</w:t>
      </w:r>
      <w:r w:rsidR="00E22FD6" w:rsidRPr="0074029F">
        <w:rPr>
          <w:i/>
          <w:iCs/>
          <w:sz w:val="20"/>
          <w:szCs w:val="20"/>
          <w:lang w:val="en-US"/>
        </w:rPr>
        <w:t xml:space="preserve"> </w:t>
      </w:r>
      <w:r w:rsidRPr="0074029F">
        <w:rPr>
          <w:i/>
          <w:iCs/>
          <w:sz w:val="20"/>
          <w:szCs w:val="20"/>
          <w:lang w:val="en-US"/>
        </w:rPr>
        <w:t xml:space="preserve">crustal </w:t>
      </w:r>
      <w:r w:rsidR="00E17158" w:rsidRPr="0074029F">
        <w:rPr>
          <w:i/>
          <w:iCs/>
          <w:sz w:val="20"/>
          <w:szCs w:val="20"/>
          <w:lang w:val="en-US"/>
        </w:rPr>
        <w:tab/>
      </w:r>
      <w:r w:rsidRPr="0074029F">
        <w:rPr>
          <w:i/>
          <w:iCs/>
          <w:sz w:val="20"/>
          <w:szCs w:val="20"/>
          <w:lang w:val="en-US"/>
        </w:rPr>
        <w:t>regions</w:t>
      </w:r>
      <w:r w:rsidRPr="0074029F">
        <w:rPr>
          <w:sz w:val="20"/>
          <w:szCs w:val="20"/>
          <w:lang w:val="en-US"/>
        </w:rPr>
        <w:t>, Earthquake Spectra 30(3):1025–1055</w:t>
      </w:r>
      <w:r w:rsidR="00E22FD6" w:rsidRPr="0074029F">
        <w:rPr>
          <w:sz w:val="20"/>
          <w:szCs w:val="20"/>
          <w:lang w:val="en-US"/>
        </w:rPr>
        <w:t>.</w:t>
      </w:r>
    </w:p>
    <w:p w14:paraId="210ADEBC" w14:textId="15DFB202" w:rsidR="00796E9C" w:rsidRPr="0074029F" w:rsidRDefault="00796E9C" w:rsidP="00E22FD6">
      <w:pPr>
        <w:pStyle w:val="NormalWeb"/>
        <w:spacing w:line="276" w:lineRule="auto"/>
        <w:ind w:left="709" w:hanging="709"/>
        <w:rPr>
          <w:sz w:val="20"/>
          <w:szCs w:val="20"/>
          <w:lang w:val="en-US"/>
        </w:rPr>
      </w:pPr>
      <w:proofErr w:type="spellStart"/>
      <w:r w:rsidRPr="0074029F">
        <w:rPr>
          <w:sz w:val="20"/>
          <w:szCs w:val="20"/>
          <w:lang w:val="en-US"/>
        </w:rPr>
        <w:t>Akkar</w:t>
      </w:r>
      <w:proofErr w:type="spellEnd"/>
      <w:r w:rsidRPr="0074029F">
        <w:rPr>
          <w:sz w:val="20"/>
          <w:szCs w:val="20"/>
          <w:lang w:val="en-US"/>
        </w:rPr>
        <w:t xml:space="preserve"> S, </w:t>
      </w:r>
      <w:proofErr w:type="spellStart"/>
      <w:r w:rsidRPr="0074029F">
        <w:rPr>
          <w:sz w:val="20"/>
          <w:szCs w:val="20"/>
          <w:lang w:val="en-US"/>
        </w:rPr>
        <w:t>Ca</w:t>
      </w:r>
      <w:r w:rsidR="00C77297" w:rsidRPr="0074029F">
        <w:rPr>
          <w:sz w:val="20"/>
          <w:szCs w:val="20"/>
          <w:lang w:val="en-US"/>
        </w:rPr>
        <w:t>g</w:t>
      </w:r>
      <w:r w:rsidRPr="0074029F">
        <w:rPr>
          <w:sz w:val="20"/>
          <w:szCs w:val="20"/>
          <w:lang w:val="en-US"/>
        </w:rPr>
        <w:t>nan</w:t>
      </w:r>
      <w:proofErr w:type="spellEnd"/>
      <w:r w:rsidRPr="0074029F">
        <w:rPr>
          <w:sz w:val="20"/>
          <w:szCs w:val="20"/>
          <w:lang w:val="en-US"/>
        </w:rPr>
        <w:t xml:space="preserve"> Z., (2010) A Local Ground-Motion Predictive Model for Turkey, and Its Comparison with Other Regional and Global Ground-Motion Models, </w:t>
      </w:r>
      <w:r w:rsidR="006E786D" w:rsidRPr="0074029F">
        <w:rPr>
          <w:sz w:val="20"/>
          <w:szCs w:val="20"/>
          <w:lang w:val="en-US"/>
        </w:rPr>
        <w:t>Bulletin of the Seismological Society of America, Vol. 100, No. 6, pp. 2978–2995</w:t>
      </w:r>
    </w:p>
    <w:p w14:paraId="7A4E9492" w14:textId="48708697" w:rsidR="00EC7C02" w:rsidRPr="0074029F" w:rsidRDefault="00EC7C02" w:rsidP="00E22FD6">
      <w:pPr>
        <w:pStyle w:val="NormalWeb"/>
        <w:spacing w:line="276" w:lineRule="auto"/>
        <w:ind w:left="709" w:hanging="709"/>
        <w:rPr>
          <w:sz w:val="20"/>
          <w:szCs w:val="20"/>
          <w:lang w:val="en-US"/>
        </w:rPr>
      </w:pPr>
      <w:r w:rsidRPr="0074029F">
        <w:rPr>
          <w:sz w:val="20"/>
          <w:szCs w:val="20"/>
          <w:lang w:val="en-US"/>
        </w:rPr>
        <w:t>Crouse, C. B. (1991). Ground-motion attenuation equation for earthquake on Cascadia subduction-zone</w:t>
      </w:r>
      <w:r w:rsidR="00ED1936" w:rsidRPr="0074029F">
        <w:rPr>
          <w:sz w:val="20"/>
          <w:szCs w:val="20"/>
          <w:lang w:val="en-US"/>
        </w:rPr>
        <w:t xml:space="preserve"> </w:t>
      </w:r>
      <w:r w:rsidR="00E17158" w:rsidRPr="0074029F">
        <w:rPr>
          <w:sz w:val="20"/>
          <w:szCs w:val="20"/>
          <w:lang w:val="en-US"/>
        </w:rPr>
        <w:tab/>
      </w:r>
      <w:r w:rsidR="00ED1936" w:rsidRPr="0074029F">
        <w:rPr>
          <w:sz w:val="20"/>
          <w:szCs w:val="20"/>
          <w:lang w:val="en-US"/>
        </w:rPr>
        <w:t xml:space="preserve">earthquake, </w:t>
      </w:r>
      <w:proofErr w:type="spellStart"/>
      <w:r w:rsidR="00ED1936" w:rsidRPr="0074029F">
        <w:rPr>
          <w:sz w:val="20"/>
          <w:szCs w:val="20"/>
          <w:lang w:val="en-US"/>
        </w:rPr>
        <w:t>Earthq</w:t>
      </w:r>
      <w:proofErr w:type="spellEnd"/>
      <w:r w:rsidR="00ED1936" w:rsidRPr="0074029F">
        <w:rPr>
          <w:sz w:val="20"/>
          <w:szCs w:val="20"/>
          <w:lang w:val="en-US"/>
        </w:rPr>
        <w:t xml:space="preserve">. Spectra 7, 210–236. </w:t>
      </w:r>
      <w:r w:rsidRPr="0074029F">
        <w:rPr>
          <w:sz w:val="20"/>
          <w:szCs w:val="20"/>
          <w:lang w:val="en-US"/>
        </w:rPr>
        <w:t xml:space="preserve"> </w:t>
      </w:r>
      <w:r w:rsidR="00ED1936" w:rsidRPr="0074029F">
        <w:rPr>
          <w:sz w:val="20"/>
          <w:szCs w:val="20"/>
          <w:lang w:val="en-US"/>
        </w:rPr>
        <w:t xml:space="preserve">           </w:t>
      </w:r>
    </w:p>
    <w:p w14:paraId="297D92B0" w14:textId="7E6CF7F7" w:rsidR="00B643B6" w:rsidRPr="0074029F" w:rsidRDefault="00B643B6" w:rsidP="00E22FD6">
      <w:pPr>
        <w:pStyle w:val="NormalWeb"/>
        <w:spacing w:line="276" w:lineRule="auto"/>
        <w:ind w:left="709" w:hanging="709"/>
        <w:rPr>
          <w:sz w:val="20"/>
          <w:szCs w:val="20"/>
          <w:lang w:val="en-US"/>
        </w:rPr>
      </w:pPr>
      <w:r w:rsidRPr="0074029F">
        <w:rPr>
          <w:sz w:val="20"/>
          <w:szCs w:val="20"/>
          <w:lang w:val="en-US"/>
        </w:rPr>
        <w:t xml:space="preserve">Dumont J.F et al., (1979) </w:t>
      </w:r>
      <w:proofErr w:type="spellStart"/>
      <w:r w:rsidRPr="0074029F">
        <w:rPr>
          <w:sz w:val="20"/>
          <w:szCs w:val="20"/>
          <w:lang w:val="en-US"/>
        </w:rPr>
        <w:t>Güneybatı</w:t>
      </w:r>
      <w:proofErr w:type="spellEnd"/>
      <w:r w:rsidRPr="0074029F">
        <w:rPr>
          <w:sz w:val="20"/>
          <w:szCs w:val="20"/>
          <w:lang w:val="en-US"/>
        </w:rPr>
        <w:t xml:space="preserve"> </w:t>
      </w:r>
      <w:proofErr w:type="spellStart"/>
      <w:r w:rsidRPr="0074029F">
        <w:rPr>
          <w:sz w:val="20"/>
          <w:szCs w:val="20"/>
          <w:lang w:val="en-US"/>
        </w:rPr>
        <w:t>Anadolu’daki</w:t>
      </w:r>
      <w:proofErr w:type="spellEnd"/>
      <w:r w:rsidRPr="0074029F">
        <w:rPr>
          <w:sz w:val="20"/>
          <w:szCs w:val="20"/>
          <w:lang w:val="en-US"/>
        </w:rPr>
        <w:t xml:space="preserve"> </w:t>
      </w:r>
      <w:proofErr w:type="spellStart"/>
      <w:r w:rsidRPr="0074029F">
        <w:rPr>
          <w:sz w:val="20"/>
          <w:szCs w:val="20"/>
          <w:lang w:val="en-US"/>
        </w:rPr>
        <w:t>grabenlerin</w:t>
      </w:r>
      <w:proofErr w:type="spellEnd"/>
      <w:r w:rsidRPr="0074029F">
        <w:rPr>
          <w:sz w:val="20"/>
          <w:szCs w:val="20"/>
          <w:lang w:val="en-US"/>
        </w:rPr>
        <w:t xml:space="preserve"> </w:t>
      </w:r>
      <w:proofErr w:type="spellStart"/>
      <w:r w:rsidRPr="0074029F">
        <w:rPr>
          <w:sz w:val="20"/>
          <w:szCs w:val="20"/>
          <w:lang w:val="en-US"/>
        </w:rPr>
        <w:t>oluflumu</w:t>
      </w:r>
      <w:proofErr w:type="spellEnd"/>
      <w:r w:rsidRPr="0074029F">
        <w:rPr>
          <w:sz w:val="20"/>
          <w:szCs w:val="20"/>
          <w:lang w:val="en-US"/>
        </w:rPr>
        <w:t xml:space="preserve"> [Formation of West Anatolian grabens]. Mineral Research and Exploration Institute (MTA) of Turkey Bulletin 92, 7–7</w:t>
      </w:r>
      <w:r w:rsidR="00E22FD6" w:rsidRPr="0074029F">
        <w:rPr>
          <w:sz w:val="20"/>
          <w:szCs w:val="20"/>
          <w:lang w:val="en-US"/>
        </w:rPr>
        <w:t>.</w:t>
      </w:r>
      <w:r w:rsidRPr="0074029F">
        <w:rPr>
          <w:sz w:val="20"/>
          <w:szCs w:val="20"/>
          <w:lang w:val="en-US"/>
        </w:rPr>
        <w:t xml:space="preserve"> </w:t>
      </w:r>
    </w:p>
    <w:p w14:paraId="32532D2F" w14:textId="1FE82686" w:rsidR="00796E9C" w:rsidRPr="0074029F" w:rsidRDefault="00796E9C" w:rsidP="00134284">
      <w:pPr>
        <w:pStyle w:val="NormalWeb"/>
        <w:spacing w:line="276" w:lineRule="auto"/>
        <w:ind w:left="709" w:hanging="709"/>
        <w:rPr>
          <w:rFonts w:eastAsia="Times New Roman"/>
          <w:sz w:val="20"/>
          <w:szCs w:val="20"/>
          <w:lang w:val="en-US" w:eastAsia="tr-TR"/>
        </w:rPr>
      </w:pPr>
      <w:r w:rsidRPr="0074029F">
        <w:rPr>
          <w:rFonts w:eastAsia="Times New Roman"/>
          <w:sz w:val="20"/>
          <w:szCs w:val="20"/>
          <w:lang w:val="en-US" w:eastAsia="tr-TR"/>
        </w:rPr>
        <w:t xml:space="preserve">Faulds J., (2010) </w:t>
      </w:r>
      <w:r w:rsidRPr="0074029F">
        <w:rPr>
          <w:rFonts w:eastAsia="Times New Roman"/>
          <w:i/>
          <w:iCs/>
          <w:sz w:val="20"/>
          <w:szCs w:val="20"/>
          <w:lang w:val="en-US" w:eastAsia="tr-TR"/>
        </w:rPr>
        <w:t xml:space="preserve">Characterizing Structural Controls of Geothermal Reservoirs in the Great Basin, USA, and </w:t>
      </w:r>
      <w:r w:rsidR="00E17158" w:rsidRPr="0074029F">
        <w:rPr>
          <w:rFonts w:eastAsia="Times New Roman"/>
          <w:i/>
          <w:iCs/>
          <w:sz w:val="20"/>
          <w:szCs w:val="20"/>
          <w:lang w:val="en-US" w:eastAsia="tr-TR"/>
        </w:rPr>
        <w:tab/>
      </w:r>
      <w:r w:rsidRPr="0074029F">
        <w:rPr>
          <w:rFonts w:eastAsia="Times New Roman"/>
          <w:i/>
          <w:iCs/>
          <w:sz w:val="20"/>
          <w:szCs w:val="20"/>
          <w:lang w:val="en-US" w:eastAsia="tr-TR"/>
        </w:rPr>
        <w:t>Western Turkey: Developing Successful Exploration Strategies in Extended Terranes</w:t>
      </w:r>
      <w:r w:rsidRPr="0074029F">
        <w:rPr>
          <w:rFonts w:eastAsia="Times New Roman"/>
          <w:sz w:val="20"/>
          <w:szCs w:val="20"/>
          <w:lang w:val="en-US" w:eastAsia="tr-TR"/>
        </w:rPr>
        <w:t>.</w:t>
      </w:r>
    </w:p>
    <w:p w14:paraId="47B4C2AE" w14:textId="281AAA17" w:rsidR="00E07B73" w:rsidRPr="0074029F" w:rsidRDefault="00E07B73" w:rsidP="00E22FD6">
      <w:pPr>
        <w:pStyle w:val="NormalWeb"/>
        <w:spacing w:line="276" w:lineRule="auto"/>
        <w:ind w:left="709" w:hanging="709"/>
        <w:rPr>
          <w:sz w:val="20"/>
          <w:szCs w:val="20"/>
          <w:lang w:val="en-US"/>
        </w:rPr>
      </w:pPr>
      <w:r w:rsidRPr="0074029F">
        <w:rPr>
          <w:sz w:val="20"/>
          <w:szCs w:val="20"/>
          <w:lang w:val="en-US"/>
        </w:rPr>
        <w:t xml:space="preserve">Garcia et al., (2005) </w:t>
      </w:r>
      <w:proofErr w:type="spellStart"/>
      <w:r w:rsidRPr="0074029F">
        <w:rPr>
          <w:sz w:val="20"/>
          <w:szCs w:val="20"/>
          <w:lang w:val="en-US"/>
        </w:rPr>
        <w:t>Inslab</w:t>
      </w:r>
      <w:proofErr w:type="spellEnd"/>
      <w:r w:rsidRPr="0074029F">
        <w:rPr>
          <w:sz w:val="20"/>
          <w:szCs w:val="20"/>
          <w:lang w:val="en-US"/>
        </w:rPr>
        <w:t xml:space="preserve"> Earthquakes of Central Mexico: Peak Ground-Mo</w:t>
      </w:r>
      <w:r w:rsidR="00E22FD6" w:rsidRPr="0074029F">
        <w:rPr>
          <w:sz w:val="20"/>
          <w:szCs w:val="20"/>
          <w:lang w:val="en-US"/>
        </w:rPr>
        <w:t xml:space="preserve">tion Parameters and Response </w:t>
      </w:r>
      <w:r w:rsidR="00E17158" w:rsidRPr="0074029F">
        <w:rPr>
          <w:sz w:val="20"/>
          <w:szCs w:val="20"/>
          <w:lang w:val="en-US"/>
        </w:rPr>
        <w:tab/>
      </w:r>
      <w:r w:rsidRPr="0074029F">
        <w:rPr>
          <w:sz w:val="20"/>
          <w:szCs w:val="20"/>
          <w:lang w:val="en-US"/>
        </w:rPr>
        <w:t>Spectra, Bulletin of the Seismological Society of America, Vol. 95, No. 6, pp. 2272–2282</w:t>
      </w:r>
      <w:r w:rsidR="00E22FD6" w:rsidRPr="0074029F">
        <w:rPr>
          <w:sz w:val="20"/>
          <w:szCs w:val="20"/>
          <w:lang w:val="en-US"/>
        </w:rPr>
        <w:t>.</w:t>
      </w:r>
    </w:p>
    <w:p w14:paraId="2E3CB625" w14:textId="2248604B" w:rsidR="006A4165" w:rsidRDefault="006A4165" w:rsidP="00E22FD6">
      <w:pPr>
        <w:pStyle w:val="NormalWeb"/>
        <w:spacing w:line="276" w:lineRule="auto"/>
        <w:ind w:left="709" w:hanging="709"/>
        <w:rPr>
          <w:sz w:val="20"/>
          <w:szCs w:val="20"/>
          <w:lang w:val="en-US"/>
        </w:rPr>
      </w:pPr>
      <w:proofErr w:type="spellStart"/>
      <w:r w:rsidRPr="006A4165">
        <w:rPr>
          <w:sz w:val="20"/>
          <w:szCs w:val="20"/>
          <w:lang w:val="en-US"/>
        </w:rPr>
        <w:t>Kartal</w:t>
      </w:r>
      <w:proofErr w:type="spellEnd"/>
      <w:r w:rsidRPr="006A4165">
        <w:rPr>
          <w:sz w:val="20"/>
          <w:szCs w:val="20"/>
          <w:lang w:val="en-US"/>
        </w:rPr>
        <w:t xml:space="preserve">, R.F., </w:t>
      </w:r>
      <w:proofErr w:type="spellStart"/>
      <w:r w:rsidRPr="006A4165">
        <w:rPr>
          <w:sz w:val="20"/>
          <w:szCs w:val="20"/>
          <w:lang w:val="en-US"/>
        </w:rPr>
        <w:t>Beyhan</w:t>
      </w:r>
      <w:proofErr w:type="spellEnd"/>
      <w:r w:rsidRPr="006A4165">
        <w:rPr>
          <w:sz w:val="20"/>
          <w:szCs w:val="20"/>
          <w:lang w:val="en-US"/>
        </w:rPr>
        <w:t xml:space="preserve">, G., </w:t>
      </w:r>
      <w:proofErr w:type="spellStart"/>
      <w:r w:rsidRPr="006A4165">
        <w:rPr>
          <w:sz w:val="20"/>
          <w:szCs w:val="20"/>
          <w:lang w:val="en-US"/>
        </w:rPr>
        <w:t>Keskinsezer</w:t>
      </w:r>
      <w:proofErr w:type="spellEnd"/>
      <w:r w:rsidRPr="006A4165">
        <w:rPr>
          <w:sz w:val="20"/>
          <w:szCs w:val="20"/>
          <w:lang w:val="en-US"/>
        </w:rPr>
        <w:t xml:space="preserve">, A. et al. </w:t>
      </w:r>
      <w:r>
        <w:rPr>
          <w:sz w:val="20"/>
          <w:szCs w:val="20"/>
          <w:lang w:val="en-US"/>
        </w:rPr>
        <w:t xml:space="preserve">(2014) </w:t>
      </w:r>
      <w:r w:rsidRPr="006A4165">
        <w:rPr>
          <w:sz w:val="20"/>
          <w:szCs w:val="20"/>
          <w:lang w:val="en-US"/>
        </w:rPr>
        <w:t>Seismic hazard analysis of Mersin Province, Turkey using probabilistic and statistical methods. Arab J</w:t>
      </w:r>
      <w:r>
        <w:rPr>
          <w:sz w:val="20"/>
          <w:szCs w:val="20"/>
          <w:lang w:val="en-US"/>
        </w:rPr>
        <w:t>.</w:t>
      </w:r>
      <w:r w:rsidRPr="006A4165">
        <w:rPr>
          <w:sz w:val="20"/>
          <w:szCs w:val="20"/>
          <w:lang w:val="en-US"/>
        </w:rPr>
        <w:t xml:space="preserve"> </w:t>
      </w:r>
      <w:proofErr w:type="spellStart"/>
      <w:r w:rsidRPr="006A4165">
        <w:rPr>
          <w:sz w:val="20"/>
          <w:szCs w:val="20"/>
          <w:lang w:val="en-US"/>
        </w:rPr>
        <w:t>Geosci</w:t>
      </w:r>
      <w:proofErr w:type="spellEnd"/>
      <w:r>
        <w:rPr>
          <w:sz w:val="20"/>
          <w:szCs w:val="20"/>
          <w:lang w:val="en-US"/>
        </w:rPr>
        <w:t>.</w:t>
      </w:r>
      <w:r w:rsidRPr="006A4165">
        <w:rPr>
          <w:sz w:val="20"/>
          <w:szCs w:val="20"/>
          <w:lang w:val="en-US"/>
        </w:rPr>
        <w:t xml:space="preserve"> 7, 4443–4459.</w:t>
      </w:r>
    </w:p>
    <w:p w14:paraId="1CD5AFDA" w14:textId="757896C3" w:rsidR="00E07B73" w:rsidRPr="0074029F" w:rsidRDefault="00E07B73" w:rsidP="00E22FD6">
      <w:pPr>
        <w:pStyle w:val="NormalWeb"/>
        <w:spacing w:line="276" w:lineRule="auto"/>
        <w:ind w:left="709" w:hanging="709"/>
        <w:rPr>
          <w:sz w:val="20"/>
          <w:szCs w:val="20"/>
          <w:lang w:val="en-US"/>
        </w:rPr>
      </w:pPr>
      <w:r w:rsidRPr="0074029F">
        <w:rPr>
          <w:sz w:val="20"/>
          <w:szCs w:val="20"/>
          <w:lang w:val="en-US"/>
        </w:rPr>
        <w:t>Lee et al., (2008) Ground-Motion Attenuation Relationships for Subduction-Zone E</w:t>
      </w:r>
      <w:r w:rsidR="00E22FD6" w:rsidRPr="0074029F">
        <w:rPr>
          <w:sz w:val="20"/>
          <w:szCs w:val="20"/>
          <w:lang w:val="en-US"/>
        </w:rPr>
        <w:t xml:space="preserve">arthquakes in Northeastern </w:t>
      </w:r>
      <w:r w:rsidR="00E17158" w:rsidRPr="0074029F">
        <w:rPr>
          <w:sz w:val="20"/>
          <w:szCs w:val="20"/>
          <w:lang w:val="en-US"/>
        </w:rPr>
        <w:tab/>
      </w:r>
      <w:r w:rsidRPr="0074029F">
        <w:rPr>
          <w:sz w:val="20"/>
          <w:szCs w:val="20"/>
          <w:lang w:val="en-US"/>
        </w:rPr>
        <w:t>Taiwan, Bulletin of the Seismological Society of America, Vol. 98, No. 1, pp. 220–240</w:t>
      </w:r>
      <w:r w:rsidR="00E22FD6" w:rsidRPr="0074029F">
        <w:rPr>
          <w:sz w:val="20"/>
          <w:szCs w:val="20"/>
          <w:lang w:val="en-US"/>
        </w:rPr>
        <w:t>.</w:t>
      </w:r>
    </w:p>
    <w:p w14:paraId="34B94939" w14:textId="31907C50" w:rsidR="003932DC" w:rsidRDefault="003932DC" w:rsidP="003932DC">
      <w:pPr>
        <w:pStyle w:val="NormalWeb"/>
        <w:spacing w:line="276" w:lineRule="auto"/>
        <w:ind w:left="709" w:hanging="709"/>
        <w:rPr>
          <w:sz w:val="20"/>
          <w:szCs w:val="20"/>
          <w:lang w:val="en-US"/>
        </w:rPr>
      </w:pPr>
      <w:r w:rsidRPr="003932DC">
        <w:rPr>
          <w:sz w:val="20"/>
          <w:szCs w:val="20"/>
          <w:lang w:val="en-US"/>
        </w:rPr>
        <w:t xml:space="preserve">Md. </w:t>
      </w:r>
      <w:proofErr w:type="spellStart"/>
      <w:r w:rsidRPr="003932DC">
        <w:rPr>
          <w:sz w:val="20"/>
          <w:szCs w:val="20"/>
          <w:lang w:val="en-US"/>
        </w:rPr>
        <w:t>Zillur</w:t>
      </w:r>
      <w:proofErr w:type="spellEnd"/>
      <w:r w:rsidRPr="003932DC">
        <w:rPr>
          <w:sz w:val="20"/>
          <w:szCs w:val="20"/>
          <w:lang w:val="en-US"/>
        </w:rPr>
        <w:t xml:space="preserve"> Rahman</w:t>
      </w:r>
      <w:r>
        <w:rPr>
          <w:sz w:val="20"/>
          <w:szCs w:val="20"/>
          <w:lang w:val="en-US"/>
        </w:rPr>
        <w:t xml:space="preserve">, (2019) </w:t>
      </w:r>
      <w:r w:rsidRPr="003932DC">
        <w:rPr>
          <w:sz w:val="20"/>
          <w:szCs w:val="20"/>
          <w:lang w:val="en-US"/>
        </w:rPr>
        <w:t xml:space="preserve">Probabilistic Seismic Hazard Analysis </w:t>
      </w:r>
      <w:proofErr w:type="gramStart"/>
      <w:r w:rsidRPr="003932DC">
        <w:rPr>
          <w:sz w:val="20"/>
          <w:szCs w:val="20"/>
          <w:lang w:val="en-US"/>
        </w:rPr>
        <w:t>With</w:t>
      </w:r>
      <w:proofErr w:type="gramEnd"/>
      <w:r w:rsidRPr="003932DC">
        <w:rPr>
          <w:sz w:val="20"/>
          <w:szCs w:val="20"/>
          <w:lang w:val="en-US"/>
        </w:rPr>
        <w:t xml:space="preserve"> Nonlinear Site Response And Liquefaction Potential Evaluation</w:t>
      </w:r>
      <w:r>
        <w:rPr>
          <w:sz w:val="20"/>
          <w:szCs w:val="20"/>
          <w:lang w:val="en-US"/>
        </w:rPr>
        <w:t xml:space="preserve"> </w:t>
      </w:r>
      <w:r w:rsidRPr="003932DC">
        <w:rPr>
          <w:sz w:val="20"/>
          <w:szCs w:val="20"/>
          <w:lang w:val="en-US"/>
        </w:rPr>
        <w:t>For Deep Sedimentary Deposits</w:t>
      </w:r>
      <w:r>
        <w:rPr>
          <w:sz w:val="20"/>
          <w:szCs w:val="20"/>
          <w:lang w:val="en-US"/>
        </w:rPr>
        <w:t>.</w:t>
      </w:r>
    </w:p>
    <w:p w14:paraId="5825FC9E" w14:textId="23C0C103" w:rsidR="00EC7C02" w:rsidRPr="0074029F" w:rsidRDefault="00EC7C02" w:rsidP="00E22FD6">
      <w:pPr>
        <w:pStyle w:val="NormalWeb"/>
        <w:spacing w:line="276" w:lineRule="auto"/>
        <w:ind w:left="709" w:hanging="709"/>
        <w:rPr>
          <w:sz w:val="20"/>
          <w:szCs w:val="20"/>
          <w:lang w:val="en-US"/>
        </w:rPr>
      </w:pPr>
      <w:r w:rsidRPr="0074029F">
        <w:rPr>
          <w:sz w:val="20"/>
          <w:szCs w:val="20"/>
          <w:lang w:val="en-US"/>
        </w:rPr>
        <w:t xml:space="preserve">Megawati K. and Pan C., (2009) Ground-motion attenuation relationship for the Sumatran megathrust </w:t>
      </w:r>
      <w:proofErr w:type="gramStart"/>
      <w:r w:rsidRPr="0074029F">
        <w:rPr>
          <w:sz w:val="20"/>
          <w:szCs w:val="20"/>
          <w:lang w:val="en-US"/>
        </w:rPr>
        <w:t xml:space="preserve">earthquakes,  </w:t>
      </w:r>
      <w:r w:rsidR="00E17158" w:rsidRPr="0074029F">
        <w:rPr>
          <w:sz w:val="20"/>
          <w:szCs w:val="20"/>
          <w:lang w:val="en-US"/>
        </w:rPr>
        <w:tab/>
      </w:r>
      <w:proofErr w:type="gramEnd"/>
      <w:r w:rsidRPr="0074029F">
        <w:rPr>
          <w:sz w:val="20"/>
          <w:szCs w:val="20"/>
          <w:lang w:val="en-US"/>
        </w:rPr>
        <w:t xml:space="preserve">Earthquake </w:t>
      </w:r>
      <w:proofErr w:type="spellStart"/>
      <w:r w:rsidRPr="0074029F">
        <w:rPr>
          <w:sz w:val="20"/>
          <w:szCs w:val="20"/>
          <w:lang w:val="en-US"/>
        </w:rPr>
        <w:t>Engng</w:t>
      </w:r>
      <w:proofErr w:type="spellEnd"/>
      <w:r w:rsidRPr="0074029F">
        <w:rPr>
          <w:sz w:val="20"/>
          <w:szCs w:val="20"/>
          <w:lang w:val="en-US"/>
        </w:rPr>
        <w:t xml:space="preserve"> Struct. </w:t>
      </w:r>
      <w:proofErr w:type="spellStart"/>
      <w:r w:rsidRPr="0074029F">
        <w:rPr>
          <w:sz w:val="20"/>
          <w:szCs w:val="20"/>
          <w:lang w:val="en-US"/>
        </w:rPr>
        <w:t>Dyn</w:t>
      </w:r>
      <w:proofErr w:type="spellEnd"/>
      <w:r w:rsidRPr="0074029F">
        <w:rPr>
          <w:sz w:val="20"/>
          <w:szCs w:val="20"/>
          <w:lang w:val="en-US"/>
        </w:rPr>
        <w:t>. 2010; 39:827–845</w:t>
      </w:r>
      <w:r w:rsidR="00E22FD6" w:rsidRPr="0074029F">
        <w:rPr>
          <w:sz w:val="20"/>
          <w:szCs w:val="20"/>
          <w:lang w:val="en-US"/>
        </w:rPr>
        <w:t>.</w:t>
      </w:r>
    </w:p>
    <w:p w14:paraId="344ED2C1" w14:textId="07DD180D" w:rsidR="003932DC" w:rsidRDefault="003431E4" w:rsidP="00E22FD6">
      <w:pPr>
        <w:pStyle w:val="NormalWeb"/>
        <w:spacing w:line="276" w:lineRule="auto"/>
        <w:ind w:left="709" w:hanging="709"/>
        <w:rPr>
          <w:sz w:val="20"/>
          <w:szCs w:val="20"/>
          <w:lang w:val="en-US"/>
        </w:rPr>
      </w:pPr>
      <w:proofErr w:type="spellStart"/>
      <w:r w:rsidRPr="003431E4">
        <w:rPr>
          <w:sz w:val="20"/>
          <w:szCs w:val="20"/>
          <w:lang w:val="en-US"/>
        </w:rPr>
        <w:t>Mercuri</w:t>
      </w:r>
      <w:proofErr w:type="spellEnd"/>
      <w:r>
        <w:rPr>
          <w:sz w:val="20"/>
          <w:szCs w:val="20"/>
          <w:lang w:val="en-US"/>
        </w:rPr>
        <w:t xml:space="preserve"> et al. (2013)</w:t>
      </w:r>
      <w:r w:rsidR="003932DC">
        <w:rPr>
          <w:sz w:val="20"/>
          <w:szCs w:val="20"/>
          <w:lang w:val="en-US"/>
        </w:rPr>
        <w:t xml:space="preserve"> </w:t>
      </w:r>
      <w:r w:rsidRPr="003431E4">
        <w:rPr>
          <w:sz w:val="20"/>
          <w:szCs w:val="20"/>
          <w:lang w:val="en-US"/>
        </w:rPr>
        <w:t>Scaling earthquake ground motions in western Anatolia, Turkey. J. Phys. Chem. Earth</w:t>
      </w:r>
      <w:r w:rsidR="003932DC">
        <w:rPr>
          <w:sz w:val="20"/>
          <w:szCs w:val="20"/>
          <w:lang w:val="en-US"/>
        </w:rPr>
        <w:t>.</w:t>
      </w:r>
    </w:p>
    <w:p w14:paraId="58AC5020" w14:textId="7D5B5813" w:rsidR="00E07B73" w:rsidRPr="0074029F" w:rsidRDefault="00E07B73" w:rsidP="00E22FD6">
      <w:pPr>
        <w:pStyle w:val="NormalWeb"/>
        <w:spacing w:line="276" w:lineRule="auto"/>
        <w:ind w:left="709" w:hanging="709"/>
        <w:rPr>
          <w:sz w:val="20"/>
          <w:szCs w:val="20"/>
          <w:lang w:val="en-US"/>
        </w:rPr>
      </w:pPr>
      <w:proofErr w:type="spellStart"/>
      <w:r w:rsidRPr="0074029F">
        <w:rPr>
          <w:sz w:val="20"/>
          <w:szCs w:val="20"/>
          <w:lang w:val="en-US"/>
        </w:rPr>
        <w:t>Saroglu</w:t>
      </w:r>
      <w:proofErr w:type="spellEnd"/>
      <w:r w:rsidRPr="0074029F">
        <w:rPr>
          <w:sz w:val="20"/>
          <w:szCs w:val="20"/>
          <w:lang w:val="en-US"/>
        </w:rPr>
        <w:t xml:space="preserve"> F., Emre Ö, </w:t>
      </w:r>
      <w:proofErr w:type="spellStart"/>
      <w:r w:rsidRPr="0074029F">
        <w:rPr>
          <w:sz w:val="20"/>
          <w:szCs w:val="20"/>
          <w:lang w:val="en-US"/>
        </w:rPr>
        <w:t>Boray</w:t>
      </w:r>
      <w:proofErr w:type="spellEnd"/>
      <w:r w:rsidRPr="0074029F">
        <w:rPr>
          <w:sz w:val="20"/>
          <w:szCs w:val="20"/>
          <w:lang w:val="en-US"/>
        </w:rPr>
        <w:t xml:space="preserve"> A., (1987) </w:t>
      </w:r>
      <w:proofErr w:type="spellStart"/>
      <w:r w:rsidRPr="0074029F">
        <w:rPr>
          <w:sz w:val="20"/>
          <w:szCs w:val="20"/>
          <w:lang w:val="en-US"/>
        </w:rPr>
        <w:t>Türkiye’nin</w:t>
      </w:r>
      <w:proofErr w:type="spellEnd"/>
      <w:r w:rsidRPr="0074029F">
        <w:rPr>
          <w:sz w:val="20"/>
          <w:szCs w:val="20"/>
          <w:lang w:val="en-US"/>
        </w:rPr>
        <w:t xml:space="preserve"> </w:t>
      </w:r>
      <w:proofErr w:type="spellStart"/>
      <w:r w:rsidRPr="0074029F">
        <w:rPr>
          <w:sz w:val="20"/>
          <w:szCs w:val="20"/>
          <w:lang w:val="en-US"/>
        </w:rPr>
        <w:t>diri</w:t>
      </w:r>
      <w:proofErr w:type="spellEnd"/>
      <w:r w:rsidRPr="0074029F">
        <w:rPr>
          <w:sz w:val="20"/>
          <w:szCs w:val="20"/>
          <w:lang w:val="en-US"/>
        </w:rPr>
        <w:t xml:space="preserve"> </w:t>
      </w:r>
      <w:proofErr w:type="spellStart"/>
      <w:r w:rsidRPr="0074029F">
        <w:rPr>
          <w:sz w:val="20"/>
          <w:szCs w:val="20"/>
          <w:lang w:val="en-US"/>
        </w:rPr>
        <w:t>fayları</w:t>
      </w:r>
      <w:proofErr w:type="spellEnd"/>
      <w:r w:rsidRPr="0074029F">
        <w:rPr>
          <w:sz w:val="20"/>
          <w:szCs w:val="20"/>
          <w:lang w:val="en-US"/>
        </w:rPr>
        <w:t xml:space="preserve"> </w:t>
      </w:r>
      <w:proofErr w:type="spellStart"/>
      <w:r w:rsidRPr="0074029F">
        <w:rPr>
          <w:sz w:val="20"/>
          <w:szCs w:val="20"/>
          <w:lang w:val="en-US"/>
        </w:rPr>
        <w:t>ve</w:t>
      </w:r>
      <w:proofErr w:type="spellEnd"/>
      <w:r w:rsidRPr="0074029F">
        <w:rPr>
          <w:sz w:val="20"/>
          <w:szCs w:val="20"/>
          <w:lang w:val="en-US"/>
        </w:rPr>
        <w:t xml:space="preserve"> </w:t>
      </w:r>
      <w:proofErr w:type="spellStart"/>
      <w:r w:rsidRPr="0074029F">
        <w:rPr>
          <w:sz w:val="20"/>
          <w:szCs w:val="20"/>
          <w:lang w:val="en-US"/>
        </w:rPr>
        <w:t>depremsellikleri</w:t>
      </w:r>
      <w:proofErr w:type="spellEnd"/>
      <w:r w:rsidRPr="0074029F">
        <w:rPr>
          <w:sz w:val="20"/>
          <w:szCs w:val="20"/>
          <w:lang w:val="en-US"/>
        </w:rPr>
        <w:t xml:space="preserve">. MTA </w:t>
      </w:r>
      <w:proofErr w:type="spellStart"/>
      <w:r w:rsidRPr="0074029F">
        <w:rPr>
          <w:sz w:val="20"/>
          <w:szCs w:val="20"/>
          <w:lang w:val="en-US"/>
        </w:rPr>
        <w:t>Rapor</w:t>
      </w:r>
      <w:proofErr w:type="spellEnd"/>
      <w:r w:rsidRPr="0074029F">
        <w:rPr>
          <w:sz w:val="20"/>
          <w:szCs w:val="20"/>
          <w:lang w:val="en-US"/>
        </w:rPr>
        <w:t xml:space="preserve"> No394. </w:t>
      </w:r>
    </w:p>
    <w:p w14:paraId="69411462" w14:textId="21C5D8BF" w:rsidR="003932DC" w:rsidRDefault="003932DC" w:rsidP="0074029F">
      <w:pPr>
        <w:pStyle w:val="AralkYok"/>
        <w:rPr>
          <w:sz w:val="20"/>
          <w:szCs w:val="21"/>
        </w:rPr>
      </w:pPr>
      <w:r>
        <w:rPr>
          <w:sz w:val="20"/>
          <w:szCs w:val="21"/>
        </w:rPr>
        <w:t xml:space="preserve">Sengupta P, (2014) </w:t>
      </w:r>
      <w:r w:rsidRPr="003932DC">
        <w:rPr>
          <w:sz w:val="20"/>
          <w:szCs w:val="21"/>
        </w:rPr>
        <w:t>Hysteresis Models and Fragility Assessments of Reinforced Concrete Structural Components</w:t>
      </w:r>
      <w:r>
        <w:rPr>
          <w:sz w:val="20"/>
          <w:szCs w:val="21"/>
        </w:rPr>
        <w:t xml:space="preserve">, </w:t>
      </w:r>
      <w:r>
        <w:rPr>
          <w:sz w:val="20"/>
          <w:szCs w:val="21"/>
        </w:rPr>
        <w:tab/>
      </w:r>
      <w:r w:rsidRPr="003932DC">
        <w:rPr>
          <w:sz w:val="20"/>
          <w:szCs w:val="21"/>
        </w:rPr>
        <w:t>Doctor of Philosophy/ Nanyang Technological University Singapore</w:t>
      </w:r>
    </w:p>
    <w:p w14:paraId="12804FA2" w14:textId="47F05030" w:rsidR="0074029F" w:rsidRPr="0074029F" w:rsidRDefault="0074029F" w:rsidP="0074029F">
      <w:pPr>
        <w:pStyle w:val="AralkYok"/>
      </w:pPr>
      <w:proofErr w:type="spellStart"/>
      <w:r w:rsidRPr="0074029F">
        <w:rPr>
          <w:sz w:val="20"/>
          <w:szCs w:val="21"/>
        </w:rPr>
        <w:t>Scassera</w:t>
      </w:r>
      <w:proofErr w:type="spellEnd"/>
      <w:r w:rsidRPr="0074029F">
        <w:rPr>
          <w:sz w:val="20"/>
          <w:szCs w:val="21"/>
        </w:rPr>
        <w:t xml:space="preserve"> et al., (2008) Site characterization of Italian recording stations for new ground motion predictions, Roma</w:t>
      </w:r>
    </w:p>
    <w:p w14:paraId="3F05BF05" w14:textId="4D2FCFB1" w:rsidR="00EC7C02" w:rsidRPr="0074029F" w:rsidRDefault="00EC7C02" w:rsidP="004014FC">
      <w:pPr>
        <w:pStyle w:val="NormalWeb"/>
        <w:spacing w:line="276" w:lineRule="auto"/>
        <w:ind w:left="709" w:hanging="709"/>
        <w:rPr>
          <w:sz w:val="20"/>
          <w:szCs w:val="20"/>
          <w:lang w:val="en-US"/>
        </w:rPr>
      </w:pPr>
      <w:r w:rsidRPr="0074029F">
        <w:rPr>
          <w:sz w:val="20"/>
          <w:szCs w:val="20"/>
          <w:lang w:val="en-US"/>
        </w:rPr>
        <w:t xml:space="preserve">Youngs, R. R., S. J. </w:t>
      </w:r>
      <w:proofErr w:type="spellStart"/>
      <w:r w:rsidRPr="0074029F">
        <w:rPr>
          <w:sz w:val="20"/>
          <w:szCs w:val="20"/>
          <w:lang w:val="en-US"/>
        </w:rPr>
        <w:t>Chiou</w:t>
      </w:r>
      <w:proofErr w:type="spellEnd"/>
      <w:r w:rsidRPr="0074029F">
        <w:rPr>
          <w:sz w:val="20"/>
          <w:szCs w:val="20"/>
          <w:lang w:val="en-US"/>
        </w:rPr>
        <w:t>, W. J. Silva, and J. R. Humphrey (1997). Strong ground motion attenuation relationships for subduction zone earthquakes, Seism. Res. Lett. 68, 58–73.</w:t>
      </w:r>
    </w:p>
    <w:p w14:paraId="72C5875A" w14:textId="42098C87" w:rsidR="006E786D" w:rsidRPr="0074029F" w:rsidRDefault="00134284" w:rsidP="004014FC">
      <w:pPr>
        <w:pStyle w:val="NormalWeb"/>
        <w:spacing w:line="276" w:lineRule="auto"/>
        <w:ind w:left="709" w:hanging="709"/>
        <w:rPr>
          <w:sz w:val="20"/>
          <w:szCs w:val="20"/>
          <w:lang w:val="en-US"/>
        </w:rPr>
      </w:pPr>
      <w:r w:rsidRPr="0074029F">
        <w:rPr>
          <w:sz w:val="20"/>
          <w:szCs w:val="20"/>
          <w:lang w:val="en-US"/>
        </w:rPr>
        <w:t>Zh</w:t>
      </w:r>
      <w:r w:rsidR="006E786D" w:rsidRPr="0074029F">
        <w:rPr>
          <w:sz w:val="20"/>
          <w:szCs w:val="20"/>
          <w:lang w:val="en-US"/>
        </w:rPr>
        <w:t>ao et al.,</w:t>
      </w:r>
      <w:r w:rsidRPr="0074029F">
        <w:rPr>
          <w:sz w:val="20"/>
          <w:szCs w:val="20"/>
          <w:lang w:val="en-US"/>
        </w:rPr>
        <w:t xml:space="preserve"> </w:t>
      </w:r>
      <w:r w:rsidR="006E786D" w:rsidRPr="0074029F">
        <w:rPr>
          <w:sz w:val="20"/>
          <w:szCs w:val="20"/>
          <w:lang w:val="en-US"/>
        </w:rPr>
        <w:t>(2006) Attenuation relations of strong ground motion in Japan using site classification based on predominant period, Bulletin of the Seismological Society of America, Vol. 99, No. 3, pp. 898–913</w:t>
      </w:r>
      <w:r w:rsidR="00E409DA" w:rsidRPr="0074029F">
        <w:rPr>
          <w:sz w:val="20"/>
          <w:szCs w:val="20"/>
          <w:lang w:val="en-US"/>
        </w:rPr>
        <w:t>.</w:t>
      </w:r>
    </w:p>
    <w:p w14:paraId="7B1BD51F" w14:textId="75CC0291" w:rsidR="006D333D" w:rsidRPr="0074029F" w:rsidRDefault="006D333D" w:rsidP="0044409E">
      <w:pPr>
        <w:pStyle w:val="NormalWeb"/>
        <w:rPr>
          <w:sz w:val="22"/>
          <w:szCs w:val="22"/>
          <w:lang w:val="en-US"/>
        </w:rPr>
      </w:pPr>
    </w:p>
    <w:p w14:paraId="3E0F515C" w14:textId="6CB0FA14" w:rsidR="006D333D" w:rsidRPr="0074029F" w:rsidRDefault="006D333D" w:rsidP="0044409E">
      <w:pPr>
        <w:pStyle w:val="NormalWeb"/>
        <w:rPr>
          <w:sz w:val="22"/>
          <w:szCs w:val="22"/>
          <w:lang w:val="en-US"/>
        </w:rPr>
      </w:pPr>
    </w:p>
    <w:p w14:paraId="390C70BB" w14:textId="2D4D8030" w:rsidR="0044409E" w:rsidRPr="000954C1" w:rsidRDefault="0044409E" w:rsidP="001020F1">
      <w:pPr>
        <w:pStyle w:val="NormalWeb"/>
        <w:rPr>
          <w:sz w:val="22"/>
          <w:szCs w:val="22"/>
          <w:lang w:val="en-US"/>
        </w:rPr>
      </w:pPr>
    </w:p>
    <w:p w14:paraId="7618555E" w14:textId="745DFC82" w:rsidR="00AE70C0" w:rsidRPr="000954C1" w:rsidRDefault="00AE70C0" w:rsidP="00D6291F">
      <w:pPr>
        <w:rPr>
          <w:rFonts w:eastAsia="Arial" w:cs="Times New Roman"/>
          <w:sz w:val="20"/>
          <w:lang w:val="en-US"/>
        </w:rPr>
      </w:pPr>
    </w:p>
    <w:sectPr w:rsidR="00AE70C0" w:rsidRPr="000954C1" w:rsidSect="00AB0670">
      <w:headerReference w:type="default" r:id="rId14"/>
      <w:pgSz w:w="11906" w:h="16838"/>
      <w:pgMar w:top="1417" w:right="1417" w:bottom="1417" w:left="141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071CB6" w14:textId="77777777" w:rsidR="000117E2" w:rsidRDefault="000117E2" w:rsidP="00213EB7">
      <w:r>
        <w:separator/>
      </w:r>
    </w:p>
  </w:endnote>
  <w:endnote w:type="continuationSeparator" w:id="0">
    <w:p w14:paraId="444EF447" w14:textId="77777777" w:rsidR="000117E2" w:rsidRDefault="000117E2" w:rsidP="00213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A8B89" w14:textId="77777777" w:rsidR="000117E2" w:rsidRDefault="000117E2" w:rsidP="00213EB7">
      <w:r>
        <w:separator/>
      </w:r>
    </w:p>
  </w:footnote>
  <w:footnote w:type="continuationSeparator" w:id="0">
    <w:p w14:paraId="6673408D" w14:textId="77777777" w:rsidR="000117E2" w:rsidRDefault="000117E2" w:rsidP="00213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B071F" w14:textId="152A0351" w:rsidR="0074029F" w:rsidRPr="00BC13FC" w:rsidRDefault="0074029F" w:rsidP="00134284">
    <w:pPr>
      <w:pStyle w:val="stBilgi"/>
      <w:jc w:val="right"/>
      <w:rPr>
        <w:rFonts w:cs="Times New Roman"/>
        <w:b/>
        <w:i/>
        <w:color w:val="000000"/>
        <w:sz w:val="16"/>
        <w:szCs w:val="16"/>
      </w:rPr>
    </w:pPr>
    <w:bookmarkStart w:id="1" w:name="_Hlk520994196"/>
    <w:r>
      <w:rPr>
        <w:rFonts w:ascii="Franklin Gothic Medium Cond" w:hAnsi="Franklin Gothic Medium Cond"/>
        <w:noProof/>
        <w:color w:val="C00000"/>
        <w:spacing w:val="-10"/>
        <w:sz w:val="28"/>
        <w:lang w:val="en-US" w:eastAsia="en-US"/>
      </w:rPr>
      <w:drawing>
        <wp:anchor distT="0" distB="0" distL="114300" distR="114300" simplePos="0" relativeHeight="251658240" behindDoc="0" locked="0" layoutInCell="1" allowOverlap="1" wp14:anchorId="6D1F1FBC" wp14:editId="0ED66529">
          <wp:simplePos x="0" y="0"/>
          <wp:positionH relativeFrom="column">
            <wp:posOffset>-77046</wp:posOffset>
          </wp:positionH>
          <wp:positionV relativeFrom="paragraph">
            <wp:posOffset>-100895</wp:posOffset>
          </wp:positionV>
          <wp:extent cx="1002182" cy="385882"/>
          <wp:effectExtent l="0" t="0" r="7620" b="0"/>
          <wp:wrapSquare wrapText="bothSides"/>
          <wp:docPr id="5" name="Picture 5" descr="C:\Users\omerh\AppData\Local\Microsoft\Windows\INetCache\Content.Word\Capture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erh\AppData\Local\Microsoft\Windows\INetCache\Content.Word\Capture_En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2182" cy="385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6CE">
      <w:rPr>
        <w:rFonts w:ascii="Arial" w:hAnsi="Arial" w:cs="Arial"/>
        <w:b/>
        <w:i/>
        <w:color w:val="000000"/>
        <w:sz w:val="16"/>
        <w:szCs w:val="16"/>
      </w:rPr>
      <w:t xml:space="preserve">                        </w:t>
    </w:r>
    <w:r>
      <w:rPr>
        <w:rFonts w:ascii="Arial" w:hAnsi="Arial" w:cs="Arial"/>
        <w:b/>
        <w:i/>
        <w:color w:val="000000"/>
        <w:sz w:val="16"/>
        <w:szCs w:val="16"/>
      </w:rPr>
      <w:t xml:space="preserve">                </w:t>
    </w:r>
    <w:r w:rsidRPr="009D56CE">
      <w:rPr>
        <w:rFonts w:ascii="Arial" w:hAnsi="Arial" w:cs="Arial"/>
        <w:b/>
        <w:i/>
        <w:color w:val="000000"/>
        <w:sz w:val="16"/>
        <w:szCs w:val="16"/>
      </w:rPr>
      <w:t xml:space="preserve">   </w:t>
    </w:r>
    <w:r>
      <w:rPr>
        <w:rFonts w:ascii="Arial" w:hAnsi="Arial" w:cs="Arial"/>
        <w:b/>
        <w:i/>
        <w:color w:val="000000"/>
        <w:sz w:val="16"/>
        <w:szCs w:val="16"/>
      </w:rPr>
      <w:t xml:space="preserve">                   </w:t>
    </w:r>
    <w:r w:rsidRPr="009D56CE">
      <w:rPr>
        <w:rFonts w:ascii="Arial" w:hAnsi="Arial" w:cs="Arial"/>
        <w:b/>
        <w:i/>
        <w:color w:val="000000"/>
        <w:sz w:val="16"/>
        <w:szCs w:val="16"/>
      </w:rPr>
      <w:t xml:space="preserve">  </w:t>
    </w:r>
    <w:r>
      <w:rPr>
        <w:rFonts w:ascii="Arial" w:hAnsi="Arial" w:cs="Arial"/>
        <w:b/>
        <w:i/>
        <w:color w:val="000000"/>
        <w:sz w:val="16"/>
        <w:szCs w:val="16"/>
      </w:rPr>
      <w:t xml:space="preserve"> </w:t>
    </w:r>
    <w:r w:rsidRPr="009D56CE">
      <w:rPr>
        <w:rFonts w:ascii="Arial" w:hAnsi="Arial" w:cs="Arial"/>
        <w:b/>
        <w:i/>
        <w:color w:val="000000"/>
        <w:sz w:val="16"/>
        <w:szCs w:val="16"/>
      </w:rPr>
      <w:t xml:space="preserve"> </w:t>
    </w:r>
    <w:r>
      <w:rPr>
        <w:rFonts w:cs="Times New Roman"/>
        <w:b/>
        <w:i/>
        <w:color w:val="000000"/>
        <w:sz w:val="16"/>
        <w:szCs w:val="16"/>
      </w:rPr>
      <w:t xml:space="preserve"> 9</w:t>
    </w:r>
    <w:r w:rsidRPr="00BC13FC">
      <w:rPr>
        <w:rFonts w:cs="Times New Roman"/>
        <w:b/>
        <w:i/>
        <w:color w:val="000000"/>
        <w:sz w:val="16"/>
        <w:szCs w:val="16"/>
        <w:vertAlign w:val="superscript"/>
      </w:rPr>
      <w:t>th</w:t>
    </w:r>
    <w:r w:rsidRPr="00BC13FC">
      <w:rPr>
        <w:rFonts w:cs="Times New Roman"/>
        <w:b/>
        <w:i/>
        <w:color w:val="000000"/>
        <w:sz w:val="16"/>
        <w:szCs w:val="16"/>
      </w:rPr>
      <w:t xml:space="preserve"> </w:t>
    </w:r>
    <w:r>
      <w:rPr>
        <w:rFonts w:cs="Times New Roman"/>
        <w:b/>
        <w:i/>
        <w:color w:val="000000"/>
        <w:sz w:val="16"/>
        <w:szCs w:val="16"/>
      </w:rPr>
      <w:t>Turkish</w:t>
    </w:r>
    <w:r w:rsidRPr="00BC13FC">
      <w:rPr>
        <w:rFonts w:cs="Times New Roman"/>
        <w:b/>
        <w:i/>
        <w:color w:val="000000"/>
        <w:sz w:val="16"/>
        <w:szCs w:val="16"/>
      </w:rPr>
      <w:t xml:space="preserve"> Conference on </w:t>
    </w:r>
    <w:r>
      <w:rPr>
        <w:rFonts w:cs="Times New Roman"/>
        <w:b/>
        <w:i/>
        <w:color w:val="000000"/>
        <w:sz w:val="16"/>
        <w:szCs w:val="16"/>
      </w:rPr>
      <w:t>Earthquake Engineering, 2020</w:t>
    </w:r>
  </w:p>
  <w:p w14:paraId="58B1ECE3" w14:textId="7223B812" w:rsidR="0074029F" w:rsidRPr="00BC13FC" w:rsidRDefault="0074029F" w:rsidP="00134284">
    <w:pPr>
      <w:pStyle w:val="stBilgi"/>
      <w:spacing w:line="360" w:lineRule="auto"/>
      <w:jc w:val="right"/>
      <w:rPr>
        <w:rFonts w:cs="Times New Roman"/>
        <w:b/>
        <w:i/>
        <w:color w:val="000000"/>
        <w:sz w:val="16"/>
        <w:szCs w:val="16"/>
      </w:rPr>
    </w:pPr>
    <w:r w:rsidRPr="00BC13FC">
      <w:rPr>
        <w:rFonts w:cs="Times New Roman"/>
        <w:b/>
        <w:i/>
        <w:color w:val="000000"/>
        <w:sz w:val="16"/>
        <w:szCs w:val="16"/>
      </w:rPr>
      <w:tab/>
      <w:t xml:space="preserve"> 1-3 </w:t>
    </w:r>
    <w:r>
      <w:rPr>
        <w:rFonts w:cs="Times New Roman"/>
        <w:b/>
        <w:i/>
        <w:color w:val="000000"/>
        <w:sz w:val="16"/>
        <w:szCs w:val="16"/>
      </w:rPr>
      <w:t>June</w:t>
    </w:r>
    <w:r w:rsidRPr="00BC13FC">
      <w:rPr>
        <w:rFonts w:cs="Times New Roman"/>
        <w:b/>
        <w:i/>
        <w:color w:val="000000"/>
        <w:sz w:val="16"/>
        <w:szCs w:val="16"/>
      </w:rPr>
      <w:t xml:space="preserve"> 2020</w:t>
    </w:r>
    <w:bookmarkEnd w:id="1"/>
    <w:r>
      <w:rPr>
        <w:rFonts w:cs="Times New Roman"/>
        <w:b/>
        <w:i/>
        <w:color w:val="000000"/>
        <w:sz w:val="16"/>
        <w:szCs w:val="16"/>
      </w:rPr>
      <w:t xml:space="preserve">, Istanbul Technical University </w:t>
    </w:r>
  </w:p>
  <w:p w14:paraId="345C864E" w14:textId="1CA42371" w:rsidR="0074029F" w:rsidRDefault="0074029F" w:rsidP="00AB0670">
    <w:pPr>
      <w:pStyle w:val="stBilgi"/>
      <w:spacing w:line="360" w:lineRule="auto"/>
      <w:rPr>
        <w:rFonts w:ascii="Arial" w:hAnsi="Arial" w:cs="Arial"/>
        <w:b/>
        <w:i/>
        <w:color w:val="000000"/>
        <w:sz w:val="16"/>
        <w:szCs w:val="16"/>
      </w:rPr>
    </w:pPr>
  </w:p>
  <w:p w14:paraId="7D1B475F" w14:textId="77777777" w:rsidR="0074029F" w:rsidRPr="00AB0670" w:rsidRDefault="0074029F" w:rsidP="00AB0670">
    <w:pPr>
      <w:pStyle w:val="stBilgi"/>
      <w:spacing w:line="360" w:lineRule="auto"/>
      <w:rPr>
        <w:rFonts w:ascii="Arial" w:hAnsi="Arial" w:cs="Arial"/>
        <w:b/>
        <w:i/>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4867B6"/>
    <w:multiLevelType w:val="hybridMultilevel"/>
    <w:tmpl w:val="DDDE166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A7D2655"/>
    <w:multiLevelType w:val="hybridMultilevel"/>
    <w:tmpl w:val="D63E932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E8E120F"/>
    <w:multiLevelType w:val="hybridMultilevel"/>
    <w:tmpl w:val="1CAC3C1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wtDC3sDS2NDa3NLJU0lEKTi0uzszPAykwrAUApbcBRywAAAA="/>
  </w:docVars>
  <w:rsids>
    <w:rsidRoot w:val="00AE70C0"/>
    <w:rsid w:val="000061DE"/>
    <w:rsid w:val="00006DC2"/>
    <w:rsid w:val="000117E2"/>
    <w:rsid w:val="00012C37"/>
    <w:rsid w:val="000217AD"/>
    <w:rsid w:val="00021D0E"/>
    <w:rsid w:val="00031FC8"/>
    <w:rsid w:val="000462A7"/>
    <w:rsid w:val="0004752F"/>
    <w:rsid w:val="000637C0"/>
    <w:rsid w:val="0006399C"/>
    <w:rsid w:val="00086564"/>
    <w:rsid w:val="0009273B"/>
    <w:rsid w:val="00092AFB"/>
    <w:rsid w:val="000954C1"/>
    <w:rsid w:val="000D24ED"/>
    <w:rsid w:val="000D58DD"/>
    <w:rsid w:val="000E5618"/>
    <w:rsid w:val="000E5CA9"/>
    <w:rsid w:val="001020F1"/>
    <w:rsid w:val="0010693B"/>
    <w:rsid w:val="001213D0"/>
    <w:rsid w:val="001337E5"/>
    <w:rsid w:val="00134284"/>
    <w:rsid w:val="001514B3"/>
    <w:rsid w:val="00157CBD"/>
    <w:rsid w:val="0016277D"/>
    <w:rsid w:val="001A4332"/>
    <w:rsid w:val="001A6667"/>
    <w:rsid w:val="001A7630"/>
    <w:rsid w:val="001B30CE"/>
    <w:rsid w:val="001B3F81"/>
    <w:rsid w:val="001B6F6B"/>
    <w:rsid w:val="001C1BCB"/>
    <w:rsid w:val="001C44D2"/>
    <w:rsid w:val="001C77DF"/>
    <w:rsid w:val="001D4971"/>
    <w:rsid w:val="001D4D9D"/>
    <w:rsid w:val="001D5286"/>
    <w:rsid w:val="0020375C"/>
    <w:rsid w:val="002042AB"/>
    <w:rsid w:val="00213EB7"/>
    <w:rsid w:val="00222069"/>
    <w:rsid w:val="002273E0"/>
    <w:rsid w:val="002314E4"/>
    <w:rsid w:val="00240F20"/>
    <w:rsid w:val="00243588"/>
    <w:rsid w:val="00274043"/>
    <w:rsid w:val="00282418"/>
    <w:rsid w:val="00287080"/>
    <w:rsid w:val="00293702"/>
    <w:rsid w:val="002B2E00"/>
    <w:rsid w:val="002B6E9E"/>
    <w:rsid w:val="002B7474"/>
    <w:rsid w:val="002C3804"/>
    <w:rsid w:val="002C4F96"/>
    <w:rsid w:val="002C5139"/>
    <w:rsid w:val="002D29DC"/>
    <w:rsid w:val="002F1FD5"/>
    <w:rsid w:val="002F6BB5"/>
    <w:rsid w:val="00302E89"/>
    <w:rsid w:val="00311162"/>
    <w:rsid w:val="00316DFB"/>
    <w:rsid w:val="003310A5"/>
    <w:rsid w:val="003427A6"/>
    <w:rsid w:val="00342F77"/>
    <w:rsid w:val="003431E4"/>
    <w:rsid w:val="0034367F"/>
    <w:rsid w:val="0038115C"/>
    <w:rsid w:val="00387E75"/>
    <w:rsid w:val="003932DC"/>
    <w:rsid w:val="003A12F2"/>
    <w:rsid w:val="003A1C43"/>
    <w:rsid w:val="003A2976"/>
    <w:rsid w:val="003B480F"/>
    <w:rsid w:val="003E60F4"/>
    <w:rsid w:val="003F3FC5"/>
    <w:rsid w:val="003F54E6"/>
    <w:rsid w:val="003F786C"/>
    <w:rsid w:val="004014FC"/>
    <w:rsid w:val="00403BC6"/>
    <w:rsid w:val="00430DD7"/>
    <w:rsid w:val="00437F02"/>
    <w:rsid w:val="00440C54"/>
    <w:rsid w:val="0044409E"/>
    <w:rsid w:val="00463138"/>
    <w:rsid w:val="00475A4C"/>
    <w:rsid w:val="00477D29"/>
    <w:rsid w:val="00496164"/>
    <w:rsid w:val="004C2380"/>
    <w:rsid w:val="004C4989"/>
    <w:rsid w:val="004D5601"/>
    <w:rsid w:val="004E46E8"/>
    <w:rsid w:val="004F07DE"/>
    <w:rsid w:val="00502DBF"/>
    <w:rsid w:val="00504C34"/>
    <w:rsid w:val="005052CA"/>
    <w:rsid w:val="00535F78"/>
    <w:rsid w:val="00536F65"/>
    <w:rsid w:val="00541DD7"/>
    <w:rsid w:val="005513ED"/>
    <w:rsid w:val="005611CA"/>
    <w:rsid w:val="00562D05"/>
    <w:rsid w:val="00566821"/>
    <w:rsid w:val="00591D87"/>
    <w:rsid w:val="00591E00"/>
    <w:rsid w:val="00594B09"/>
    <w:rsid w:val="00597D1A"/>
    <w:rsid w:val="005A142D"/>
    <w:rsid w:val="005A19B2"/>
    <w:rsid w:val="005A4C13"/>
    <w:rsid w:val="005B4896"/>
    <w:rsid w:val="005B4EE1"/>
    <w:rsid w:val="005E06FC"/>
    <w:rsid w:val="005F471B"/>
    <w:rsid w:val="005F636D"/>
    <w:rsid w:val="0060382A"/>
    <w:rsid w:val="00610AB7"/>
    <w:rsid w:val="00620C97"/>
    <w:rsid w:val="0062451E"/>
    <w:rsid w:val="0063130C"/>
    <w:rsid w:val="00644557"/>
    <w:rsid w:val="006633A7"/>
    <w:rsid w:val="0066698E"/>
    <w:rsid w:val="00666C89"/>
    <w:rsid w:val="00695475"/>
    <w:rsid w:val="00696DDD"/>
    <w:rsid w:val="006A4165"/>
    <w:rsid w:val="006D105D"/>
    <w:rsid w:val="006D333D"/>
    <w:rsid w:val="006D482D"/>
    <w:rsid w:val="006E5A06"/>
    <w:rsid w:val="006E6501"/>
    <w:rsid w:val="006E705F"/>
    <w:rsid w:val="006E786D"/>
    <w:rsid w:val="00725B3B"/>
    <w:rsid w:val="0074029F"/>
    <w:rsid w:val="0075385A"/>
    <w:rsid w:val="00756981"/>
    <w:rsid w:val="00756A93"/>
    <w:rsid w:val="00763AE7"/>
    <w:rsid w:val="00787F0B"/>
    <w:rsid w:val="00792756"/>
    <w:rsid w:val="0079552A"/>
    <w:rsid w:val="00796E9C"/>
    <w:rsid w:val="007B58F9"/>
    <w:rsid w:val="007B7828"/>
    <w:rsid w:val="007C3030"/>
    <w:rsid w:val="007C3DD9"/>
    <w:rsid w:val="007C582D"/>
    <w:rsid w:val="007E143D"/>
    <w:rsid w:val="007F2D21"/>
    <w:rsid w:val="00813914"/>
    <w:rsid w:val="00815440"/>
    <w:rsid w:val="00824B63"/>
    <w:rsid w:val="00832C5F"/>
    <w:rsid w:val="00836592"/>
    <w:rsid w:val="008513ED"/>
    <w:rsid w:val="00861006"/>
    <w:rsid w:val="008743AF"/>
    <w:rsid w:val="00897636"/>
    <w:rsid w:val="008A50F4"/>
    <w:rsid w:val="008B403D"/>
    <w:rsid w:val="008B485D"/>
    <w:rsid w:val="008B7867"/>
    <w:rsid w:val="008C01DE"/>
    <w:rsid w:val="008C101F"/>
    <w:rsid w:val="008C7127"/>
    <w:rsid w:val="008D6B93"/>
    <w:rsid w:val="008D728C"/>
    <w:rsid w:val="008E123F"/>
    <w:rsid w:val="0090213B"/>
    <w:rsid w:val="00906820"/>
    <w:rsid w:val="00906F0A"/>
    <w:rsid w:val="0094141C"/>
    <w:rsid w:val="0094339A"/>
    <w:rsid w:val="00943621"/>
    <w:rsid w:val="00944E68"/>
    <w:rsid w:val="00950B5E"/>
    <w:rsid w:val="0095514E"/>
    <w:rsid w:val="00970ACC"/>
    <w:rsid w:val="0098105B"/>
    <w:rsid w:val="009A34CB"/>
    <w:rsid w:val="009A50F2"/>
    <w:rsid w:val="009C392D"/>
    <w:rsid w:val="009C7D33"/>
    <w:rsid w:val="009C7F4C"/>
    <w:rsid w:val="009E656D"/>
    <w:rsid w:val="009E764F"/>
    <w:rsid w:val="009F118F"/>
    <w:rsid w:val="00A01994"/>
    <w:rsid w:val="00A13DA6"/>
    <w:rsid w:val="00A24841"/>
    <w:rsid w:val="00A27E75"/>
    <w:rsid w:val="00A319BE"/>
    <w:rsid w:val="00A32576"/>
    <w:rsid w:val="00A36BEC"/>
    <w:rsid w:val="00A37C90"/>
    <w:rsid w:val="00A4011E"/>
    <w:rsid w:val="00A4783A"/>
    <w:rsid w:val="00A61D58"/>
    <w:rsid w:val="00A702C6"/>
    <w:rsid w:val="00A82E2B"/>
    <w:rsid w:val="00A831CD"/>
    <w:rsid w:val="00A8761C"/>
    <w:rsid w:val="00A9569B"/>
    <w:rsid w:val="00A96C6C"/>
    <w:rsid w:val="00AA304E"/>
    <w:rsid w:val="00AB0670"/>
    <w:rsid w:val="00AB2CE1"/>
    <w:rsid w:val="00AB5B19"/>
    <w:rsid w:val="00AC126F"/>
    <w:rsid w:val="00AC7A12"/>
    <w:rsid w:val="00AE6E57"/>
    <w:rsid w:val="00AE70C0"/>
    <w:rsid w:val="00AE7FEC"/>
    <w:rsid w:val="00AF4596"/>
    <w:rsid w:val="00B05A08"/>
    <w:rsid w:val="00B128C1"/>
    <w:rsid w:val="00B149D7"/>
    <w:rsid w:val="00B15130"/>
    <w:rsid w:val="00B47EC6"/>
    <w:rsid w:val="00B643B6"/>
    <w:rsid w:val="00B87795"/>
    <w:rsid w:val="00B916C6"/>
    <w:rsid w:val="00BA6EC1"/>
    <w:rsid w:val="00BB05CF"/>
    <w:rsid w:val="00BC13FC"/>
    <w:rsid w:val="00BC4712"/>
    <w:rsid w:val="00BE06A7"/>
    <w:rsid w:val="00BE7D4C"/>
    <w:rsid w:val="00BF390D"/>
    <w:rsid w:val="00BF4E98"/>
    <w:rsid w:val="00C12C93"/>
    <w:rsid w:val="00C14148"/>
    <w:rsid w:val="00C1730E"/>
    <w:rsid w:val="00C408A8"/>
    <w:rsid w:val="00C41AF2"/>
    <w:rsid w:val="00C54E63"/>
    <w:rsid w:val="00C62C0C"/>
    <w:rsid w:val="00C77297"/>
    <w:rsid w:val="00C77609"/>
    <w:rsid w:val="00C82840"/>
    <w:rsid w:val="00C8324A"/>
    <w:rsid w:val="00C93E5A"/>
    <w:rsid w:val="00CE3FFA"/>
    <w:rsid w:val="00CE76F7"/>
    <w:rsid w:val="00D15A47"/>
    <w:rsid w:val="00D15ACC"/>
    <w:rsid w:val="00D31C44"/>
    <w:rsid w:val="00D4714F"/>
    <w:rsid w:val="00D6291F"/>
    <w:rsid w:val="00D872A7"/>
    <w:rsid w:val="00DB16A4"/>
    <w:rsid w:val="00DC31B1"/>
    <w:rsid w:val="00E00DCD"/>
    <w:rsid w:val="00E02674"/>
    <w:rsid w:val="00E02C87"/>
    <w:rsid w:val="00E07B73"/>
    <w:rsid w:val="00E14DA1"/>
    <w:rsid w:val="00E16F98"/>
    <w:rsid w:val="00E17158"/>
    <w:rsid w:val="00E22FD6"/>
    <w:rsid w:val="00E409DA"/>
    <w:rsid w:val="00E44B5B"/>
    <w:rsid w:val="00E62B7E"/>
    <w:rsid w:val="00E62CA7"/>
    <w:rsid w:val="00E738B5"/>
    <w:rsid w:val="00E74C38"/>
    <w:rsid w:val="00E92137"/>
    <w:rsid w:val="00E937C0"/>
    <w:rsid w:val="00E94B73"/>
    <w:rsid w:val="00EC7C02"/>
    <w:rsid w:val="00ED1936"/>
    <w:rsid w:val="00EE01B5"/>
    <w:rsid w:val="00EE53A5"/>
    <w:rsid w:val="00F26CA0"/>
    <w:rsid w:val="00F5150D"/>
    <w:rsid w:val="00F56042"/>
    <w:rsid w:val="00F57CD2"/>
    <w:rsid w:val="00F6244A"/>
    <w:rsid w:val="00F65A2A"/>
    <w:rsid w:val="00F65B2D"/>
    <w:rsid w:val="00F93556"/>
    <w:rsid w:val="00F937B1"/>
    <w:rsid w:val="00F94072"/>
    <w:rsid w:val="00FA65B7"/>
    <w:rsid w:val="00FC41C2"/>
    <w:rsid w:val="00FD6CF9"/>
    <w:rsid w:val="00FE1C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B9DE2A"/>
  <w15:docId w15:val="{F58231FE-CD2F-4C40-9958-D17DDA4AC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1DE"/>
    <w:pPr>
      <w:jc w:val="both"/>
    </w:pPr>
    <w:rPr>
      <w:rFonts w:ascii="Times New Roman" w:hAnsi="Times New Roman"/>
      <w:color w:val="000000" w:themeColor="text1"/>
      <w:sz w:val="22"/>
    </w:rPr>
  </w:style>
  <w:style w:type="paragraph" w:styleId="Balk1">
    <w:name w:val="heading 1"/>
    <w:basedOn w:val="Normal"/>
    <w:link w:val="Balk1Char"/>
    <w:uiPriority w:val="9"/>
    <w:qFormat/>
    <w:rsid w:val="0044409E"/>
    <w:pPr>
      <w:spacing w:before="100" w:beforeAutospacing="1" w:after="100" w:afterAutospacing="1"/>
      <w:jc w:val="left"/>
      <w:outlineLvl w:val="0"/>
    </w:pPr>
    <w:rPr>
      <w:rFonts w:eastAsia="Times New Roman" w:cs="Times New Roman"/>
      <w:b/>
      <w:bCs/>
      <w:color w:val="auto"/>
      <w:kern w:val="36"/>
      <w:sz w:val="48"/>
      <w:szCs w:val="48"/>
      <w:lang w:val="tr-TR" w:eastAsia="tr-TR"/>
    </w:rPr>
  </w:style>
  <w:style w:type="paragraph" w:styleId="Balk2">
    <w:name w:val="heading 2"/>
    <w:basedOn w:val="Normal"/>
    <w:next w:val="Normal"/>
    <w:link w:val="Balk2Char"/>
    <w:uiPriority w:val="9"/>
    <w:semiHidden/>
    <w:unhideWhenUsed/>
    <w:qFormat/>
    <w:rsid w:val="0044409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F54E6"/>
    <w:rPr>
      <w:rFonts w:cs="Times New Roman"/>
      <w:sz w:val="18"/>
      <w:szCs w:val="18"/>
    </w:rPr>
  </w:style>
  <w:style w:type="character" w:customStyle="1" w:styleId="BalonMetniChar">
    <w:name w:val="Balon Metni Char"/>
    <w:basedOn w:val="VarsaylanParagrafYazTipi"/>
    <w:link w:val="BalonMetni"/>
    <w:uiPriority w:val="99"/>
    <w:semiHidden/>
    <w:rsid w:val="003F54E6"/>
    <w:rPr>
      <w:rFonts w:ascii="Times New Roman" w:hAnsi="Times New Roman" w:cs="Times New Roman"/>
      <w:sz w:val="18"/>
      <w:szCs w:val="18"/>
    </w:rPr>
  </w:style>
  <w:style w:type="character" w:styleId="AklamaBavurusu">
    <w:name w:val="annotation reference"/>
    <w:basedOn w:val="VarsaylanParagrafYazTipi"/>
    <w:uiPriority w:val="99"/>
    <w:semiHidden/>
    <w:unhideWhenUsed/>
    <w:rsid w:val="00AE6E57"/>
    <w:rPr>
      <w:sz w:val="18"/>
      <w:szCs w:val="18"/>
    </w:rPr>
  </w:style>
  <w:style w:type="paragraph" w:styleId="AklamaMetni">
    <w:name w:val="annotation text"/>
    <w:basedOn w:val="Normal"/>
    <w:link w:val="AklamaMetniChar"/>
    <w:uiPriority w:val="99"/>
    <w:semiHidden/>
    <w:unhideWhenUsed/>
    <w:rsid w:val="00AE6E57"/>
  </w:style>
  <w:style w:type="character" w:customStyle="1" w:styleId="AklamaMetniChar">
    <w:name w:val="Açıklama Metni Char"/>
    <w:basedOn w:val="VarsaylanParagrafYazTipi"/>
    <w:link w:val="AklamaMetni"/>
    <w:uiPriority w:val="99"/>
    <w:semiHidden/>
    <w:rsid w:val="00AE6E57"/>
  </w:style>
  <w:style w:type="paragraph" w:styleId="AklamaKonusu">
    <w:name w:val="annotation subject"/>
    <w:basedOn w:val="AklamaMetni"/>
    <w:next w:val="AklamaMetni"/>
    <w:link w:val="AklamaKonusuChar"/>
    <w:uiPriority w:val="99"/>
    <w:semiHidden/>
    <w:unhideWhenUsed/>
    <w:rsid w:val="00AE6E57"/>
    <w:rPr>
      <w:b/>
      <w:bCs/>
      <w:sz w:val="20"/>
      <w:szCs w:val="20"/>
    </w:rPr>
  </w:style>
  <w:style w:type="character" w:customStyle="1" w:styleId="AklamaKonusuChar">
    <w:name w:val="Açıklama Konusu Char"/>
    <w:basedOn w:val="AklamaMetniChar"/>
    <w:link w:val="AklamaKonusu"/>
    <w:uiPriority w:val="99"/>
    <w:semiHidden/>
    <w:rsid w:val="00AE6E57"/>
    <w:rPr>
      <w:b/>
      <w:bCs/>
      <w:sz w:val="20"/>
      <w:szCs w:val="20"/>
    </w:rPr>
  </w:style>
  <w:style w:type="paragraph" w:customStyle="1" w:styleId="Affiliation-CICE2018">
    <w:name w:val="Affiliation - CICE2018"/>
    <w:basedOn w:val="Normal"/>
    <w:link w:val="Affiliation-CICE2018Car"/>
    <w:qFormat/>
    <w:rsid w:val="00970ACC"/>
    <w:pPr>
      <w:jc w:val="center"/>
    </w:pPr>
    <w:rPr>
      <w:rFonts w:eastAsia="SimSun" w:cs="Times New Roman"/>
      <w:i/>
      <w:sz w:val="20"/>
      <w:lang w:val="fr-FR" w:eastAsia="zh-CN"/>
    </w:rPr>
  </w:style>
  <w:style w:type="character" w:customStyle="1" w:styleId="Affiliation-CICE2018Car">
    <w:name w:val="Affiliation - CICE2018 Car"/>
    <w:link w:val="Affiliation-CICE2018"/>
    <w:rsid w:val="00970ACC"/>
    <w:rPr>
      <w:rFonts w:ascii="Times New Roman" w:eastAsia="SimSun" w:hAnsi="Times New Roman" w:cs="Times New Roman"/>
      <w:i/>
      <w:sz w:val="20"/>
      <w:lang w:val="fr-FR" w:eastAsia="zh-CN"/>
    </w:rPr>
  </w:style>
  <w:style w:type="paragraph" w:styleId="stBilgi">
    <w:name w:val="header"/>
    <w:basedOn w:val="Normal"/>
    <w:link w:val="stBilgiChar"/>
    <w:uiPriority w:val="99"/>
    <w:unhideWhenUsed/>
    <w:rsid w:val="00213EB7"/>
    <w:pPr>
      <w:tabs>
        <w:tab w:val="center" w:pos="4703"/>
        <w:tab w:val="right" w:pos="9406"/>
      </w:tabs>
    </w:pPr>
  </w:style>
  <w:style w:type="character" w:customStyle="1" w:styleId="stBilgiChar">
    <w:name w:val="Üst Bilgi Char"/>
    <w:basedOn w:val="VarsaylanParagrafYazTipi"/>
    <w:link w:val="stBilgi"/>
    <w:uiPriority w:val="99"/>
    <w:rsid w:val="00213EB7"/>
  </w:style>
  <w:style w:type="paragraph" w:styleId="AltBilgi">
    <w:name w:val="footer"/>
    <w:basedOn w:val="Normal"/>
    <w:link w:val="AltBilgiChar"/>
    <w:uiPriority w:val="99"/>
    <w:unhideWhenUsed/>
    <w:rsid w:val="00213EB7"/>
    <w:pPr>
      <w:tabs>
        <w:tab w:val="center" w:pos="4703"/>
        <w:tab w:val="right" w:pos="9406"/>
      </w:tabs>
    </w:pPr>
  </w:style>
  <w:style w:type="character" w:customStyle="1" w:styleId="AltBilgiChar">
    <w:name w:val="Alt Bilgi Char"/>
    <w:basedOn w:val="VarsaylanParagrafYazTipi"/>
    <w:link w:val="AltBilgi"/>
    <w:uiPriority w:val="99"/>
    <w:rsid w:val="00213EB7"/>
  </w:style>
  <w:style w:type="paragraph" w:styleId="ListeParagraf">
    <w:name w:val="List Paragraph"/>
    <w:basedOn w:val="Normal"/>
    <w:uiPriority w:val="34"/>
    <w:qFormat/>
    <w:rsid w:val="008D728C"/>
    <w:pPr>
      <w:ind w:left="720"/>
      <w:contextualSpacing/>
    </w:pPr>
  </w:style>
  <w:style w:type="paragraph" w:customStyle="1" w:styleId="Els-Affiliation">
    <w:name w:val="Els-Affiliation"/>
    <w:next w:val="Normal"/>
    <w:rsid w:val="005611CA"/>
    <w:pPr>
      <w:suppressAutoHyphens/>
      <w:spacing w:line="200" w:lineRule="exact"/>
      <w:jc w:val="center"/>
    </w:pPr>
    <w:rPr>
      <w:rFonts w:ascii="Times New Roman" w:eastAsia="SimSun" w:hAnsi="Times New Roman" w:cs="Times New Roman"/>
      <w:i/>
      <w:noProof/>
      <w:sz w:val="16"/>
      <w:szCs w:val="20"/>
      <w:lang w:val="en-US" w:eastAsia="en-US"/>
    </w:rPr>
  </w:style>
  <w:style w:type="paragraph" w:customStyle="1" w:styleId="Els-footnote">
    <w:name w:val="Els-footnote"/>
    <w:rsid w:val="005611CA"/>
    <w:pPr>
      <w:keepLines/>
      <w:widowControl w:val="0"/>
      <w:spacing w:after="220" w:line="200" w:lineRule="exact"/>
      <w:ind w:firstLine="115"/>
      <w:contextualSpacing/>
      <w:jc w:val="both"/>
    </w:pPr>
    <w:rPr>
      <w:rFonts w:ascii="Times New Roman" w:eastAsia="SimSun" w:hAnsi="Times New Roman" w:cs="Times New Roman"/>
      <w:sz w:val="16"/>
      <w:szCs w:val="20"/>
      <w:lang w:val="en-US" w:eastAsia="en-US"/>
    </w:rPr>
  </w:style>
  <w:style w:type="character" w:styleId="Kpr">
    <w:name w:val="Hyperlink"/>
    <w:basedOn w:val="VarsaylanParagrafYazTipi"/>
    <w:uiPriority w:val="99"/>
    <w:unhideWhenUsed/>
    <w:rsid w:val="00C62C0C"/>
    <w:rPr>
      <w:color w:val="0563C1" w:themeColor="hyperlink"/>
      <w:u w:val="single"/>
    </w:rPr>
  </w:style>
  <w:style w:type="paragraph" w:styleId="NormalWeb">
    <w:name w:val="Normal (Web)"/>
    <w:basedOn w:val="Normal"/>
    <w:unhideWhenUsed/>
    <w:rsid w:val="00E94B73"/>
    <w:rPr>
      <w:rFonts w:cs="Times New Roman"/>
      <w:sz w:val="24"/>
    </w:rPr>
  </w:style>
  <w:style w:type="paragraph" w:styleId="GvdeMetni3">
    <w:name w:val="Body Text 3"/>
    <w:basedOn w:val="Normal"/>
    <w:link w:val="GvdeMetni3Char"/>
    <w:rsid w:val="00012C37"/>
    <w:pPr>
      <w:jc w:val="left"/>
    </w:pPr>
    <w:rPr>
      <w:rFonts w:eastAsia="Times New Roman" w:cs="Times New Roman"/>
      <w:b/>
      <w:bCs/>
      <w:snapToGrid w:val="0"/>
      <w:color w:val="auto"/>
      <w:sz w:val="24"/>
      <w:szCs w:val="20"/>
      <w:lang w:val="es-ES_tradnl" w:eastAsia="es-ES"/>
    </w:rPr>
  </w:style>
  <w:style w:type="character" w:customStyle="1" w:styleId="GvdeMetni3Char">
    <w:name w:val="Gövde Metni 3 Char"/>
    <w:basedOn w:val="VarsaylanParagrafYazTipi"/>
    <w:link w:val="GvdeMetni3"/>
    <w:rsid w:val="00012C37"/>
    <w:rPr>
      <w:rFonts w:ascii="Times New Roman" w:eastAsia="Times New Roman" w:hAnsi="Times New Roman" w:cs="Times New Roman"/>
      <w:b/>
      <w:bCs/>
      <w:snapToGrid w:val="0"/>
      <w:szCs w:val="20"/>
      <w:lang w:val="es-ES_tradnl" w:eastAsia="es-ES"/>
    </w:rPr>
  </w:style>
  <w:style w:type="character" w:customStyle="1" w:styleId="st">
    <w:name w:val="st"/>
    <w:rsid w:val="00AB2CE1"/>
  </w:style>
  <w:style w:type="character" w:customStyle="1" w:styleId="Balk1Char">
    <w:name w:val="Başlık 1 Char"/>
    <w:basedOn w:val="VarsaylanParagrafYazTipi"/>
    <w:link w:val="Balk1"/>
    <w:uiPriority w:val="9"/>
    <w:rsid w:val="0044409E"/>
    <w:rPr>
      <w:rFonts w:ascii="Times New Roman" w:eastAsia="Times New Roman" w:hAnsi="Times New Roman" w:cs="Times New Roman"/>
      <w:b/>
      <w:bCs/>
      <w:kern w:val="36"/>
      <w:sz w:val="48"/>
      <w:szCs w:val="48"/>
      <w:lang w:val="tr-TR" w:eastAsia="tr-TR"/>
    </w:rPr>
  </w:style>
  <w:style w:type="character" w:customStyle="1" w:styleId="title-text">
    <w:name w:val="title-text"/>
    <w:basedOn w:val="VarsaylanParagrafYazTipi"/>
    <w:rsid w:val="0044409E"/>
  </w:style>
  <w:style w:type="character" w:customStyle="1" w:styleId="sr-only">
    <w:name w:val="sr-only"/>
    <w:basedOn w:val="VarsaylanParagrafYazTipi"/>
    <w:rsid w:val="0044409E"/>
  </w:style>
  <w:style w:type="character" w:customStyle="1" w:styleId="text">
    <w:name w:val="text"/>
    <w:basedOn w:val="VarsaylanParagrafYazTipi"/>
    <w:rsid w:val="0044409E"/>
  </w:style>
  <w:style w:type="character" w:customStyle="1" w:styleId="author-ref">
    <w:name w:val="author-ref"/>
    <w:basedOn w:val="VarsaylanParagrafYazTipi"/>
    <w:rsid w:val="0044409E"/>
  </w:style>
  <w:style w:type="character" w:customStyle="1" w:styleId="Balk2Char">
    <w:name w:val="Başlık 2 Char"/>
    <w:basedOn w:val="VarsaylanParagrafYazTipi"/>
    <w:link w:val="Balk2"/>
    <w:uiPriority w:val="9"/>
    <w:semiHidden/>
    <w:rsid w:val="0044409E"/>
    <w:rPr>
      <w:rFonts w:asciiTheme="majorHAnsi" w:eastAsiaTheme="majorEastAsia" w:hAnsiTheme="majorHAnsi" w:cstheme="majorBidi"/>
      <w:color w:val="2F5496" w:themeColor="accent1" w:themeShade="BF"/>
      <w:sz w:val="26"/>
      <w:szCs w:val="26"/>
    </w:rPr>
  </w:style>
  <w:style w:type="paragraph" w:styleId="Kaynaka">
    <w:name w:val="Bibliography"/>
    <w:basedOn w:val="Normal"/>
    <w:next w:val="Normal"/>
    <w:uiPriority w:val="37"/>
    <w:unhideWhenUsed/>
    <w:rsid w:val="001213D0"/>
    <w:pPr>
      <w:spacing w:after="200" w:line="276" w:lineRule="auto"/>
      <w:jc w:val="left"/>
    </w:pPr>
    <w:rPr>
      <w:rFonts w:ascii="Calibri" w:eastAsia="Calibri" w:hAnsi="Calibri" w:cs="Times New Roman"/>
      <w:color w:val="auto"/>
      <w:szCs w:val="22"/>
      <w:lang w:val="tr-TR" w:eastAsia="en-US"/>
    </w:rPr>
  </w:style>
  <w:style w:type="paragraph" w:customStyle="1" w:styleId="YML2019Tablo">
    <w:name w:val="YMLÇ2019 Tablo"/>
    <w:basedOn w:val="Normal"/>
    <w:rsid w:val="00134284"/>
    <w:pPr>
      <w:jc w:val="center"/>
    </w:pPr>
    <w:rPr>
      <w:rFonts w:eastAsia="Times New Roman" w:cs="Times New Roman"/>
      <w:color w:val="auto"/>
      <w:sz w:val="18"/>
      <w:szCs w:val="20"/>
      <w:lang w:val="tr-TR" w:eastAsia="en-US"/>
    </w:rPr>
  </w:style>
  <w:style w:type="character" w:styleId="YerTutucuMetni">
    <w:name w:val="Placeholder Text"/>
    <w:basedOn w:val="VarsaylanParagrafYazTipi"/>
    <w:uiPriority w:val="99"/>
    <w:semiHidden/>
    <w:rsid w:val="0020375C"/>
    <w:rPr>
      <w:color w:val="808080"/>
    </w:rPr>
  </w:style>
  <w:style w:type="paragraph" w:styleId="AralkYok">
    <w:name w:val="No Spacing"/>
    <w:uiPriority w:val="1"/>
    <w:qFormat/>
    <w:rsid w:val="0074029F"/>
    <w:pPr>
      <w:jc w:val="both"/>
    </w:pPr>
    <w:rPr>
      <w:rFonts w:ascii="Times New Roman" w:hAnsi="Times New Roman"/>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3914">
      <w:bodyDiv w:val="1"/>
      <w:marLeft w:val="0"/>
      <w:marRight w:val="0"/>
      <w:marTop w:val="0"/>
      <w:marBottom w:val="0"/>
      <w:divBdr>
        <w:top w:val="none" w:sz="0" w:space="0" w:color="auto"/>
        <w:left w:val="none" w:sz="0" w:space="0" w:color="auto"/>
        <w:bottom w:val="none" w:sz="0" w:space="0" w:color="auto"/>
        <w:right w:val="none" w:sz="0" w:space="0" w:color="auto"/>
      </w:divBdr>
    </w:div>
    <w:div w:id="29688025">
      <w:bodyDiv w:val="1"/>
      <w:marLeft w:val="0"/>
      <w:marRight w:val="0"/>
      <w:marTop w:val="0"/>
      <w:marBottom w:val="0"/>
      <w:divBdr>
        <w:top w:val="none" w:sz="0" w:space="0" w:color="auto"/>
        <w:left w:val="none" w:sz="0" w:space="0" w:color="auto"/>
        <w:bottom w:val="none" w:sz="0" w:space="0" w:color="auto"/>
        <w:right w:val="none" w:sz="0" w:space="0" w:color="auto"/>
      </w:divBdr>
    </w:div>
    <w:div w:id="70126244">
      <w:bodyDiv w:val="1"/>
      <w:marLeft w:val="0"/>
      <w:marRight w:val="0"/>
      <w:marTop w:val="0"/>
      <w:marBottom w:val="0"/>
      <w:divBdr>
        <w:top w:val="none" w:sz="0" w:space="0" w:color="auto"/>
        <w:left w:val="none" w:sz="0" w:space="0" w:color="auto"/>
        <w:bottom w:val="none" w:sz="0" w:space="0" w:color="auto"/>
        <w:right w:val="none" w:sz="0" w:space="0" w:color="auto"/>
      </w:divBdr>
      <w:divsChild>
        <w:div w:id="1131628609">
          <w:marLeft w:val="0"/>
          <w:marRight w:val="0"/>
          <w:marTop w:val="0"/>
          <w:marBottom w:val="0"/>
          <w:divBdr>
            <w:top w:val="none" w:sz="0" w:space="0" w:color="auto"/>
            <w:left w:val="none" w:sz="0" w:space="0" w:color="auto"/>
            <w:bottom w:val="none" w:sz="0" w:space="0" w:color="auto"/>
            <w:right w:val="none" w:sz="0" w:space="0" w:color="auto"/>
          </w:divBdr>
          <w:divsChild>
            <w:div w:id="1700735414">
              <w:marLeft w:val="0"/>
              <w:marRight w:val="0"/>
              <w:marTop w:val="0"/>
              <w:marBottom w:val="0"/>
              <w:divBdr>
                <w:top w:val="none" w:sz="0" w:space="0" w:color="auto"/>
                <w:left w:val="none" w:sz="0" w:space="0" w:color="auto"/>
                <w:bottom w:val="none" w:sz="0" w:space="0" w:color="auto"/>
                <w:right w:val="none" w:sz="0" w:space="0" w:color="auto"/>
              </w:divBdr>
              <w:divsChild>
                <w:div w:id="8133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1885">
      <w:bodyDiv w:val="1"/>
      <w:marLeft w:val="0"/>
      <w:marRight w:val="0"/>
      <w:marTop w:val="0"/>
      <w:marBottom w:val="0"/>
      <w:divBdr>
        <w:top w:val="none" w:sz="0" w:space="0" w:color="auto"/>
        <w:left w:val="none" w:sz="0" w:space="0" w:color="auto"/>
        <w:bottom w:val="none" w:sz="0" w:space="0" w:color="auto"/>
        <w:right w:val="none" w:sz="0" w:space="0" w:color="auto"/>
      </w:divBdr>
    </w:div>
    <w:div w:id="133910969">
      <w:bodyDiv w:val="1"/>
      <w:marLeft w:val="0"/>
      <w:marRight w:val="0"/>
      <w:marTop w:val="0"/>
      <w:marBottom w:val="0"/>
      <w:divBdr>
        <w:top w:val="none" w:sz="0" w:space="0" w:color="auto"/>
        <w:left w:val="none" w:sz="0" w:space="0" w:color="auto"/>
        <w:bottom w:val="none" w:sz="0" w:space="0" w:color="auto"/>
        <w:right w:val="none" w:sz="0" w:space="0" w:color="auto"/>
      </w:divBdr>
    </w:div>
    <w:div w:id="188154140">
      <w:bodyDiv w:val="1"/>
      <w:marLeft w:val="0"/>
      <w:marRight w:val="0"/>
      <w:marTop w:val="0"/>
      <w:marBottom w:val="0"/>
      <w:divBdr>
        <w:top w:val="none" w:sz="0" w:space="0" w:color="auto"/>
        <w:left w:val="none" w:sz="0" w:space="0" w:color="auto"/>
        <w:bottom w:val="none" w:sz="0" w:space="0" w:color="auto"/>
        <w:right w:val="none" w:sz="0" w:space="0" w:color="auto"/>
      </w:divBdr>
    </w:div>
    <w:div w:id="322467256">
      <w:bodyDiv w:val="1"/>
      <w:marLeft w:val="0"/>
      <w:marRight w:val="0"/>
      <w:marTop w:val="0"/>
      <w:marBottom w:val="0"/>
      <w:divBdr>
        <w:top w:val="none" w:sz="0" w:space="0" w:color="auto"/>
        <w:left w:val="none" w:sz="0" w:space="0" w:color="auto"/>
        <w:bottom w:val="none" w:sz="0" w:space="0" w:color="auto"/>
        <w:right w:val="none" w:sz="0" w:space="0" w:color="auto"/>
      </w:divBdr>
    </w:div>
    <w:div w:id="345329511">
      <w:bodyDiv w:val="1"/>
      <w:marLeft w:val="0"/>
      <w:marRight w:val="0"/>
      <w:marTop w:val="0"/>
      <w:marBottom w:val="0"/>
      <w:divBdr>
        <w:top w:val="none" w:sz="0" w:space="0" w:color="auto"/>
        <w:left w:val="none" w:sz="0" w:space="0" w:color="auto"/>
        <w:bottom w:val="none" w:sz="0" w:space="0" w:color="auto"/>
        <w:right w:val="none" w:sz="0" w:space="0" w:color="auto"/>
      </w:divBdr>
    </w:div>
    <w:div w:id="357392614">
      <w:bodyDiv w:val="1"/>
      <w:marLeft w:val="0"/>
      <w:marRight w:val="0"/>
      <w:marTop w:val="0"/>
      <w:marBottom w:val="0"/>
      <w:divBdr>
        <w:top w:val="none" w:sz="0" w:space="0" w:color="auto"/>
        <w:left w:val="none" w:sz="0" w:space="0" w:color="auto"/>
        <w:bottom w:val="none" w:sz="0" w:space="0" w:color="auto"/>
        <w:right w:val="none" w:sz="0" w:space="0" w:color="auto"/>
      </w:divBdr>
    </w:div>
    <w:div w:id="387533552">
      <w:bodyDiv w:val="1"/>
      <w:marLeft w:val="0"/>
      <w:marRight w:val="0"/>
      <w:marTop w:val="0"/>
      <w:marBottom w:val="0"/>
      <w:divBdr>
        <w:top w:val="none" w:sz="0" w:space="0" w:color="auto"/>
        <w:left w:val="none" w:sz="0" w:space="0" w:color="auto"/>
        <w:bottom w:val="none" w:sz="0" w:space="0" w:color="auto"/>
        <w:right w:val="none" w:sz="0" w:space="0" w:color="auto"/>
      </w:divBdr>
      <w:divsChild>
        <w:div w:id="1664893260">
          <w:marLeft w:val="0"/>
          <w:marRight w:val="0"/>
          <w:marTop w:val="0"/>
          <w:marBottom w:val="0"/>
          <w:divBdr>
            <w:top w:val="none" w:sz="0" w:space="0" w:color="auto"/>
            <w:left w:val="none" w:sz="0" w:space="0" w:color="auto"/>
            <w:bottom w:val="none" w:sz="0" w:space="0" w:color="auto"/>
            <w:right w:val="none" w:sz="0" w:space="0" w:color="auto"/>
          </w:divBdr>
          <w:divsChild>
            <w:div w:id="966008533">
              <w:marLeft w:val="0"/>
              <w:marRight w:val="0"/>
              <w:marTop w:val="0"/>
              <w:marBottom w:val="0"/>
              <w:divBdr>
                <w:top w:val="none" w:sz="0" w:space="0" w:color="auto"/>
                <w:left w:val="none" w:sz="0" w:space="0" w:color="auto"/>
                <w:bottom w:val="none" w:sz="0" w:space="0" w:color="auto"/>
                <w:right w:val="none" w:sz="0" w:space="0" w:color="auto"/>
              </w:divBdr>
              <w:divsChild>
                <w:div w:id="194779396">
                  <w:marLeft w:val="0"/>
                  <w:marRight w:val="0"/>
                  <w:marTop w:val="0"/>
                  <w:marBottom w:val="0"/>
                  <w:divBdr>
                    <w:top w:val="none" w:sz="0" w:space="0" w:color="auto"/>
                    <w:left w:val="none" w:sz="0" w:space="0" w:color="auto"/>
                    <w:bottom w:val="none" w:sz="0" w:space="0" w:color="auto"/>
                    <w:right w:val="none" w:sz="0" w:space="0" w:color="auto"/>
                  </w:divBdr>
                  <w:divsChild>
                    <w:div w:id="7274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7962">
      <w:bodyDiv w:val="1"/>
      <w:marLeft w:val="0"/>
      <w:marRight w:val="0"/>
      <w:marTop w:val="0"/>
      <w:marBottom w:val="0"/>
      <w:divBdr>
        <w:top w:val="none" w:sz="0" w:space="0" w:color="auto"/>
        <w:left w:val="none" w:sz="0" w:space="0" w:color="auto"/>
        <w:bottom w:val="none" w:sz="0" w:space="0" w:color="auto"/>
        <w:right w:val="none" w:sz="0" w:space="0" w:color="auto"/>
      </w:divBdr>
      <w:divsChild>
        <w:div w:id="423190695">
          <w:marLeft w:val="0"/>
          <w:marRight w:val="0"/>
          <w:marTop w:val="0"/>
          <w:marBottom w:val="0"/>
          <w:divBdr>
            <w:top w:val="none" w:sz="0" w:space="0" w:color="auto"/>
            <w:left w:val="none" w:sz="0" w:space="0" w:color="auto"/>
            <w:bottom w:val="none" w:sz="0" w:space="0" w:color="auto"/>
            <w:right w:val="none" w:sz="0" w:space="0" w:color="auto"/>
          </w:divBdr>
          <w:divsChild>
            <w:div w:id="1070886577">
              <w:marLeft w:val="0"/>
              <w:marRight w:val="0"/>
              <w:marTop w:val="0"/>
              <w:marBottom w:val="0"/>
              <w:divBdr>
                <w:top w:val="none" w:sz="0" w:space="0" w:color="auto"/>
                <w:left w:val="none" w:sz="0" w:space="0" w:color="auto"/>
                <w:bottom w:val="none" w:sz="0" w:space="0" w:color="auto"/>
                <w:right w:val="none" w:sz="0" w:space="0" w:color="auto"/>
              </w:divBdr>
              <w:divsChild>
                <w:div w:id="11514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44845">
      <w:bodyDiv w:val="1"/>
      <w:marLeft w:val="0"/>
      <w:marRight w:val="0"/>
      <w:marTop w:val="0"/>
      <w:marBottom w:val="0"/>
      <w:divBdr>
        <w:top w:val="none" w:sz="0" w:space="0" w:color="auto"/>
        <w:left w:val="none" w:sz="0" w:space="0" w:color="auto"/>
        <w:bottom w:val="none" w:sz="0" w:space="0" w:color="auto"/>
        <w:right w:val="none" w:sz="0" w:space="0" w:color="auto"/>
      </w:divBdr>
    </w:div>
    <w:div w:id="478956715">
      <w:bodyDiv w:val="1"/>
      <w:marLeft w:val="0"/>
      <w:marRight w:val="0"/>
      <w:marTop w:val="0"/>
      <w:marBottom w:val="0"/>
      <w:divBdr>
        <w:top w:val="none" w:sz="0" w:space="0" w:color="auto"/>
        <w:left w:val="none" w:sz="0" w:space="0" w:color="auto"/>
        <w:bottom w:val="none" w:sz="0" w:space="0" w:color="auto"/>
        <w:right w:val="none" w:sz="0" w:space="0" w:color="auto"/>
      </w:divBdr>
    </w:div>
    <w:div w:id="696347843">
      <w:bodyDiv w:val="1"/>
      <w:marLeft w:val="0"/>
      <w:marRight w:val="0"/>
      <w:marTop w:val="0"/>
      <w:marBottom w:val="0"/>
      <w:divBdr>
        <w:top w:val="none" w:sz="0" w:space="0" w:color="auto"/>
        <w:left w:val="none" w:sz="0" w:space="0" w:color="auto"/>
        <w:bottom w:val="none" w:sz="0" w:space="0" w:color="auto"/>
        <w:right w:val="none" w:sz="0" w:space="0" w:color="auto"/>
      </w:divBdr>
      <w:divsChild>
        <w:div w:id="1025446334">
          <w:marLeft w:val="0"/>
          <w:marRight w:val="0"/>
          <w:marTop w:val="0"/>
          <w:marBottom w:val="0"/>
          <w:divBdr>
            <w:top w:val="none" w:sz="0" w:space="0" w:color="auto"/>
            <w:left w:val="none" w:sz="0" w:space="0" w:color="auto"/>
            <w:bottom w:val="none" w:sz="0" w:space="0" w:color="auto"/>
            <w:right w:val="none" w:sz="0" w:space="0" w:color="auto"/>
          </w:divBdr>
          <w:divsChild>
            <w:div w:id="487093104">
              <w:marLeft w:val="0"/>
              <w:marRight w:val="0"/>
              <w:marTop w:val="0"/>
              <w:marBottom w:val="0"/>
              <w:divBdr>
                <w:top w:val="none" w:sz="0" w:space="0" w:color="auto"/>
                <w:left w:val="none" w:sz="0" w:space="0" w:color="auto"/>
                <w:bottom w:val="none" w:sz="0" w:space="0" w:color="auto"/>
                <w:right w:val="none" w:sz="0" w:space="0" w:color="auto"/>
              </w:divBdr>
              <w:divsChild>
                <w:div w:id="1266426890">
                  <w:marLeft w:val="0"/>
                  <w:marRight w:val="0"/>
                  <w:marTop w:val="0"/>
                  <w:marBottom w:val="0"/>
                  <w:divBdr>
                    <w:top w:val="none" w:sz="0" w:space="0" w:color="auto"/>
                    <w:left w:val="none" w:sz="0" w:space="0" w:color="auto"/>
                    <w:bottom w:val="none" w:sz="0" w:space="0" w:color="auto"/>
                    <w:right w:val="none" w:sz="0" w:space="0" w:color="auto"/>
                  </w:divBdr>
                  <w:divsChild>
                    <w:div w:id="795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887233">
      <w:bodyDiv w:val="1"/>
      <w:marLeft w:val="0"/>
      <w:marRight w:val="0"/>
      <w:marTop w:val="0"/>
      <w:marBottom w:val="0"/>
      <w:divBdr>
        <w:top w:val="none" w:sz="0" w:space="0" w:color="auto"/>
        <w:left w:val="none" w:sz="0" w:space="0" w:color="auto"/>
        <w:bottom w:val="none" w:sz="0" w:space="0" w:color="auto"/>
        <w:right w:val="none" w:sz="0" w:space="0" w:color="auto"/>
      </w:divBdr>
    </w:div>
    <w:div w:id="736786074">
      <w:bodyDiv w:val="1"/>
      <w:marLeft w:val="0"/>
      <w:marRight w:val="0"/>
      <w:marTop w:val="0"/>
      <w:marBottom w:val="0"/>
      <w:divBdr>
        <w:top w:val="none" w:sz="0" w:space="0" w:color="auto"/>
        <w:left w:val="none" w:sz="0" w:space="0" w:color="auto"/>
        <w:bottom w:val="none" w:sz="0" w:space="0" w:color="auto"/>
        <w:right w:val="none" w:sz="0" w:space="0" w:color="auto"/>
      </w:divBdr>
      <w:divsChild>
        <w:div w:id="1427195636">
          <w:marLeft w:val="0"/>
          <w:marRight w:val="0"/>
          <w:marTop w:val="0"/>
          <w:marBottom w:val="0"/>
          <w:divBdr>
            <w:top w:val="none" w:sz="0" w:space="0" w:color="auto"/>
            <w:left w:val="none" w:sz="0" w:space="0" w:color="auto"/>
            <w:bottom w:val="none" w:sz="0" w:space="0" w:color="auto"/>
            <w:right w:val="none" w:sz="0" w:space="0" w:color="auto"/>
          </w:divBdr>
          <w:divsChild>
            <w:div w:id="1858496311">
              <w:marLeft w:val="0"/>
              <w:marRight w:val="0"/>
              <w:marTop w:val="0"/>
              <w:marBottom w:val="0"/>
              <w:divBdr>
                <w:top w:val="none" w:sz="0" w:space="0" w:color="auto"/>
                <w:left w:val="none" w:sz="0" w:space="0" w:color="auto"/>
                <w:bottom w:val="none" w:sz="0" w:space="0" w:color="auto"/>
                <w:right w:val="none" w:sz="0" w:space="0" w:color="auto"/>
              </w:divBdr>
              <w:divsChild>
                <w:div w:id="2525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03302">
      <w:bodyDiv w:val="1"/>
      <w:marLeft w:val="0"/>
      <w:marRight w:val="0"/>
      <w:marTop w:val="0"/>
      <w:marBottom w:val="0"/>
      <w:divBdr>
        <w:top w:val="none" w:sz="0" w:space="0" w:color="auto"/>
        <w:left w:val="none" w:sz="0" w:space="0" w:color="auto"/>
        <w:bottom w:val="none" w:sz="0" w:space="0" w:color="auto"/>
        <w:right w:val="none" w:sz="0" w:space="0" w:color="auto"/>
      </w:divBdr>
    </w:div>
    <w:div w:id="744305627">
      <w:bodyDiv w:val="1"/>
      <w:marLeft w:val="0"/>
      <w:marRight w:val="0"/>
      <w:marTop w:val="0"/>
      <w:marBottom w:val="0"/>
      <w:divBdr>
        <w:top w:val="none" w:sz="0" w:space="0" w:color="auto"/>
        <w:left w:val="none" w:sz="0" w:space="0" w:color="auto"/>
        <w:bottom w:val="none" w:sz="0" w:space="0" w:color="auto"/>
        <w:right w:val="none" w:sz="0" w:space="0" w:color="auto"/>
      </w:divBdr>
      <w:divsChild>
        <w:div w:id="2067607403">
          <w:marLeft w:val="0"/>
          <w:marRight w:val="0"/>
          <w:marTop w:val="0"/>
          <w:marBottom w:val="0"/>
          <w:divBdr>
            <w:top w:val="none" w:sz="0" w:space="0" w:color="auto"/>
            <w:left w:val="none" w:sz="0" w:space="0" w:color="auto"/>
            <w:bottom w:val="none" w:sz="0" w:space="0" w:color="auto"/>
            <w:right w:val="none" w:sz="0" w:space="0" w:color="auto"/>
          </w:divBdr>
          <w:divsChild>
            <w:div w:id="490946297">
              <w:marLeft w:val="0"/>
              <w:marRight w:val="0"/>
              <w:marTop w:val="0"/>
              <w:marBottom w:val="0"/>
              <w:divBdr>
                <w:top w:val="none" w:sz="0" w:space="0" w:color="auto"/>
                <w:left w:val="none" w:sz="0" w:space="0" w:color="auto"/>
                <w:bottom w:val="none" w:sz="0" w:space="0" w:color="auto"/>
                <w:right w:val="none" w:sz="0" w:space="0" w:color="auto"/>
              </w:divBdr>
              <w:divsChild>
                <w:div w:id="106745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3618">
      <w:bodyDiv w:val="1"/>
      <w:marLeft w:val="0"/>
      <w:marRight w:val="0"/>
      <w:marTop w:val="0"/>
      <w:marBottom w:val="0"/>
      <w:divBdr>
        <w:top w:val="none" w:sz="0" w:space="0" w:color="auto"/>
        <w:left w:val="none" w:sz="0" w:space="0" w:color="auto"/>
        <w:bottom w:val="none" w:sz="0" w:space="0" w:color="auto"/>
        <w:right w:val="none" w:sz="0" w:space="0" w:color="auto"/>
      </w:divBdr>
      <w:divsChild>
        <w:div w:id="955208964">
          <w:marLeft w:val="0"/>
          <w:marRight w:val="0"/>
          <w:marTop w:val="0"/>
          <w:marBottom w:val="0"/>
          <w:divBdr>
            <w:top w:val="none" w:sz="0" w:space="0" w:color="auto"/>
            <w:left w:val="none" w:sz="0" w:space="0" w:color="auto"/>
            <w:bottom w:val="none" w:sz="0" w:space="0" w:color="auto"/>
            <w:right w:val="none" w:sz="0" w:space="0" w:color="auto"/>
          </w:divBdr>
          <w:divsChild>
            <w:div w:id="1370380699">
              <w:marLeft w:val="0"/>
              <w:marRight w:val="0"/>
              <w:marTop w:val="0"/>
              <w:marBottom w:val="0"/>
              <w:divBdr>
                <w:top w:val="none" w:sz="0" w:space="0" w:color="auto"/>
                <w:left w:val="none" w:sz="0" w:space="0" w:color="auto"/>
                <w:bottom w:val="none" w:sz="0" w:space="0" w:color="auto"/>
                <w:right w:val="none" w:sz="0" w:space="0" w:color="auto"/>
              </w:divBdr>
              <w:divsChild>
                <w:div w:id="388310438">
                  <w:marLeft w:val="0"/>
                  <w:marRight w:val="0"/>
                  <w:marTop w:val="0"/>
                  <w:marBottom w:val="0"/>
                  <w:divBdr>
                    <w:top w:val="none" w:sz="0" w:space="0" w:color="auto"/>
                    <w:left w:val="none" w:sz="0" w:space="0" w:color="auto"/>
                    <w:bottom w:val="none" w:sz="0" w:space="0" w:color="auto"/>
                    <w:right w:val="none" w:sz="0" w:space="0" w:color="auto"/>
                  </w:divBdr>
                  <w:divsChild>
                    <w:div w:id="6200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763577">
      <w:bodyDiv w:val="1"/>
      <w:marLeft w:val="0"/>
      <w:marRight w:val="0"/>
      <w:marTop w:val="0"/>
      <w:marBottom w:val="0"/>
      <w:divBdr>
        <w:top w:val="none" w:sz="0" w:space="0" w:color="auto"/>
        <w:left w:val="none" w:sz="0" w:space="0" w:color="auto"/>
        <w:bottom w:val="none" w:sz="0" w:space="0" w:color="auto"/>
        <w:right w:val="none" w:sz="0" w:space="0" w:color="auto"/>
      </w:divBdr>
      <w:divsChild>
        <w:div w:id="463935150">
          <w:marLeft w:val="0"/>
          <w:marRight w:val="0"/>
          <w:marTop w:val="0"/>
          <w:marBottom w:val="0"/>
          <w:divBdr>
            <w:top w:val="none" w:sz="0" w:space="0" w:color="auto"/>
            <w:left w:val="none" w:sz="0" w:space="0" w:color="auto"/>
            <w:bottom w:val="none" w:sz="0" w:space="0" w:color="auto"/>
            <w:right w:val="none" w:sz="0" w:space="0" w:color="auto"/>
          </w:divBdr>
          <w:divsChild>
            <w:div w:id="1330061992">
              <w:marLeft w:val="0"/>
              <w:marRight w:val="0"/>
              <w:marTop w:val="0"/>
              <w:marBottom w:val="0"/>
              <w:divBdr>
                <w:top w:val="none" w:sz="0" w:space="0" w:color="auto"/>
                <w:left w:val="none" w:sz="0" w:space="0" w:color="auto"/>
                <w:bottom w:val="none" w:sz="0" w:space="0" w:color="auto"/>
                <w:right w:val="none" w:sz="0" w:space="0" w:color="auto"/>
              </w:divBdr>
              <w:divsChild>
                <w:div w:id="1875726797">
                  <w:marLeft w:val="0"/>
                  <w:marRight w:val="0"/>
                  <w:marTop w:val="0"/>
                  <w:marBottom w:val="0"/>
                  <w:divBdr>
                    <w:top w:val="none" w:sz="0" w:space="0" w:color="auto"/>
                    <w:left w:val="none" w:sz="0" w:space="0" w:color="auto"/>
                    <w:bottom w:val="none" w:sz="0" w:space="0" w:color="auto"/>
                    <w:right w:val="none" w:sz="0" w:space="0" w:color="auto"/>
                  </w:divBdr>
                  <w:divsChild>
                    <w:div w:id="5826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2819">
      <w:bodyDiv w:val="1"/>
      <w:marLeft w:val="0"/>
      <w:marRight w:val="0"/>
      <w:marTop w:val="0"/>
      <w:marBottom w:val="0"/>
      <w:divBdr>
        <w:top w:val="none" w:sz="0" w:space="0" w:color="auto"/>
        <w:left w:val="none" w:sz="0" w:space="0" w:color="auto"/>
        <w:bottom w:val="none" w:sz="0" w:space="0" w:color="auto"/>
        <w:right w:val="none" w:sz="0" w:space="0" w:color="auto"/>
      </w:divBdr>
      <w:divsChild>
        <w:div w:id="1365472896">
          <w:marLeft w:val="0"/>
          <w:marRight w:val="0"/>
          <w:marTop w:val="0"/>
          <w:marBottom w:val="0"/>
          <w:divBdr>
            <w:top w:val="none" w:sz="0" w:space="0" w:color="auto"/>
            <w:left w:val="none" w:sz="0" w:space="0" w:color="auto"/>
            <w:bottom w:val="none" w:sz="0" w:space="0" w:color="auto"/>
            <w:right w:val="none" w:sz="0" w:space="0" w:color="auto"/>
          </w:divBdr>
          <w:divsChild>
            <w:div w:id="1022512903">
              <w:marLeft w:val="0"/>
              <w:marRight w:val="0"/>
              <w:marTop w:val="0"/>
              <w:marBottom w:val="0"/>
              <w:divBdr>
                <w:top w:val="none" w:sz="0" w:space="0" w:color="auto"/>
                <w:left w:val="none" w:sz="0" w:space="0" w:color="auto"/>
                <w:bottom w:val="none" w:sz="0" w:space="0" w:color="auto"/>
                <w:right w:val="none" w:sz="0" w:space="0" w:color="auto"/>
              </w:divBdr>
              <w:divsChild>
                <w:div w:id="11475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03216">
      <w:bodyDiv w:val="1"/>
      <w:marLeft w:val="0"/>
      <w:marRight w:val="0"/>
      <w:marTop w:val="0"/>
      <w:marBottom w:val="0"/>
      <w:divBdr>
        <w:top w:val="none" w:sz="0" w:space="0" w:color="auto"/>
        <w:left w:val="none" w:sz="0" w:space="0" w:color="auto"/>
        <w:bottom w:val="none" w:sz="0" w:space="0" w:color="auto"/>
        <w:right w:val="none" w:sz="0" w:space="0" w:color="auto"/>
      </w:divBdr>
      <w:divsChild>
        <w:div w:id="1706056398">
          <w:marLeft w:val="0"/>
          <w:marRight w:val="0"/>
          <w:marTop w:val="0"/>
          <w:marBottom w:val="0"/>
          <w:divBdr>
            <w:top w:val="none" w:sz="0" w:space="0" w:color="auto"/>
            <w:left w:val="none" w:sz="0" w:space="0" w:color="auto"/>
            <w:bottom w:val="none" w:sz="0" w:space="0" w:color="auto"/>
            <w:right w:val="none" w:sz="0" w:space="0" w:color="auto"/>
          </w:divBdr>
          <w:divsChild>
            <w:div w:id="1841701059">
              <w:marLeft w:val="0"/>
              <w:marRight w:val="0"/>
              <w:marTop w:val="0"/>
              <w:marBottom w:val="0"/>
              <w:divBdr>
                <w:top w:val="none" w:sz="0" w:space="0" w:color="auto"/>
                <w:left w:val="none" w:sz="0" w:space="0" w:color="auto"/>
                <w:bottom w:val="none" w:sz="0" w:space="0" w:color="auto"/>
                <w:right w:val="none" w:sz="0" w:space="0" w:color="auto"/>
              </w:divBdr>
              <w:divsChild>
                <w:div w:id="1381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05556">
      <w:bodyDiv w:val="1"/>
      <w:marLeft w:val="0"/>
      <w:marRight w:val="0"/>
      <w:marTop w:val="0"/>
      <w:marBottom w:val="0"/>
      <w:divBdr>
        <w:top w:val="none" w:sz="0" w:space="0" w:color="auto"/>
        <w:left w:val="none" w:sz="0" w:space="0" w:color="auto"/>
        <w:bottom w:val="none" w:sz="0" w:space="0" w:color="auto"/>
        <w:right w:val="none" w:sz="0" w:space="0" w:color="auto"/>
      </w:divBdr>
    </w:div>
    <w:div w:id="1107844859">
      <w:bodyDiv w:val="1"/>
      <w:marLeft w:val="0"/>
      <w:marRight w:val="0"/>
      <w:marTop w:val="0"/>
      <w:marBottom w:val="0"/>
      <w:divBdr>
        <w:top w:val="none" w:sz="0" w:space="0" w:color="auto"/>
        <w:left w:val="none" w:sz="0" w:space="0" w:color="auto"/>
        <w:bottom w:val="none" w:sz="0" w:space="0" w:color="auto"/>
        <w:right w:val="none" w:sz="0" w:space="0" w:color="auto"/>
      </w:divBdr>
      <w:divsChild>
        <w:div w:id="247470097">
          <w:marLeft w:val="0"/>
          <w:marRight w:val="0"/>
          <w:marTop w:val="0"/>
          <w:marBottom w:val="0"/>
          <w:divBdr>
            <w:top w:val="none" w:sz="0" w:space="0" w:color="auto"/>
            <w:left w:val="none" w:sz="0" w:space="0" w:color="auto"/>
            <w:bottom w:val="none" w:sz="0" w:space="0" w:color="auto"/>
            <w:right w:val="none" w:sz="0" w:space="0" w:color="auto"/>
          </w:divBdr>
          <w:divsChild>
            <w:div w:id="1770002254">
              <w:marLeft w:val="0"/>
              <w:marRight w:val="0"/>
              <w:marTop w:val="0"/>
              <w:marBottom w:val="0"/>
              <w:divBdr>
                <w:top w:val="none" w:sz="0" w:space="0" w:color="auto"/>
                <w:left w:val="none" w:sz="0" w:space="0" w:color="auto"/>
                <w:bottom w:val="none" w:sz="0" w:space="0" w:color="auto"/>
                <w:right w:val="none" w:sz="0" w:space="0" w:color="auto"/>
              </w:divBdr>
              <w:divsChild>
                <w:div w:id="14489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2297">
      <w:bodyDiv w:val="1"/>
      <w:marLeft w:val="0"/>
      <w:marRight w:val="0"/>
      <w:marTop w:val="0"/>
      <w:marBottom w:val="0"/>
      <w:divBdr>
        <w:top w:val="none" w:sz="0" w:space="0" w:color="auto"/>
        <w:left w:val="none" w:sz="0" w:space="0" w:color="auto"/>
        <w:bottom w:val="none" w:sz="0" w:space="0" w:color="auto"/>
        <w:right w:val="none" w:sz="0" w:space="0" w:color="auto"/>
      </w:divBdr>
    </w:div>
    <w:div w:id="1177648430">
      <w:bodyDiv w:val="1"/>
      <w:marLeft w:val="0"/>
      <w:marRight w:val="0"/>
      <w:marTop w:val="0"/>
      <w:marBottom w:val="0"/>
      <w:divBdr>
        <w:top w:val="none" w:sz="0" w:space="0" w:color="auto"/>
        <w:left w:val="none" w:sz="0" w:space="0" w:color="auto"/>
        <w:bottom w:val="none" w:sz="0" w:space="0" w:color="auto"/>
        <w:right w:val="none" w:sz="0" w:space="0" w:color="auto"/>
      </w:divBdr>
      <w:divsChild>
        <w:div w:id="1180239337">
          <w:marLeft w:val="0"/>
          <w:marRight w:val="0"/>
          <w:marTop w:val="0"/>
          <w:marBottom w:val="0"/>
          <w:divBdr>
            <w:top w:val="none" w:sz="0" w:space="0" w:color="auto"/>
            <w:left w:val="none" w:sz="0" w:space="0" w:color="auto"/>
            <w:bottom w:val="none" w:sz="0" w:space="0" w:color="auto"/>
            <w:right w:val="none" w:sz="0" w:space="0" w:color="auto"/>
          </w:divBdr>
          <w:divsChild>
            <w:div w:id="1746996193">
              <w:marLeft w:val="0"/>
              <w:marRight w:val="0"/>
              <w:marTop w:val="0"/>
              <w:marBottom w:val="0"/>
              <w:divBdr>
                <w:top w:val="none" w:sz="0" w:space="0" w:color="auto"/>
                <w:left w:val="none" w:sz="0" w:space="0" w:color="auto"/>
                <w:bottom w:val="none" w:sz="0" w:space="0" w:color="auto"/>
                <w:right w:val="none" w:sz="0" w:space="0" w:color="auto"/>
              </w:divBdr>
              <w:divsChild>
                <w:div w:id="678701665">
                  <w:marLeft w:val="0"/>
                  <w:marRight w:val="0"/>
                  <w:marTop w:val="0"/>
                  <w:marBottom w:val="0"/>
                  <w:divBdr>
                    <w:top w:val="none" w:sz="0" w:space="0" w:color="auto"/>
                    <w:left w:val="none" w:sz="0" w:space="0" w:color="auto"/>
                    <w:bottom w:val="none" w:sz="0" w:space="0" w:color="auto"/>
                    <w:right w:val="none" w:sz="0" w:space="0" w:color="auto"/>
                  </w:divBdr>
                  <w:divsChild>
                    <w:div w:id="20164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983653">
      <w:bodyDiv w:val="1"/>
      <w:marLeft w:val="0"/>
      <w:marRight w:val="0"/>
      <w:marTop w:val="0"/>
      <w:marBottom w:val="0"/>
      <w:divBdr>
        <w:top w:val="none" w:sz="0" w:space="0" w:color="auto"/>
        <w:left w:val="none" w:sz="0" w:space="0" w:color="auto"/>
        <w:bottom w:val="none" w:sz="0" w:space="0" w:color="auto"/>
        <w:right w:val="none" w:sz="0" w:space="0" w:color="auto"/>
      </w:divBdr>
    </w:div>
    <w:div w:id="1272320052">
      <w:bodyDiv w:val="1"/>
      <w:marLeft w:val="0"/>
      <w:marRight w:val="0"/>
      <w:marTop w:val="0"/>
      <w:marBottom w:val="0"/>
      <w:divBdr>
        <w:top w:val="none" w:sz="0" w:space="0" w:color="auto"/>
        <w:left w:val="none" w:sz="0" w:space="0" w:color="auto"/>
        <w:bottom w:val="none" w:sz="0" w:space="0" w:color="auto"/>
        <w:right w:val="none" w:sz="0" w:space="0" w:color="auto"/>
      </w:divBdr>
      <w:divsChild>
        <w:div w:id="1816222274">
          <w:marLeft w:val="0"/>
          <w:marRight w:val="0"/>
          <w:marTop w:val="0"/>
          <w:marBottom w:val="0"/>
          <w:divBdr>
            <w:top w:val="none" w:sz="0" w:space="0" w:color="auto"/>
            <w:left w:val="none" w:sz="0" w:space="0" w:color="auto"/>
            <w:bottom w:val="none" w:sz="0" w:space="0" w:color="auto"/>
            <w:right w:val="none" w:sz="0" w:space="0" w:color="auto"/>
          </w:divBdr>
          <w:divsChild>
            <w:div w:id="1876964058">
              <w:marLeft w:val="0"/>
              <w:marRight w:val="0"/>
              <w:marTop w:val="0"/>
              <w:marBottom w:val="0"/>
              <w:divBdr>
                <w:top w:val="none" w:sz="0" w:space="0" w:color="auto"/>
                <w:left w:val="none" w:sz="0" w:space="0" w:color="auto"/>
                <w:bottom w:val="none" w:sz="0" w:space="0" w:color="auto"/>
                <w:right w:val="none" w:sz="0" w:space="0" w:color="auto"/>
              </w:divBdr>
              <w:divsChild>
                <w:div w:id="164377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963609">
      <w:bodyDiv w:val="1"/>
      <w:marLeft w:val="0"/>
      <w:marRight w:val="0"/>
      <w:marTop w:val="0"/>
      <w:marBottom w:val="0"/>
      <w:divBdr>
        <w:top w:val="none" w:sz="0" w:space="0" w:color="auto"/>
        <w:left w:val="none" w:sz="0" w:space="0" w:color="auto"/>
        <w:bottom w:val="none" w:sz="0" w:space="0" w:color="auto"/>
        <w:right w:val="none" w:sz="0" w:space="0" w:color="auto"/>
      </w:divBdr>
    </w:div>
    <w:div w:id="1415127406">
      <w:bodyDiv w:val="1"/>
      <w:marLeft w:val="0"/>
      <w:marRight w:val="0"/>
      <w:marTop w:val="0"/>
      <w:marBottom w:val="0"/>
      <w:divBdr>
        <w:top w:val="none" w:sz="0" w:space="0" w:color="auto"/>
        <w:left w:val="none" w:sz="0" w:space="0" w:color="auto"/>
        <w:bottom w:val="none" w:sz="0" w:space="0" w:color="auto"/>
        <w:right w:val="none" w:sz="0" w:space="0" w:color="auto"/>
      </w:divBdr>
    </w:div>
    <w:div w:id="1445265613">
      <w:bodyDiv w:val="1"/>
      <w:marLeft w:val="0"/>
      <w:marRight w:val="0"/>
      <w:marTop w:val="0"/>
      <w:marBottom w:val="0"/>
      <w:divBdr>
        <w:top w:val="none" w:sz="0" w:space="0" w:color="auto"/>
        <w:left w:val="none" w:sz="0" w:space="0" w:color="auto"/>
        <w:bottom w:val="none" w:sz="0" w:space="0" w:color="auto"/>
        <w:right w:val="none" w:sz="0" w:space="0" w:color="auto"/>
      </w:divBdr>
      <w:divsChild>
        <w:div w:id="499153200">
          <w:marLeft w:val="0"/>
          <w:marRight w:val="0"/>
          <w:marTop w:val="0"/>
          <w:marBottom w:val="0"/>
          <w:divBdr>
            <w:top w:val="none" w:sz="0" w:space="0" w:color="auto"/>
            <w:left w:val="none" w:sz="0" w:space="0" w:color="auto"/>
            <w:bottom w:val="none" w:sz="0" w:space="0" w:color="auto"/>
            <w:right w:val="none" w:sz="0" w:space="0" w:color="auto"/>
          </w:divBdr>
          <w:divsChild>
            <w:div w:id="94985090">
              <w:marLeft w:val="0"/>
              <w:marRight w:val="0"/>
              <w:marTop w:val="0"/>
              <w:marBottom w:val="0"/>
              <w:divBdr>
                <w:top w:val="none" w:sz="0" w:space="0" w:color="auto"/>
                <w:left w:val="none" w:sz="0" w:space="0" w:color="auto"/>
                <w:bottom w:val="none" w:sz="0" w:space="0" w:color="auto"/>
                <w:right w:val="none" w:sz="0" w:space="0" w:color="auto"/>
              </w:divBdr>
              <w:divsChild>
                <w:div w:id="9034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84184">
      <w:bodyDiv w:val="1"/>
      <w:marLeft w:val="0"/>
      <w:marRight w:val="0"/>
      <w:marTop w:val="0"/>
      <w:marBottom w:val="0"/>
      <w:divBdr>
        <w:top w:val="none" w:sz="0" w:space="0" w:color="auto"/>
        <w:left w:val="none" w:sz="0" w:space="0" w:color="auto"/>
        <w:bottom w:val="none" w:sz="0" w:space="0" w:color="auto"/>
        <w:right w:val="none" w:sz="0" w:space="0" w:color="auto"/>
      </w:divBdr>
      <w:divsChild>
        <w:div w:id="911231133">
          <w:marLeft w:val="0"/>
          <w:marRight w:val="0"/>
          <w:marTop w:val="0"/>
          <w:marBottom w:val="150"/>
          <w:divBdr>
            <w:top w:val="none" w:sz="0" w:space="0" w:color="auto"/>
            <w:left w:val="none" w:sz="0" w:space="0" w:color="auto"/>
            <w:bottom w:val="none" w:sz="0" w:space="0" w:color="auto"/>
            <w:right w:val="none" w:sz="0" w:space="0" w:color="auto"/>
          </w:divBdr>
        </w:div>
        <w:div w:id="1476022353">
          <w:marLeft w:val="0"/>
          <w:marRight w:val="0"/>
          <w:marTop w:val="0"/>
          <w:marBottom w:val="225"/>
          <w:divBdr>
            <w:top w:val="none" w:sz="0" w:space="0" w:color="auto"/>
            <w:left w:val="none" w:sz="0" w:space="0" w:color="auto"/>
            <w:bottom w:val="none" w:sz="0" w:space="0" w:color="auto"/>
            <w:right w:val="none" w:sz="0" w:space="0" w:color="auto"/>
          </w:divBdr>
        </w:div>
      </w:divsChild>
    </w:div>
    <w:div w:id="1493377977">
      <w:bodyDiv w:val="1"/>
      <w:marLeft w:val="0"/>
      <w:marRight w:val="0"/>
      <w:marTop w:val="0"/>
      <w:marBottom w:val="0"/>
      <w:divBdr>
        <w:top w:val="none" w:sz="0" w:space="0" w:color="auto"/>
        <w:left w:val="none" w:sz="0" w:space="0" w:color="auto"/>
        <w:bottom w:val="none" w:sz="0" w:space="0" w:color="auto"/>
        <w:right w:val="none" w:sz="0" w:space="0" w:color="auto"/>
      </w:divBdr>
      <w:divsChild>
        <w:div w:id="1600601798">
          <w:marLeft w:val="0"/>
          <w:marRight w:val="0"/>
          <w:marTop w:val="0"/>
          <w:marBottom w:val="0"/>
          <w:divBdr>
            <w:top w:val="none" w:sz="0" w:space="0" w:color="auto"/>
            <w:left w:val="none" w:sz="0" w:space="0" w:color="auto"/>
            <w:bottom w:val="none" w:sz="0" w:space="0" w:color="auto"/>
            <w:right w:val="none" w:sz="0" w:space="0" w:color="auto"/>
          </w:divBdr>
          <w:divsChild>
            <w:div w:id="86115941">
              <w:marLeft w:val="0"/>
              <w:marRight w:val="0"/>
              <w:marTop w:val="0"/>
              <w:marBottom w:val="0"/>
              <w:divBdr>
                <w:top w:val="none" w:sz="0" w:space="0" w:color="auto"/>
                <w:left w:val="none" w:sz="0" w:space="0" w:color="auto"/>
                <w:bottom w:val="none" w:sz="0" w:space="0" w:color="auto"/>
                <w:right w:val="none" w:sz="0" w:space="0" w:color="auto"/>
              </w:divBdr>
              <w:divsChild>
                <w:div w:id="2628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488">
      <w:bodyDiv w:val="1"/>
      <w:marLeft w:val="0"/>
      <w:marRight w:val="0"/>
      <w:marTop w:val="0"/>
      <w:marBottom w:val="0"/>
      <w:divBdr>
        <w:top w:val="none" w:sz="0" w:space="0" w:color="auto"/>
        <w:left w:val="none" w:sz="0" w:space="0" w:color="auto"/>
        <w:bottom w:val="none" w:sz="0" w:space="0" w:color="auto"/>
        <w:right w:val="none" w:sz="0" w:space="0" w:color="auto"/>
      </w:divBdr>
      <w:divsChild>
        <w:div w:id="1089161106">
          <w:marLeft w:val="0"/>
          <w:marRight w:val="0"/>
          <w:marTop w:val="0"/>
          <w:marBottom w:val="0"/>
          <w:divBdr>
            <w:top w:val="none" w:sz="0" w:space="0" w:color="auto"/>
            <w:left w:val="none" w:sz="0" w:space="0" w:color="auto"/>
            <w:bottom w:val="none" w:sz="0" w:space="0" w:color="auto"/>
            <w:right w:val="none" w:sz="0" w:space="0" w:color="auto"/>
          </w:divBdr>
          <w:divsChild>
            <w:div w:id="156700011">
              <w:marLeft w:val="0"/>
              <w:marRight w:val="0"/>
              <w:marTop w:val="0"/>
              <w:marBottom w:val="0"/>
              <w:divBdr>
                <w:top w:val="none" w:sz="0" w:space="0" w:color="auto"/>
                <w:left w:val="none" w:sz="0" w:space="0" w:color="auto"/>
                <w:bottom w:val="none" w:sz="0" w:space="0" w:color="auto"/>
                <w:right w:val="none" w:sz="0" w:space="0" w:color="auto"/>
              </w:divBdr>
              <w:divsChild>
                <w:div w:id="13437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973305">
      <w:bodyDiv w:val="1"/>
      <w:marLeft w:val="0"/>
      <w:marRight w:val="0"/>
      <w:marTop w:val="0"/>
      <w:marBottom w:val="0"/>
      <w:divBdr>
        <w:top w:val="none" w:sz="0" w:space="0" w:color="auto"/>
        <w:left w:val="none" w:sz="0" w:space="0" w:color="auto"/>
        <w:bottom w:val="none" w:sz="0" w:space="0" w:color="auto"/>
        <w:right w:val="none" w:sz="0" w:space="0" w:color="auto"/>
      </w:divBdr>
      <w:divsChild>
        <w:div w:id="1608345052">
          <w:marLeft w:val="0"/>
          <w:marRight w:val="0"/>
          <w:marTop w:val="0"/>
          <w:marBottom w:val="0"/>
          <w:divBdr>
            <w:top w:val="none" w:sz="0" w:space="0" w:color="auto"/>
            <w:left w:val="none" w:sz="0" w:space="0" w:color="auto"/>
            <w:bottom w:val="none" w:sz="0" w:space="0" w:color="auto"/>
            <w:right w:val="none" w:sz="0" w:space="0" w:color="auto"/>
          </w:divBdr>
          <w:divsChild>
            <w:div w:id="1349061772">
              <w:marLeft w:val="0"/>
              <w:marRight w:val="0"/>
              <w:marTop w:val="0"/>
              <w:marBottom w:val="0"/>
              <w:divBdr>
                <w:top w:val="none" w:sz="0" w:space="0" w:color="auto"/>
                <w:left w:val="none" w:sz="0" w:space="0" w:color="auto"/>
                <w:bottom w:val="none" w:sz="0" w:space="0" w:color="auto"/>
                <w:right w:val="none" w:sz="0" w:space="0" w:color="auto"/>
              </w:divBdr>
              <w:divsChild>
                <w:div w:id="19491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372713">
      <w:bodyDiv w:val="1"/>
      <w:marLeft w:val="0"/>
      <w:marRight w:val="0"/>
      <w:marTop w:val="0"/>
      <w:marBottom w:val="0"/>
      <w:divBdr>
        <w:top w:val="none" w:sz="0" w:space="0" w:color="auto"/>
        <w:left w:val="none" w:sz="0" w:space="0" w:color="auto"/>
        <w:bottom w:val="none" w:sz="0" w:space="0" w:color="auto"/>
        <w:right w:val="none" w:sz="0" w:space="0" w:color="auto"/>
      </w:divBdr>
    </w:div>
    <w:div w:id="1591623976">
      <w:bodyDiv w:val="1"/>
      <w:marLeft w:val="0"/>
      <w:marRight w:val="0"/>
      <w:marTop w:val="0"/>
      <w:marBottom w:val="0"/>
      <w:divBdr>
        <w:top w:val="none" w:sz="0" w:space="0" w:color="auto"/>
        <w:left w:val="none" w:sz="0" w:space="0" w:color="auto"/>
        <w:bottom w:val="none" w:sz="0" w:space="0" w:color="auto"/>
        <w:right w:val="none" w:sz="0" w:space="0" w:color="auto"/>
      </w:divBdr>
    </w:div>
    <w:div w:id="1740514273">
      <w:bodyDiv w:val="1"/>
      <w:marLeft w:val="0"/>
      <w:marRight w:val="0"/>
      <w:marTop w:val="0"/>
      <w:marBottom w:val="0"/>
      <w:divBdr>
        <w:top w:val="none" w:sz="0" w:space="0" w:color="auto"/>
        <w:left w:val="none" w:sz="0" w:space="0" w:color="auto"/>
        <w:bottom w:val="none" w:sz="0" w:space="0" w:color="auto"/>
        <w:right w:val="none" w:sz="0" w:space="0" w:color="auto"/>
      </w:divBdr>
    </w:div>
    <w:div w:id="1744789064">
      <w:bodyDiv w:val="1"/>
      <w:marLeft w:val="0"/>
      <w:marRight w:val="0"/>
      <w:marTop w:val="0"/>
      <w:marBottom w:val="0"/>
      <w:divBdr>
        <w:top w:val="none" w:sz="0" w:space="0" w:color="auto"/>
        <w:left w:val="none" w:sz="0" w:space="0" w:color="auto"/>
        <w:bottom w:val="none" w:sz="0" w:space="0" w:color="auto"/>
        <w:right w:val="none" w:sz="0" w:space="0" w:color="auto"/>
      </w:divBdr>
    </w:div>
    <w:div w:id="1792242282">
      <w:bodyDiv w:val="1"/>
      <w:marLeft w:val="0"/>
      <w:marRight w:val="0"/>
      <w:marTop w:val="0"/>
      <w:marBottom w:val="0"/>
      <w:divBdr>
        <w:top w:val="none" w:sz="0" w:space="0" w:color="auto"/>
        <w:left w:val="none" w:sz="0" w:space="0" w:color="auto"/>
        <w:bottom w:val="none" w:sz="0" w:space="0" w:color="auto"/>
        <w:right w:val="none" w:sz="0" w:space="0" w:color="auto"/>
      </w:divBdr>
      <w:divsChild>
        <w:div w:id="173958851">
          <w:marLeft w:val="0"/>
          <w:marRight w:val="0"/>
          <w:marTop w:val="0"/>
          <w:marBottom w:val="0"/>
          <w:divBdr>
            <w:top w:val="none" w:sz="0" w:space="0" w:color="auto"/>
            <w:left w:val="none" w:sz="0" w:space="0" w:color="auto"/>
            <w:bottom w:val="none" w:sz="0" w:space="0" w:color="auto"/>
            <w:right w:val="none" w:sz="0" w:space="0" w:color="auto"/>
          </w:divBdr>
          <w:divsChild>
            <w:div w:id="415326472">
              <w:marLeft w:val="0"/>
              <w:marRight w:val="0"/>
              <w:marTop w:val="0"/>
              <w:marBottom w:val="0"/>
              <w:divBdr>
                <w:top w:val="none" w:sz="0" w:space="0" w:color="auto"/>
                <w:left w:val="none" w:sz="0" w:space="0" w:color="auto"/>
                <w:bottom w:val="none" w:sz="0" w:space="0" w:color="auto"/>
                <w:right w:val="none" w:sz="0" w:space="0" w:color="auto"/>
              </w:divBdr>
              <w:divsChild>
                <w:div w:id="1969585932">
                  <w:marLeft w:val="0"/>
                  <w:marRight w:val="0"/>
                  <w:marTop w:val="0"/>
                  <w:marBottom w:val="0"/>
                  <w:divBdr>
                    <w:top w:val="none" w:sz="0" w:space="0" w:color="auto"/>
                    <w:left w:val="none" w:sz="0" w:space="0" w:color="auto"/>
                    <w:bottom w:val="none" w:sz="0" w:space="0" w:color="auto"/>
                    <w:right w:val="none" w:sz="0" w:space="0" w:color="auto"/>
                  </w:divBdr>
                  <w:divsChild>
                    <w:div w:id="15624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92303">
      <w:bodyDiv w:val="1"/>
      <w:marLeft w:val="0"/>
      <w:marRight w:val="0"/>
      <w:marTop w:val="0"/>
      <w:marBottom w:val="0"/>
      <w:divBdr>
        <w:top w:val="none" w:sz="0" w:space="0" w:color="auto"/>
        <w:left w:val="none" w:sz="0" w:space="0" w:color="auto"/>
        <w:bottom w:val="none" w:sz="0" w:space="0" w:color="auto"/>
        <w:right w:val="none" w:sz="0" w:space="0" w:color="auto"/>
      </w:divBdr>
      <w:divsChild>
        <w:div w:id="1979147654">
          <w:marLeft w:val="0"/>
          <w:marRight w:val="0"/>
          <w:marTop w:val="0"/>
          <w:marBottom w:val="120"/>
          <w:divBdr>
            <w:top w:val="none" w:sz="0" w:space="0" w:color="auto"/>
            <w:left w:val="none" w:sz="0" w:space="0" w:color="auto"/>
            <w:bottom w:val="none" w:sz="0" w:space="0" w:color="auto"/>
            <w:right w:val="none" w:sz="0" w:space="0" w:color="auto"/>
          </w:divBdr>
          <w:divsChild>
            <w:div w:id="1536308311">
              <w:marLeft w:val="0"/>
              <w:marRight w:val="0"/>
              <w:marTop w:val="0"/>
              <w:marBottom w:val="0"/>
              <w:divBdr>
                <w:top w:val="none" w:sz="0" w:space="0" w:color="auto"/>
                <w:left w:val="none" w:sz="0" w:space="0" w:color="auto"/>
                <w:bottom w:val="none" w:sz="0" w:space="0" w:color="auto"/>
                <w:right w:val="none" w:sz="0" w:space="0" w:color="auto"/>
              </w:divBdr>
              <w:divsChild>
                <w:div w:id="1565874865">
                  <w:marLeft w:val="0"/>
                  <w:marRight w:val="0"/>
                  <w:marTop w:val="0"/>
                  <w:marBottom w:val="0"/>
                  <w:divBdr>
                    <w:top w:val="none" w:sz="0" w:space="0" w:color="auto"/>
                    <w:left w:val="none" w:sz="0" w:space="0" w:color="auto"/>
                    <w:bottom w:val="none" w:sz="0" w:space="0" w:color="auto"/>
                    <w:right w:val="none" w:sz="0" w:space="0" w:color="auto"/>
                  </w:divBdr>
                  <w:divsChild>
                    <w:div w:id="732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18392">
      <w:bodyDiv w:val="1"/>
      <w:marLeft w:val="0"/>
      <w:marRight w:val="0"/>
      <w:marTop w:val="0"/>
      <w:marBottom w:val="0"/>
      <w:divBdr>
        <w:top w:val="none" w:sz="0" w:space="0" w:color="auto"/>
        <w:left w:val="none" w:sz="0" w:space="0" w:color="auto"/>
        <w:bottom w:val="none" w:sz="0" w:space="0" w:color="auto"/>
        <w:right w:val="none" w:sz="0" w:space="0" w:color="auto"/>
      </w:divBdr>
      <w:divsChild>
        <w:div w:id="1857570810">
          <w:marLeft w:val="0"/>
          <w:marRight w:val="0"/>
          <w:marTop w:val="0"/>
          <w:marBottom w:val="0"/>
          <w:divBdr>
            <w:top w:val="none" w:sz="0" w:space="0" w:color="auto"/>
            <w:left w:val="none" w:sz="0" w:space="0" w:color="auto"/>
            <w:bottom w:val="none" w:sz="0" w:space="0" w:color="auto"/>
            <w:right w:val="none" w:sz="0" w:space="0" w:color="auto"/>
          </w:divBdr>
          <w:divsChild>
            <w:div w:id="105931245">
              <w:marLeft w:val="0"/>
              <w:marRight w:val="0"/>
              <w:marTop w:val="0"/>
              <w:marBottom w:val="0"/>
              <w:divBdr>
                <w:top w:val="none" w:sz="0" w:space="0" w:color="auto"/>
                <w:left w:val="none" w:sz="0" w:space="0" w:color="auto"/>
                <w:bottom w:val="none" w:sz="0" w:space="0" w:color="auto"/>
                <w:right w:val="none" w:sz="0" w:space="0" w:color="auto"/>
              </w:divBdr>
              <w:divsChild>
                <w:div w:id="668602709">
                  <w:marLeft w:val="0"/>
                  <w:marRight w:val="0"/>
                  <w:marTop w:val="0"/>
                  <w:marBottom w:val="0"/>
                  <w:divBdr>
                    <w:top w:val="none" w:sz="0" w:space="0" w:color="auto"/>
                    <w:left w:val="none" w:sz="0" w:space="0" w:color="auto"/>
                    <w:bottom w:val="none" w:sz="0" w:space="0" w:color="auto"/>
                    <w:right w:val="none" w:sz="0" w:space="0" w:color="auto"/>
                  </w:divBdr>
                  <w:divsChild>
                    <w:div w:id="19183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390923">
      <w:bodyDiv w:val="1"/>
      <w:marLeft w:val="0"/>
      <w:marRight w:val="0"/>
      <w:marTop w:val="0"/>
      <w:marBottom w:val="0"/>
      <w:divBdr>
        <w:top w:val="none" w:sz="0" w:space="0" w:color="auto"/>
        <w:left w:val="none" w:sz="0" w:space="0" w:color="auto"/>
        <w:bottom w:val="none" w:sz="0" w:space="0" w:color="auto"/>
        <w:right w:val="none" w:sz="0" w:space="0" w:color="auto"/>
      </w:divBdr>
      <w:divsChild>
        <w:div w:id="1676149850">
          <w:marLeft w:val="0"/>
          <w:marRight w:val="0"/>
          <w:marTop w:val="0"/>
          <w:marBottom w:val="0"/>
          <w:divBdr>
            <w:top w:val="none" w:sz="0" w:space="0" w:color="auto"/>
            <w:left w:val="none" w:sz="0" w:space="0" w:color="auto"/>
            <w:bottom w:val="none" w:sz="0" w:space="0" w:color="auto"/>
            <w:right w:val="none" w:sz="0" w:space="0" w:color="auto"/>
          </w:divBdr>
          <w:divsChild>
            <w:div w:id="403994828">
              <w:marLeft w:val="0"/>
              <w:marRight w:val="0"/>
              <w:marTop w:val="0"/>
              <w:marBottom w:val="0"/>
              <w:divBdr>
                <w:top w:val="none" w:sz="0" w:space="0" w:color="auto"/>
                <w:left w:val="none" w:sz="0" w:space="0" w:color="auto"/>
                <w:bottom w:val="none" w:sz="0" w:space="0" w:color="auto"/>
                <w:right w:val="none" w:sz="0" w:space="0" w:color="auto"/>
              </w:divBdr>
              <w:divsChild>
                <w:div w:id="1240629021">
                  <w:marLeft w:val="0"/>
                  <w:marRight w:val="0"/>
                  <w:marTop w:val="0"/>
                  <w:marBottom w:val="0"/>
                  <w:divBdr>
                    <w:top w:val="none" w:sz="0" w:space="0" w:color="auto"/>
                    <w:left w:val="none" w:sz="0" w:space="0" w:color="auto"/>
                    <w:bottom w:val="none" w:sz="0" w:space="0" w:color="auto"/>
                    <w:right w:val="none" w:sz="0" w:space="0" w:color="auto"/>
                  </w:divBdr>
                  <w:divsChild>
                    <w:div w:id="8633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566873">
      <w:bodyDiv w:val="1"/>
      <w:marLeft w:val="0"/>
      <w:marRight w:val="0"/>
      <w:marTop w:val="0"/>
      <w:marBottom w:val="0"/>
      <w:divBdr>
        <w:top w:val="none" w:sz="0" w:space="0" w:color="auto"/>
        <w:left w:val="none" w:sz="0" w:space="0" w:color="auto"/>
        <w:bottom w:val="none" w:sz="0" w:space="0" w:color="auto"/>
        <w:right w:val="none" w:sz="0" w:space="0" w:color="auto"/>
      </w:divBdr>
      <w:divsChild>
        <w:div w:id="1675376247">
          <w:marLeft w:val="0"/>
          <w:marRight w:val="0"/>
          <w:marTop w:val="0"/>
          <w:marBottom w:val="0"/>
          <w:divBdr>
            <w:top w:val="none" w:sz="0" w:space="0" w:color="auto"/>
            <w:left w:val="none" w:sz="0" w:space="0" w:color="auto"/>
            <w:bottom w:val="none" w:sz="0" w:space="0" w:color="auto"/>
            <w:right w:val="none" w:sz="0" w:space="0" w:color="auto"/>
          </w:divBdr>
          <w:divsChild>
            <w:div w:id="438381680">
              <w:marLeft w:val="0"/>
              <w:marRight w:val="0"/>
              <w:marTop w:val="0"/>
              <w:marBottom w:val="0"/>
              <w:divBdr>
                <w:top w:val="none" w:sz="0" w:space="0" w:color="auto"/>
                <w:left w:val="none" w:sz="0" w:space="0" w:color="auto"/>
                <w:bottom w:val="none" w:sz="0" w:space="0" w:color="auto"/>
                <w:right w:val="none" w:sz="0" w:space="0" w:color="auto"/>
              </w:divBdr>
              <w:divsChild>
                <w:div w:id="1455368045">
                  <w:marLeft w:val="0"/>
                  <w:marRight w:val="0"/>
                  <w:marTop w:val="0"/>
                  <w:marBottom w:val="0"/>
                  <w:divBdr>
                    <w:top w:val="none" w:sz="0" w:space="0" w:color="auto"/>
                    <w:left w:val="none" w:sz="0" w:space="0" w:color="auto"/>
                    <w:bottom w:val="none" w:sz="0" w:space="0" w:color="auto"/>
                    <w:right w:val="none" w:sz="0" w:space="0" w:color="auto"/>
                  </w:divBdr>
                  <w:divsChild>
                    <w:div w:id="1171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AB780D-F234-8043-B832-17338BB4B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2828</Words>
  <Characters>16120</Characters>
  <Application>Microsoft Office Word</Application>
  <DocSecurity>0</DocSecurity>
  <Lines>134</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MONITORING</dc:creator>
  <cp:lastModifiedBy>aykut semerci</cp:lastModifiedBy>
  <cp:revision>13</cp:revision>
  <dcterms:created xsi:type="dcterms:W3CDTF">2021-02-25T14:23:00Z</dcterms:created>
  <dcterms:modified xsi:type="dcterms:W3CDTF">2021-02-28T10:39:00Z</dcterms:modified>
</cp:coreProperties>
</file>